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AEE3" w14:textId="77777777" w:rsidR="00D93EBF" w:rsidRDefault="00D93EBF" w:rsidP="00D93EBF">
      <w:pPr>
        <w:pStyle w:val="05-ArticleText"/>
        <w:jc w:val="center"/>
        <w:rPr>
          <w:rFonts w:ascii="Arial" w:hAnsi="Arial" w:cs="Arial"/>
          <w:b/>
          <w:bCs/>
        </w:rPr>
      </w:pPr>
      <w:r w:rsidRPr="00E00456">
        <w:rPr>
          <w:rFonts w:ascii="Arial" w:hAnsi="Arial" w:cs="Arial"/>
          <w:b/>
          <w:bCs/>
        </w:rPr>
        <w:t>Table 2: List of nuclear parameters of point kinetics and their respective descriptions.</w:t>
      </w:r>
    </w:p>
    <w:tbl>
      <w:tblPr>
        <w:tblW w:w="77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402"/>
      </w:tblGrid>
      <w:tr w:rsidR="00D93EBF" w14:paraId="67B95C45" w14:textId="77777777" w:rsidTr="004808F9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44546A"/>
          </w:tcPr>
          <w:p w14:paraId="24D11175" w14:textId="77777777" w:rsidR="00D93EBF" w:rsidRPr="001926F5" w:rsidRDefault="00D93EBF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Nuclear parameters</w:t>
            </w:r>
          </w:p>
        </w:tc>
        <w:tc>
          <w:tcPr>
            <w:tcW w:w="540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44546A"/>
          </w:tcPr>
          <w:p w14:paraId="03978AED" w14:textId="77777777" w:rsidR="00D93EBF" w:rsidRPr="001926F5" w:rsidRDefault="00D93EBF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D93EBF" w14:paraId="59AB1AC5" w14:textId="77777777" w:rsidTr="004808F9">
        <w:trPr>
          <w:jc w:val="center"/>
        </w:trPr>
        <w:tc>
          <w:tcPr>
            <w:tcW w:w="2385" w:type="dxa"/>
            <w:tcBorders>
              <w:left w:val="single" w:sz="8" w:space="0" w:color="000000"/>
            </w:tcBorders>
          </w:tcPr>
          <w:p w14:paraId="4D15A96B" w14:textId="77777777" w:rsidR="00D93EBF" w:rsidRPr="001926F5" w:rsidRDefault="00D93EBF" w:rsidP="004808F9">
            <w:pPr>
              <w:jc w:val="center"/>
              <w:rPr>
                <w:rFonts w:ascii="Cambria Math" w:eastAsia="Cambria Math" w:hAnsi="Cambria Math" w:cs="Cambria Math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</w:rPr>
                  <m:t>ρ(t)</m:t>
                </m:r>
              </m:oMath>
            </m:oMathPara>
          </w:p>
        </w:tc>
        <w:tc>
          <w:tcPr>
            <w:tcW w:w="5402" w:type="dxa"/>
            <w:tcBorders>
              <w:right w:val="single" w:sz="8" w:space="0" w:color="000000"/>
            </w:tcBorders>
          </w:tcPr>
          <w:p w14:paraId="53114C5B" w14:textId="77777777" w:rsidR="00D93EBF" w:rsidRPr="001926F5" w:rsidRDefault="00D93EBF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Reactivity = parameter related to the multiplicative factor of the chain reaction, that is, how much the concentration of neutrons increases, decreases, or remains constant.</w:t>
            </w:r>
          </w:p>
        </w:tc>
      </w:tr>
      <w:tr w:rsidR="00D93EBF" w14:paraId="61FE3D29" w14:textId="77777777" w:rsidTr="004808F9">
        <w:trPr>
          <w:jc w:val="center"/>
        </w:trPr>
        <w:tc>
          <w:tcPr>
            <w:tcW w:w="2385" w:type="dxa"/>
            <w:tcBorders>
              <w:left w:val="single" w:sz="8" w:space="0" w:color="000000"/>
            </w:tcBorders>
            <w:shd w:val="clear" w:color="auto" w:fill="D5DCE4"/>
          </w:tcPr>
          <w:p w14:paraId="142EDDFF" w14:textId="77777777" w:rsidR="00D93EBF" w:rsidRPr="001926F5" w:rsidRDefault="00D93EBF" w:rsidP="004808F9">
            <w:pPr>
              <w:jc w:val="center"/>
              <w:rPr>
                <w:rFonts w:ascii="Cambria Math" w:eastAsia="Cambria Math" w:hAnsi="Cambria Math" w:cs="Cambria Math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</w:rPr>
                  <m:t>β(t)</m:t>
                </m:r>
              </m:oMath>
            </m:oMathPara>
          </w:p>
        </w:tc>
        <w:tc>
          <w:tcPr>
            <w:tcW w:w="5402" w:type="dxa"/>
            <w:tcBorders>
              <w:right w:val="single" w:sz="8" w:space="0" w:color="000000"/>
            </w:tcBorders>
            <w:shd w:val="clear" w:color="auto" w:fill="D5DCE4"/>
          </w:tcPr>
          <w:p w14:paraId="65073EB9" w14:textId="77777777" w:rsidR="00D93EBF" w:rsidRPr="001926F5" w:rsidRDefault="00D93EBF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Delayed neutron fraction, considering all groups of precursors, in relation to total neutrons.</w:t>
            </w:r>
          </w:p>
        </w:tc>
      </w:tr>
      <w:tr w:rsidR="00D93EBF" w14:paraId="2E481AA5" w14:textId="77777777" w:rsidTr="004808F9">
        <w:trPr>
          <w:jc w:val="center"/>
        </w:trPr>
        <w:tc>
          <w:tcPr>
            <w:tcW w:w="2385" w:type="dxa"/>
            <w:tcBorders>
              <w:left w:val="single" w:sz="8" w:space="0" w:color="000000"/>
            </w:tcBorders>
          </w:tcPr>
          <w:p w14:paraId="717D34B2" w14:textId="77777777" w:rsidR="00D93EBF" w:rsidRPr="001926F5" w:rsidRDefault="00D93EBF" w:rsidP="004808F9">
            <w:pPr>
              <w:jc w:val="center"/>
              <w:rPr>
                <w:rFonts w:ascii="Cambria Math" w:eastAsia="Cambria Math" w:hAnsi="Cambria Math" w:cs="Cambria Math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</w:rPr>
                  <m:t>i(t)</m:t>
                </m:r>
              </m:oMath>
            </m:oMathPara>
          </w:p>
        </w:tc>
        <w:tc>
          <w:tcPr>
            <w:tcW w:w="5402" w:type="dxa"/>
            <w:tcBorders>
              <w:right w:val="single" w:sz="8" w:space="0" w:color="000000"/>
            </w:tcBorders>
          </w:tcPr>
          <w:p w14:paraId="6B5B7298" w14:textId="77777777" w:rsidR="00D93EBF" w:rsidRPr="001926F5" w:rsidRDefault="00D93EBF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Delayed neutron fraction of each group of precursors in relation to total neutrons.</w:t>
            </w:r>
          </w:p>
        </w:tc>
      </w:tr>
      <w:tr w:rsidR="00D93EBF" w14:paraId="73DDBEF5" w14:textId="77777777" w:rsidTr="004808F9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5DCE4"/>
          </w:tcPr>
          <w:p w14:paraId="1F32F54C" w14:textId="77777777" w:rsidR="00D93EBF" w:rsidRPr="001926F5" w:rsidRDefault="00D93EBF" w:rsidP="004808F9">
            <w:pPr>
              <w:jc w:val="center"/>
              <w:rPr>
                <w:rFonts w:ascii="Cambria Math" w:eastAsia="Cambria Math" w:hAnsi="Cambria Math" w:cs="Cambria Math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5DCE4"/>
          </w:tcPr>
          <w:p w14:paraId="00F937C9" w14:textId="77777777" w:rsidR="00D93EBF" w:rsidRPr="001926F5" w:rsidRDefault="00D93EBF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Radioactive decay Constant for each group of precursors.</w:t>
            </w:r>
          </w:p>
        </w:tc>
      </w:tr>
    </w:tbl>
    <w:p w14:paraId="1CF3ABE7" w14:textId="77777777" w:rsidR="00D93EBF" w:rsidRDefault="00D93EBF" w:rsidP="00D93EBF">
      <w:pPr>
        <w:pStyle w:val="07-Heading-2"/>
        <w:rPr>
          <w:rFonts w:ascii="Arial" w:hAnsi="Arial" w:cs="Arial"/>
        </w:rPr>
      </w:pPr>
    </w:p>
    <w:p w14:paraId="2B151DB2" w14:textId="77777777" w:rsidR="00FF4E43" w:rsidRDefault="00FF4E43" w:rsidP="00FF4E43">
      <w:pPr>
        <w:pStyle w:val="05-ArticleText"/>
        <w:rPr>
          <w:rFonts w:ascii="Arial" w:hAnsi="Arial" w:cs="Arial"/>
        </w:rPr>
      </w:pPr>
    </w:p>
    <w:sectPr w:rsidR="00FF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943B20"/>
    <w:rsid w:val="00B8685F"/>
    <w:rsid w:val="00D93EBF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  <w:style w:type="paragraph" w:customStyle="1" w:styleId="07-Heading-2">
    <w:name w:val="07-Heading-2"/>
    <w:basedOn w:val="Normal"/>
    <w:rsid w:val="00D93EBF"/>
    <w:pPr>
      <w:spacing w:before="120" w:after="120" w:line="220" w:lineRule="exact"/>
      <w:jc w:val="both"/>
    </w:pPr>
    <w:rPr>
      <w:rFonts w:eastAsia="Arial Narro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3</cp:revision>
  <dcterms:created xsi:type="dcterms:W3CDTF">2021-03-17T20:38:00Z</dcterms:created>
  <dcterms:modified xsi:type="dcterms:W3CDTF">2021-03-17T20:39:00Z</dcterms:modified>
</cp:coreProperties>
</file>