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8608" w14:textId="77777777" w:rsidR="00687432" w:rsidRPr="00925492" w:rsidRDefault="00000000">
      <w:pPr>
        <w:pStyle w:val="Ttulo"/>
        <w:jc w:val="center"/>
        <w:rPr>
          <w:lang w:val="pt-BR"/>
        </w:rPr>
      </w:pPr>
      <w:r w:rsidRPr="00925492">
        <w:rPr>
          <w:lang w:val="pt-BR"/>
        </w:rPr>
        <w:t>Registro de Direcionamento do Projeto</w:t>
      </w:r>
      <w:r w:rsidRPr="00925492">
        <w:rPr>
          <w:lang w:val="pt-BR"/>
        </w:rPr>
        <w:br/>
        <w:t>Demografia e Previdência Social</w:t>
      </w:r>
    </w:p>
    <w:p w14:paraId="2D139402" w14:textId="77777777" w:rsidR="00687432" w:rsidRPr="00925492" w:rsidRDefault="00000000">
      <w:pPr>
        <w:jc w:val="center"/>
        <w:rPr>
          <w:lang w:val="pt-BR"/>
        </w:rPr>
      </w:pPr>
      <w:r w:rsidRPr="00925492">
        <w:rPr>
          <w:b/>
          <w:lang w:val="pt-BR"/>
        </w:rPr>
        <w:t>Arquitetura Medalhão • IBGE + AEPS • Situação atual e próximos passos</w:t>
      </w:r>
    </w:p>
    <w:p w14:paraId="6321E5EB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Este documento registra o ponto atual do projeto, as decisões tomadas e a linha de análise definida. Ele também serve como base para apresentar à professora e à colega de grupo onde o trabalho está, por que as novas bases históricas foram incorporadas e quais análises pretendemos desenvolver.</w:t>
      </w:r>
    </w:p>
    <w:p w14:paraId="267E565E" w14:textId="77777777" w:rsidR="00687432" w:rsidRPr="00925492" w:rsidRDefault="00000000">
      <w:pPr>
        <w:pStyle w:val="Ttulo1"/>
        <w:rPr>
          <w:lang w:val="pt-BR"/>
        </w:rPr>
      </w:pPr>
      <w:r w:rsidRPr="00925492">
        <w:rPr>
          <w:lang w:val="pt-BR"/>
        </w:rPr>
        <w:t>1. Pergunta central e propósito do projeto</w:t>
      </w:r>
    </w:p>
    <w:p w14:paraId="57C42080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O projeto busca investigar como as transformações demográficas brasileiras podem aumentar, ao longo das próximas décadas, a pressão sobre o sistema previdenciário. A hipótese de trabalho parte de tendências que serão verificadas nos dados: envelhecimento da população, aumento da longevidade, redução relativa da população em idade ativa e queda da fecundidade.</w:t>
      </w:r>
    </w:p>
    <w:p w14:paraId="1A1FABDD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O objetivo não é afirmar que a Previdência Social deixará de pagar benefícios, que irá “quebrar” ou determinar quanto uma aposentadoria futura pagará. O objetivo é identificar tendências, relações e possíveis pressões que justifiquem uma discussão sobre a dependência exclusiva da aposentadoria pública no planejamento financeiro de longo prazo.</w:t>
      </w:r>
    </w:p>
    <w:p w14:paraId="4C10FD33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Como aplicação final, o trabalho pretende mostrar por que pode ser relevante pensar, desde mais cedo, em planejamento financeiro e formação de patrimônio como complemento de renda futura, sem tratar investimento privado como substituto obrigatório da Previdência.</w:t>
      </w:r>
    </w:p>
    <w:p w14:paraId="42CE650B" w14:textId="77777777" w:rsidR="00687432" w:rsidRPr="00925492" w:rsidRDefault="00000000">
      <w:pPr>
        <w:pStyle w:val="Ttulo1"/>
        <w:rPr>
          <w:lang w:val="pt-BR"/>
        </w:rPr>
      </w:pPr>
      <w:r w:rsidRPr="00925492">
        <w:rPr>
          <w:lang w:val="pt-BR"/>
        </w:rPr>
        <w:t>2. Limite da conclusão</w:t>
      </w:r>
    </w:p>
    <w:p w14:paraId="030736D5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As bases escolhidas permitem estudar tendências demográficas e previdenciárias, mas não permitem, isoladamente, provar a sustentabilidade financeira do RGPS. Uma análise atuarial exigiria incorporar receitas, despesas, regras previdenciárias, mercado de trabalho, formalização, produtividade, emprego, inflação, crescimento econômico e outras hipóteses.</w:t>
      </w:r>
    </w:p>
    <w:p w14:paraId="46CF4911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Portanto, a linguagem do projeto será de evidência e perspectiva: “os dados indicam”, “a tendência observada sugere”, “as projeções demográficas apontam” e “esse cenário pode aumentar a pressão”, evitando afirmações determinísticas.</w:t>
      </w:r>
    </w:p>
    <w:p w14:paraId="1932FA28" w14:textId="77777777" w:rsidR="00687432" w:rsidRPr="00925492" w:rsidRDefault="00000000">
      <w:pPr>
        <w:pStyle w:val="Ttulo1"/>
        <w:rPr>
          <w:lang w:val="pt-BR"/>
        </w:rPr>
      </w:pPr>
      <w:r w:rsidRPr="00925492">
        <w:rPr>
          <w:lang w:val="pt-BR"/>
        </w:rPr>
        <w:t>3. Bases de dados definidas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2303"/>
        <w:gridCol w:w="2364"/>
        <w:gridCol w:w="2834"/>
      </w:tblGrid>
      <w:tr w:rsidR="00687432" w:rsidRPr="00925492" w14:paraId="6A618917" w14:textId="77777777">
        <w:trPr>
          <w:jc w:val="center"/>
        </w:trPr>
        <w:tc>
          <w:tcPr>
            <w:tcW w:w="2408" w:type="dxa"/>
            <w:vAlign w:val="center"/>
          </w:tcPr>
          <w:p w14:paraId="53B38701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b/>
                <w:lang w:val="pt-BR"/>
              </w:rPr>
              <w:t>Fonte</w:t>
            </w:r>
          </w:p>
        </w:tc>
        <w:tc>
          <w:tcPr>
            <w:tcW w:w="2408" w:type="dxa"/>
            <w:vAlign w:val="center"/>
          </w:tcPr>
          <w:p w14:paraId="294F0D3A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b/>
                <w:lang w:val="pt-BR"/>
              </w:rPr>
              <w:t>Período</w:t>
            </w:r>
          </w:p>
        </w:tc>
        <w:tc>
          <w:tcPr>
            <w:tcW w:w="2408" w:type="dxa"/>
            <w:vAlign w:val="center"/>
          </w:tcPr>
          <w:p w14:paraId="58BB3812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b/>
                <w:lang w:val="pt-BR"/>
              </w:rPr>
              <w:t>Conteúdo principal</w:t>
            </w:r>
          </w:p>
        </w:tc>
        <w:tc>
          <w:tcPr>
            <w:tcW w:w="2408" w:type="dxa"/>
            <w:vAlign w:val="center"/>
          </w:tcPr>
          <w:p w14:paraId="2162E7C1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b/>
                <w:lang w:val="pt-BR"/>
              </w:rPr>
              <w:t>Função no projeto</w:t>
            </w:r>
          </w:p>
        </w:tc>
      </w:tr>
      <w:tr w:rsidR="00687432" w:rsidRPr="00925492" w14:paraId="5D14ECAB" w14:textId="77777777">
        <w:trPr>
          <w:jc w:val="center"/>
        </w:trPr>
        <w:tc>
          <w:tcPr>
            <w:tcW w:w="2408" w:type="dxa"/>
          </w:tcPr>
          <w:p w14:paraId="3AD5171D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IBGE – Grupos etários</w:t>
            </w:r>
          </w:p>
        </w:tc>
        <w:tc>
          <w:tcPr>
            <w:tcW w:w="2408" w:type="dxa"/>
          </w:tcPr>
          <w:p w14:paraId="1BE4929F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2000–2070</w:t>
            </w:r>
          </w:p>
        </w:tc>
        <w:tc>
          <w:tcPr>
            <w:tcW w:w="2408" w:type="dxa"/>
          </w:tcPr>
          <w:p w14:paraId="2AD9A47F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População total; 0–14; 15–64; 60+; 65+; 80+ e proporções.</w:t>
            </w:r>
          </w:p>
        </w:tc>
        <w:tc>
          <w:tcPr>
            <w:tcW w:w="2408" w:type="dxa"/>
          </w:tcPr>
          <w:p w14:paraId="7A886198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Histórico e projeções da estrutura etária.</w:t>
            </w:r>
          </w:p>
        </w:tc>
      </w:tr>
      <w:tr w:rsidR="00687432" w:rsidRPr="00925492" w14:paraId="4D193263" w14:textId="77777777">
        <w:trPr>
          <w:jc w:val="center"/>
        </w:trPr>
        <w:tc>
          <w:tcPr>
            <w:tcW w:w="2408" w:type="dxa"/>
          </w:tcPr>
          <w:p w14:paraId="06C83E0E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IBGE – Indicadores</w:t>
            </w:r>
          </w:p>
        </w:tc>
        <w:tc>
          <w:tcPr>
            <w:tcW w:w="2408" w:type="dxa"/>
          </w:tcPr>
          <w:p w14:paraId="4B016212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2000–2070</w:t>
            </w:r>
          </w:p>
        </w:tc>
        <w:tc>
          <w:tcPr>
            <w:tcW w:w="2408" w:type="dxa"/>
          </w:tcPr>
          <w:p w14:paraId="0F1C3538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 xml:space="preserve">Crescimento; expectativa de vida; </w:t>
            </w:r>
            <w:r w:rsidRPr="00925492">
              <w:rPr>
                <w:lang w:val="pt-BR"/>
              </w:rPr>
              <w:lastRenderedPageBreak/>
              <w:t>fecundidade; dependência; envelhecimento; idade média/mediana.</w:t>
            </w:r>
          </w:p>
        </w:tc>
        <w:tc>
          <w:tcPr>
            <w:tcW w:w="2408" w:type="dxa"/>
          </w:tcPr>
          <w:p w14:paraId="48324F4E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lastRenderedPageBreak/>
              <w:t>Explicar a transição demográfica.</w:t>
            </w:r>
          </w:p>
        </w:tc>
      </w:tr>
      <w:tr w:rsidR="00687432" w:rsidRPr="00925492" w14:paraId="0EB70124" w14:textId="77777777">
        <w:trPr>
          <w:jc w:val="center"/>
        </w:trPr>
        <w:tc>
          <w:tcPr>
            <w:tcW w:w="2408" w:type="dxa"/>
          </w:tcPr>
          <w:p w14:paraId="5AAECBA4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AEPS – Contribuintes, tabela 5.1</w:t>
            </w:r>
          </w:p>
        </w:tc>
        <w:tc>
          <w:tcPr>
            <w:tcW w:w="2408" w:type="dxa"/>
          </w:tcPr>
          <w:p w14:paraId="7EC73DF2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2003–2023</w:t>
            </w:r>
          </w:p>
        </w:tc>
        <w:tc>
          <w:tcPr>
            <w:tcW w:w="2408" w:type="dxa"/>
          </w:tcPr>
          <w:p w14:paraId="3CA07848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Quantidade de contribuintes pessoas físicas, trabalhadores empregados e outros contribuintes.</w:t>
            </w:r>
          </w:p>
        </w:tc>
        <w:tc>
          <w:tcPr>
            <w:tcW w:w="2408" w:type="dxa"/>
          </w:tcPr>
          <w:p w14:paraId="7333364C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Série histórica do universo de contribuintes.</w:t>
            </w:r>
          </w:p>
        </w:tc>
      </w:tr>
      <w:tr w:rsidR="00687432" w:rsidRPr="00925492" w14:paraId="6F26B725" w14:textId="77777777">
        <w:trPr>
          <w:jc w:val="center"/>
        </w:trPr>
        <w:tc>
          <w:tcPr>
            <w:tcW w:w="2408" w:type="dxa"/>
          </w:tcPr>
          <w:p w14:paraId="1DB37B8D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AEPS – Benefícios, tabela 1.10</w:t>
            </w:r>
          </w:p>
        </w:tc>
        <w:tc>
          <w:tcPr>
            <w:tcW w:w="2408" w:type="dxa"/>
          </w:tcPr>
          <w:p w14:paraId="09978FEA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2005–2023</w:t>
            </w:r>
          </w:p>
        </w:tc>
        <w:tc>
          <w:tcPr>
            <w:tcW w:w="2408" w:type="dxa"/>
          </w:tcPr>
          <w:p w14:paraId="1678C69F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Benefícios emitidos; RGPS; previdenciários; aposentadorias e espécies.</w:t>
            </w:r>
          </w:p>
        </w:tc>
        <w:tc>
          <w:tcPr>
            <w:tcW w:w="2408" w:type="dxa"/>
          </w:tcPr>
          <w:p w14:paraId="32688799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Série histórica dos benefícios/aposentadorias.</w:t>
            </w:r>
          </w:p>
        </w:tc>
      </w:tr>
      <w:tr w:rsidR="00687432" w:rsidRPr="00925492" w14:paraId="4D6D9173" w14:textId="77777777">
        <w:trPr>
          <w:jc w:val="center"/>
        </w:trPr>
        <w:tc>
          <w:tcPr>
            <w:tcW w:w="2408" w:type="dxa"/>
          </w:tcPr>
          <w:p w14:paraId="3B4CF9FB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AEPS – Contribuintes 32.3</w:t>
            </w:r>
          </w:p>
        </w:tc>
        <w:tc>
          <w:tcPr>
            <w:tcW w:w="2408" w:type="dxa"/>
          </w:tcPr>
          <w:p w14:paraId="131EEF9F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2022–2024</w:t>
            </w:r>
          </w:p>
        </w:tc>
        <w:tc>
          <w:tcPr>
            <w:tcW w:w="2408" w:type="dxa"/>
          </w:tcPr>
          <w:p w14:paraId="24DB6DA5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Número médio mensal de contribuintes por faixa etária e sexo.</w:t>
            </w:r>
          </w:p>
        </w:tc>
        <w:tc>
          <w:tcPr>
            <w:tcW w:w="2408" w:type="dxa"/>
          </w:tcPr>
          <w:p w14:paraId="110A2657" w14:textId="77777777" w:rsidR="00687432" w:rsidRPr="00925492" w:rsidRDefault="00000000">
            <w:pPr>
              <w:rPr>
                <w:lang w:val="pt-BR"/>
              </w:rPr>
            </w:pPr>
            <w:r w:rsidRPr="00925492">
              <w:rPr>
                <w:lang w:val="pt-BR"/>
              </w:rPr>
              <w:t>Fonte complementar recente e detalhada.</w:t>
            </w:r>
          </w:p>
        </w:tc>
      </w:tr>
    </w:tbl>
    <w:p w14:paraId="7F71CB4E" w14:textId="77777777" w:rsidR="00687432" w:rsidRPr="00925492" w:rsidRDefault="00687432">
      <w:pPr>
        <w:rPr>
          <w:lang w:val="pt-BR"/>
        </w:rPr>
      </w:pPr>
    </w:p>
    <w:p w14:paraId="4B916A11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Decisão metodológica importante: a tabela histórica 5.1 (“Quantidade de contribuintes pessoas físicas”) e a tabela 32.3 (“Número médio mensal de contribuintes pessoas físicas”) não serão unidas como se fossem a mesma métrica. Elas possuem conceitos diferentes e terão funções analíticas distintas.</w:t>
      </w:r>
    </w:p>
    <w:p w14:paraId="249EFC66" w14:textId="77777777" w:rsidR="00687432" w:rsidRPr="00925492" w:rsidRDefault="00000000">
      <w:pPr>
        <w:pStyle w:val="Ttulo1"/>
        <w:rPr>
          <w:lang w:val="pt-BR"/>
        </w:rPr>
      </w:pPr>
      <w:r w:rsidRPr="00925492">
        <w:rPr>
          <w:lang w:val="pt-BR"/>
        </w:rPr>
        <w:t>4. O que já foi construído</w:t>
      </w:r>
    </w:p>
    <w:p w14:paraId="02458FF4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Camada Bronze concluída para as três fontes inicialmente utilizadas, preservando os dados de origem.</w:t>
      </w:r>
    </w:p>
    <w:p w14:paraId="41B02E46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Camada Silver concluída para grupos etários, indicadores demográficos e contribuintes 2022–2024.</w:t>
      </w:r>
    </w:p>
    <w:p w14:paraId="1EEC1AD6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Nas bases do IBGE, foram selecionadas 15 variáveis relevantes, padronizados os nomes das colunas e verificados valores ausentes e duplicidades.</w:t>
      </w:r>
    </w:p>
    <w:p w14:paraId="62CE4155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Na base AEPS 2022–2024, o cabeçalho foi reorganizado, as faixas etárias foram preenchidas, os tipos numéricos foram corrigidos e a consistência entre total e sexo foi analisada.</w:t>
      </w:r>
    </w:p>
    <w:p w14:paraId="1DAD3F8F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A validação final da Silver confirmou arquivos tratados com dimensões: grupos etários (2.343 × 15), indicadores (2.343 × 15) e contribuintes (42 × 6).</w:t>
      </w:r>
    </w:p>
    <w:p w14:paraId="1A6C1716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A camada Gold foi iniciada e as janelas temporais foram verificadas: IBGE 2000–2070 e AEPS detalhado 2022–2024.</w:t>
      </w:r>
    </w:p>
    <w:p w14:paraId="3FBE5B11" w14:textId="77777777" w:rsidR="0068743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Após identificar a limitação temporal do AEPS 2022–2024, foram localizadas as séries históricas oficiais do Suplemento Histórico AEPS 2023.</w:t>
      </w:r>
    </w:p>
    <w:p w14:paraId="04B87E3C" w14:textId="77777777" w:rsidR="00687432" w:rsidRPr="00925492" w:rsidRDefault="00000000">
      <w:pPr>
        <w:pStyle w:val="Ttulo1"/>
        <w:rPr>
          <w:lang w:val="pt-BR"/>
        </w:rPr>
      </w:pPr>
      <w:r w:rsidRPr="00925492">
        <w:rPr>
          <w:lang w:val="pt-BR"/>
        </w:rPr>
        <w:lastRenderedPageBreak/>
        <w:t>5. Descoberta que redefine o alcance do projeto</w:t>
      </w:r>
    </w:p>
    <w:p w14:paraId="34CF7C38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A principal evolução recente foi encontrar séries previdenciárias históricas suficientemente longas para comparar o comportamento real da Previdência com as transformações demográficas. Isso evita construir uma interpretação de longo prazo a partir de apenas três anos.</w:t>
      </w:r>
    </w:p>
    <w:p w14:paraId="16DD4192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A tabela AEPS 5.1 fornece contribuintes de 2003 a 2023. A tabela AEPS 1.10 fornece benefícios emitidos de 2005 a 2023 e separa explicitamente as aposentadorias, incluindo categorias como tempo de contribuição, idade e invalidez. Assim, passamos a ter cerca de duas décadas de histórico previdenciário para dialogar com a série demográfica do IBGE.</w:t>
      </w:r>
    </w:p>
    <w:p w14:paraId="41292D9E" w14:textId="77777777" w:rsidR="00687432" w:rsidRPr="00925492" w:rsidRDefault="00000000">
      <w:pPr>
        <w:pStyle w:val="Ttulo1"/>
        <w:rPr>
          <w:lang w:val="pt-BR"/>
        </w:rPr>
      </w:pPr>
      <w:r w:rsidRPr="00925492">
        <w:rPr>
          <w:lang w:val="pt-BR"/>
        </w:rPr>
        <w:t>6. Linha analítica planejada</w:t>
      </w:r>
    </w:p>
    <w:p w14:paraId="63C7ED59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 xml:space="preserve">O trabalho será construído em três movimentos. Primeiro, observar o passado: como população, estrutura etária, contribuintes e aposentadorias evoluíram nas últimas duas décadas. </w:t>
      </w:r>
      <w:proofErr w:type="gramStart"/>
      <w:r w:rsidRPr="00925492">
        <w:rPr>
          <w:lang w:val="pt-BR"/>
        </w:rPr>
        <w:t>Segundo, relacionar</w:t>
      </w:r>
      <w:proofErr w:type="gramEnd"/>
      <w:r w:rsidRPr="00925492">
        <w:rPr>
          <w:lang w:val="pt-BR"/>
        </w:rPr>
        <w:t xml:space="preserve"> essas séries sem confundir correlação com causalidade. Terceiro, utilizar as projeções demográficas do IBGE até 2070 para discutir como o contexto futuro pode alterar a relação entre população potencialmente ativa e população idosa.</w:t>
      </w:r>
    </w:p>
    <w:p w14:paraId="07E95F34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Entre as análises previstas estão:</w:t>
      </w:r>
    </w:p>
    <w:p w14:paraId="1EF608A3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evolução da população 15–64, 60+, 65+ e 80+;</w:t>
      </w:r>
    </w:p>
    <w:p w14:paraId="5FB61846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evolução da fecundidade, expectativa de vida e índice de envelhecimento;</w:t>
      </w:r>
    </w:p>
    <w:p w14:paraId="67CE2512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evolução histórica da quantidade de contribuintes pessoas físicas;</w:t>
      </w:r>
    </w:p>
    <w:p w14:paraId="6A71161A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evolução histórica dos benefícios previdenciários e das aposentadorias;</w:t>
      </w:r>
    </w:p>
    <w:p w14:paraId="0F69D93C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comparação temporal entre crescimento de contribuintes e crescimento de aposentadorias;</w:t>
      </w:r>
    </w:p>
    <w:p w14:paraId="6ABF9AF3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construção exploratória de uma relação contribuintes/aposentadorias, claramente identificada como indicador analítico do projeto, e não como indicador atuarial oficial;</w:t>
      </w:r>
    </w:p>
    <w:p w14:paraId="53A85968" w14:textId="77777777" w:rsidR="00687432" w:rsidRPr="00925492" w:rsidRDefault="00000000">
      <w:pPr>
        <w:pStyle w:val="Commarcadores"/>
        <w:rPr>
          <w:lang w:val="pt-BR"/>
        </w:rPr>
      </w:pPr>
      <w:r w:rsidRPr="00925492">
        <w:rPr>
          <w:lang w:val="pt-BR"/>
        </w:rPr>
        <w:t>comparação das tendências previdenciárias observadas com as projeções demográficas até 2070.</w:t>
      </w:r>
    </w:p>
    <w:p w14:paraId="7C7AD1A8" w14:textId="77777777" w:rsidR="00687432" w:rsidRPr="00925492" w:rsidRDefault="00000000">
      <w:pPr>
        <w:pStyle w:val="Ttulo1"/>
        <w:rPr>
          <w:lang w:val="pt-BR"/>
        </w:rPr>
      </w:pPr>
      <w:r w:rsidRPr="00925492">
        <w:rPr>
          <w:lang w:val="pt-BR"/>
        </w:rPr>
        <w:t>7. Interpretação que pretendemos testar</w:t>
      </w:r>
    </w:p>
    <w:p w14:paraId="0ECA02EF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A narrativa não será construída antecipando a conclusão. Os dados poderão confirmar ou contrariar a hipótese inicial. Se a população idosa crescer, a população em idade ativa perder participação, a fecundidade cair e a relação entre contribuintes e aposentadorias se tornar menos favorável, teremos evidências de um cenário demográfico potencialmente mais desafiador para a Previdência.</w:t>
      </w:r>
    </w:p>
    <w:p w14:paraId="76DF49B0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Por outro lado, a quantidade de contribuintes não depende apenas da demografia. Formalização, participação no mercado de trabalho, emprego e regras previdenciárias podem modificar essa trajetória. Essa distinção será mantida durante toda a análise.</w:t>
      </w:r>
    </w:p>
    <w:p w14:paraId="6F1ACDFC" w14:textId="77777777" w:rsidR="00687432" w:rsidRPr="00925492" w:rsidRDefault="00000000">
      <w:pPr>
        <w:pStyle w:val="Ttulo1"/>
        <w:rPr>
          <w:lang w:val="pt-BR"/>
        </w:rPr>
      </w:pPr>
      <w:r w:rsidRPr="00925492">
        <w:rPr>
          <w:lang w:val="pt-BR"/>
        </w:rPr>
        <w:t>8. Próximos passos técnicos</w:t>
      </w:r>
    </w:p>
    <w:p w14:paraId="725D2FDC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1. Adicionar 23SH5_01.xlsx e 23SH1_10.xlsx à pasta dados/origem.</w:t>
      </w:r>
    </w:p>
    <w:p w14:paraId="7C01F9BD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lastRenderedPageBreak/>
        <w:t>2. Registrar as novas fontes no notebook e incorporá-las à camada Bronze sem alterar os arquivos originais.</w:t>
      </w:r>
    </w:p>
    <w:p w14:paraId="72D6BA5F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3. Tratar e padronizar as séries históricas na Silver, preservando conceitos e notas metodológicas.</w:t>
      </w:r>
    </w:p>
    <w:p w14:paraId="32B8D250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4. Consolidar na Gold tabelas analíticas anuais compatíveis para o período comum das fontes.</w:t>
      </w:r>
    </w:p>
    <w:p w14:paraId="77690E04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5. Construir indicadores, gráficos e comparações históricas.</w:t>
      </w:r>
    </w:p>
    <w:p w14:paraId="144BB02F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6. Usar as projeções do IBGE para desenvolver os cenários demográficos de longo prazo.</w:t>
      </w:r>
    </w:p>
    <w:p w14:paraId="36B2B0F3" w14:textId="77777777" w:rsidR="00687432" w:rsidRPr="00925492" w:rsidRDefault="00000000">
      <w:pPr>
        <w:rPr>
          <w:lang w:val="pt-BR"/>
        </w:rPr>
      </w:pPr>
      <w:r w:rsidRPr="00925492">
        <w:rPr>
          <w:lang w:val="pt-BR"/>
        </w:rPr>
        <w:t>7. Redigir as conclusões com as limitações metodológicas explícitas e preparar a apresentação final.</w:t>
      </w:r>
    </w:p>
    <w:p w14:paraId="53C113F7" w14:textId="25E97B34" w:rsidR="00687432" w:rsidRDefault="00000000">
      <w:pPr>
        <w:pStyle w:val="Ttulo1"/>
        <w:rPr>
          <w:lang w:val="pt-BR"/>
        </w:rPr>
      </w:pPr>
      <w:r>
        <w:t>9. Ponto atual e direcionamento do projeto</w:t>
      </w:r>
    </w:p>
    <w:p w14:paraId="3912B3B7" w14:textId="77777777" w:rsidR="00925492" w:rsidRPr="00925492" w:rsidRDefault="00925492" w:rsidP="00925492">
      <w:pPr>
        <w:rPr>
          <w:lang w:val="pt-BR"/>
        </w:rPr>
      </w:pPr>
      <w:r w:rsidRPr="00925492">
        <w:rPr>
          <w:lang w:val="pt-BR"/>
        </w:rPr>
        <w:t>Nosso projeto começou com a ideia de investigar se o envelhecimento da população brasileira pode tornar o cenário previdenciário mais desafiador no futuro. Inicialmente, tínhamos dados detalhados de contribuintes apenas de 2022 a 2024, período considerado curto para analisar uma tendência de longo prazo. Por isso, buscamos séries históricas oficiais e encontramos no AEPS dados de contribuintes desde 2003 e de benefícios desde 2005, incluindo aposentadorias.</w:t>
      </w:r>
    </w:p>
    <w:p w14:paraId="1D854F6B" w14:textId="77777777" w:rsidR="00925492" w:rsidRPr="00925492" w:rsidRDefault="00925492" w:rsidP="00925492">
      <w:pPr>
        <w:rPr>
          <w:lang w:val="pt-BR"/>
        </w:rPr>
      </w:pPr>
      <w:r w:rsidRPr="00925492">
        <w:rPr>
          <w:lang w:val="pt-BR"/>
        </w:rPr>
        <w:t>Com isso, conseguimos comparar cerca de vinte anos de comportamento previdenciário com os dados demográficos do IBGE e, posteriormente, analisar as projeções populacionais até 2070. O objetivo não é afirmar que a Previdência irá se tornar insustentável, mas verificar o que os dados realmente indicam e quais pressões demográficas e previdenciárias podem surgir ao longo das próximas décadas.</w:t>
      </w:r>
    </w:p>
    <w:p w14:paraId="1E4490D8" w14:textId="77777777" w:rsidR="00925492" w:rsidRPr="00925492" w:rsidRDefault="00925492" w:rsidP="00925492">
      <w:pPr>
        <w:rPr>
          <w:lang w:val="pt-BR"/>
        </w:rPr>
      </w:pPr>
      <w:r w:rsidRPr="00925492">
        <w:rPr>
          <w:lang w:val="pt-BR"/>
        </w:rPr>
        <w:lastRenderedPageBreak/>
        <w:t>Neste momento, o escopo analítico central está definido. A próxima etapa será integrar as séries históricas do AEPS ao pipeline já desenvolvido e verificar até onde o conjunto de dados selecionado permite responder à nossa pergunta de pesquisa. A partir dessas evidências, pretendemos também discutir a importância do planejamento financeiro de longo prazo e da construção de fontes complementares de renda para a aposentadoria, reduzindo a dependência exclusiva de uma única fonte de renda no futuro.</w:t>
      </w:r>
    </w:p>
    <w:p w14:paraId="44A8E608" w14:textId="77777777" w:rsidR="00925492" w:rsidRPr="00925492" w:rsidRDefault="00925492" w:rsidP="00925492">
      <w:pPr>
        <w:rPr>
          <w:lang w:val="pt-BR"/>
        </w:rPr>
      </w:pPr>
    </w:p>
    <w:sectPr w:rsidR="00925492" w:rsidRPr="00925492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289650">
    <w:abstractNumId w:val="8"/>
  </w:num>
  <w:num w:numId="2" w16cid:durableId="1277256667">
    <w:abstractNumId w:val="6"/>
  </w:num>
  <w:num w:numId="3" w16cid:durableId="371420280">
    <w:abstractNumId w:val="5"/>
  </w:num>
  <w:num w:numId="4" w16cid:durableId="369647515">
    <w:abstractNumId w:val="4"/>
  </w:num>
  <w:num w:numId="5" w16cid:durableId="1683892661">
    <w:abstractNumId w:val="7"/>
  </w:num>
  <w:num w:numId="6" w16cid:durableId="1333527197">
    <w:abstractNumId w:val="3"/>
  </w:num>
  <w:num w:numId="7" w16cid:durableId="625815583">
    <w:abstractNumId w:val="2"/>
  </w:num>
  <w:num w:numId="8" w16cid:durableId="1037198999">
    <w:abstractNumId w:val="1"/>
  </w:num>
  <w:num w:numId="9" w16cid:durableId="108930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432"/>
    <w:rsid w:val="008D30C3"/>
    <w:rsid w:val="009254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036F15"/>
  <w14:defaultImageDpi w14:val="300"/>
  <w15:docId w15:val="{02A55031-FE64-4312-B1BD-3C719B6B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1518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Direcionamento do Projeto - Demografia e Previdência Social</dc:title>
  <dc:subject/>
  <dc:creator>python-docx</dc:creator>
  <cp:keywords/>
  <dc:description>generated by python-docx</dc:description>
  <cp:lastModifiedBy>Compras</cp:lastModifiedBy>
  <cp:revision>2</cp:revision>
  <dcterms:created xsi:type="dcterms:W3CDTF">2013-12-23T23:15:00Z</dcterms:created>
  <dcterms:modified xsi:type="dcterms:W3CDTF">2026-09-16T19:51:00Z</dcterms:modified>
  <cp:category/>
</cp:coreProperties>
</file>