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562D" w14:textId="77777777" w:rsidR="009D0F41" w:rsidRDefault="00000000">
      <w:pPr>
        <w:jc w:val="center"/>
        <w:rPr>
          <w:rFonts w:ascii="Arial" w:eastAsia="Arial" w:hAnsi="Arial" w:cs="Arial"/>
          <w:b/>
          <w:bCs/>
          <w:sz w:val="24"/>
          <w:szCs w:val="24"/>
        </w:rPr>
      </w:pPr>
      <w:r>
        <w:rPr>
          <w:rFonts w:ascii="Arial" w:eastAsia="Arial" w:hAnsi="Arial" w:cs="Arial"/>
          <w:b/>
          <w:bCs/>
          <w:sz w:val="24"/>
          <w:szCs w:val="24"/>
        </w:rPr>
        <w:t>ENVELHECIMENTO POPULACIONAL E PREVIDÊNCIA SOCIAL NO BRASIL: UMA ANÁLISE HISTÓRICA E PERSPECTIVAS DEMOGRÁFICAS ATÉ 2070</w:t>
      </w:r>
    </w:p>
    <w:p w14:paraId="39FBC0C2" w14:textId="77777777" w:rsidR="009D0F41" w:rsidRDefault="009D0F41">
      <w:pPr>
        <w:jc w:val="center"/>
        <w:rPr>
          <w:rFonts w:ascii="Arial" w:eastAsia="Arial" w:hAnsi="Arial" w:cs="Arial"/>
          <w:b/>
          <w:bCs/>
          <w:sz w:val="24"/>
          <w:szCs w:val="24"/>
        </w:rPr>
      </w:pPr>
    </w:p>
    <w:p w14:paraId="0A1EA61A" w14:textId="77777777" w:rsidR="009D0F41" w:rsidRPr="009C5841" w:rsidRDefault="00000000">
      <w:pPr>
        <w:jc w:val="center"/>
        <w:rPr>
          <w:rFonts w:ascii="Arial" w:eastAsia="Arial" w:hAnsi="Arial" w:cs="Arial"/>
          <w:b/>
          <w:bCs/>
          <w:sz w:val="24"/>
          <w:szCs w:val="24"/>
          <w:lang w:val="en-US"/>
        </w:rPr>
      </w:pPr>
      <w:r w:rsidRPr="009C5841">
        <w:rPr>
          <w:rFonts w:ascii="Arial" w:eastAsia="Arial" w:hAnsi="Arial" w:cs="Arial"/>
          <w:b/>
          <w:bCs/>
          <w:sz w:val="24"/>
          <w:szCs w:val="24"/>
          <w:lang w:val="en-US"/>
        </w:rPr>
        <w:t>POPULATION AGING AND SOCIAL SECURITY IN BRAZIL: A HISTORICAL ANALYSIS AND DEMOGRAPHIC PERSPECTIVES THROUGH 2070</w:t>
      </w:r>
    </w:p>
    <w:p w14:paraId="54D6DBD5" w14:textId="77777777" w:rsidR="009D0F41" w:rsidRPr="009C5841" w:rsidRDefault="009D0F41">
      <w:pPr>
        <w:rPr>
          <w:rFonts w:ascii="Arial" w:eastAsia="Arial" w:hAnsi="Arial" w:cs="Arial"/>
          <w:b/>
          <w:bCs/>
          <w:sz w:val="24"/>
          <w:szCs w:val="24"/>
          <w:lang w:val="en-US"/>
        </w:rPr>
      </w:pPr>
    </w:p>
    <w:p w14:paraId="51BC508C" w14:textId="77777777" w:rsidR="009D0F41" w:rsidRDefault="00000000">
      <w:pPr>
        <w:rPr>
          <w:rFonts w:ascii="Arial" w:eastAsia="Arial" w:hAnsi="Arial" w:cs="Arial"/>
          <w:b/>
          <w:bCs/>
          <w:sz w:val="24"/>
          <w:szCs w:val="24"/>
        </w:rPr>
      </w:pPr>
      <w:r>
        <w:rPr>
          <w:rFonts w:ascii="Arial" w:eastAsia="Arial" w:hAnsi="Arial" w:cs="Arial"/>
          <w:b/>
          <w:bCs/>
          <w:sz w:val="24"/>
          <w:szCs w:val="24"/>
        </w:rPr>
        <w:t xml:space="preserve">Anderson Pereira Horácio </w:t>
      </w:r>
      <w:r>
        <w:rPr>
          <w:rFonts w:ascii="Arial" w:eastAsia="Arial" w:hAnsi="Arial" w:cs="Arial"/>
          <w:b/>
          <w:bCs/>
          <w:sz w:val="24"/>
          <w:szCs w:val="24"/>
          <w:vertAlign w:val="superscript"/>
        </w:rPr>
        <w:footnoteReference w:id="1"/>
      </w:r>
      <w:r>
        <w:rPr>
          <w:rFonts w:ascii="Arial" w:eastAsia="Arial" w:hAnsi="Arial" w:cs="Arial"/>
          <w:b/>
          <w:bCs/>
          <w:sz w:val="24"/>
          <w:szCs w:val="24"/>
        </w:rPr>
        <w:t xml:space="preserve">, </w:t>
      </w:r>
      <w:r>
        <w:rPr>
          <w:rFonts w:ascii="Arial" w:eastAsia="Arial" w:hAnsi="Arial" w:cs="Arial"/>
          <w:b/>
          <w:bCs/>
          <w:sz w:val="24"/>
          <w:szCs w:val="24"/>
          <w:vertAlign w:val="superscript"/>
        </w:rPr>
        <w:t>i</w:t>
      </w:r>
    </w:p>
    <w:p w14:paraId="406AE05A" w14:textId="77777777" w:rsidR="009D0F41" w:rsidRDefault="00000000">
      <w:pPr>
        <w:rPr>
          <w:rFonts w:ascii="Arial" w:eastAsia="Arial" w:hAnsi="Arial" w:cs="Arial"/>
          <w:b/>
          <w:bCs/>
          <w:sz w:val="24"/>
          <w:szCs w:val="24"/>
        </w:rPr>
      </w:pPr>
      <w:r>
        <w:rPr>
          <w:rFonts w:ascii="Arial" w:eastAsia="Arial" w:hAnsi="Arial" w:cs="Arial"/>
          <w:b/>
          <w:bCs/>
          <w:sz w:val="24"/>
          <w:szCs w:val="24"/>
        </w:rPr>
        <w:t>Ana Lucia Ferreira dos Santos</w:t>
      </w:r>
      <w:r>
        <w:rPr>
          <w:rFonts w:ascii="Arial" w:eastAsia="Arial" w:hAnsi="Arial" w:cs="Arial"/>
          <w:b/>
          <w:bCs/>
          <w:sz w:val="24"/>
          <w:szCs w:val="24"/>
          <w:vertAlign w:val="superscript"/>
        </w:rPr>
        <w:t xml:space="preserve"> </w:t>
      </w:r>
      <w:r>
        <w:rPr>
          <w:rFonts w:ascii="Arial" w:eastAsia="Arial" w:hAnsi="Arial" w:cs="Arial"/>
          <w:b/>
          <w:bCs/>
          <w:sz w:val="24"/>
          <w:szCs w:val="24"/>
          <w:vertAlign w:val="superscript"/>
        </w:rPr>
        <w:footnoteReference w:id="2"/>
      </w:r>
      <w:r>
        <w:rPr>
          <w:rFonts w:ascii="Arial" w:eastAsia="Arial" w:hAnsi="Arial" w:cs="Arial"/>
          <w:b/>
          <w:bCs/>
          <w:sz w:val="24"/>
          <w:szCs w:val="24"/>
        </w:rPr>
        <w:t xml:space="preserve">, </w:t>
      </w:r>
      <w:proofErr w:type="spellStart"/>
      <w:r>
        <w:rPr>
          <w:rFonts w:ascii="Arial" w:eastAsia="Arial" w:hAnsi="Arial" w:cs="Arial"/>
          <w:b/>
          <w:bCs/>
          <w:sz w:val="24"/>
          <w:szCs w:val="24"/>
          <w:vertAlign w:val="superscript"/>
        </w:rPr>
        <w:t>ii</w:t>
      </w:r>
      <w:proofErr w:type="spellEnd"/>
    </w:p>
    <w:p w14:paraId="5F2DC033" w14:textId="77777777" w:rsidR="009D0F41" w:rsidRDefault="00000000">
      <w:pPr>
        <w:rPr>
          <w:rFonts w:ascii="Arial" w:eastAsia="Arial" w:hAnsi="Arial" w:cs="Arial"/>
          <w:b/>
          <w:bCs/>
          <w:sz w:val="24"/>
          <w:szCs w:val="24"/>
          <w:vertAlign w:val="superscript"/>
        </w:rPr>
      </w:pPr>
      <w:r>
        <w:rPr>
          <w:rFonts w:ascii="Arial" w:eastAsia="Arial" w:hAnsi="Arial" w:cs="Arial"/>
          <w:b/>
          <w:bCs/>
          <w:sz w:val="24"/>
          <w:szCs w:val="24"/>
        </w:rPr>
        <w:t>Felipe de Almeida Camargo</w:t>
      </w:r>
      <w:r>
        <w:rPr>
          <w:rFonts w:ascii="Arial" w:eastAsia="Arial" w:hAnsi="Arial" w:cs="Arial"/>
          <w:b/>
          <w:bCs/>
          <w:sz w:val="24"/>
          <w:szCs w:val="24"/>
          <w:vertAlign w:val="superscript"/>
        </w:rPr>
        <w:t xml:space="preserve"> 3</w:t>
      </w:r>
      <w:r>
        <w:rPr>
          <w:rFonts w:ascii="Arial" w:eastAsia="Arial" w:hAnsi="Arial" w:cs="Arial"/>
          <w:b/>
          <w:bCs/>
          <w:sz w:val="24"/>
          <w:szCs w:val="24"/>
        </w:rPr>
        <w:t xml:space="preserve">, </w:t>
      </w:r>
      <w:proofErr w:type="spellStart"/>
      <w:r>
        <w:rPr>
          <w:rFonts w:ascii="Arial" w:eastAsia="Arial" w:hAnsi="Arial" w:cs="Arial"/>
          <w:b/>
          <w:bCs/>
          <w:sz w:val="24"/>
          <w:szCs w:val="24"/>
          <w:vertAlign w:val="superscript"/>
        </w:rPr>
        <w:t>iii</w:t>
      </w:r>
      <w:proofErr w:type="spellEnd"/>
    </w:p>
    <w:p w14:paraId="0AEF9A14" w14:textId="42E98DED" w:rsidR="007F4CB7" w:rsidRDefault="007F4CB7" w:rsidP="007F4CB7">
      <w:pPr>
        <w:rPr>
          <w:rFonts w:ascii="Arial" w:eastAsia="Arial" w:hAnsi="Arial" w:cs="Arial"/>
          <w:b/>
          <w:bCs/>
          <w:sz w:val="24"/>
          <w:szCs w:val="24"/>
        </w:rPr>
      </w:pPr>
      <w:r>
        <w:rPr>
          <w:rFonts w:ascii="Arial" w:eastAsia="Arial" w:hAnsi="Arial" w:cs="Arial"/>
          <w:b/>
          <w:bCs/>
          <w:sz w:val="24"/>
          <w:szCs w:val="24"/>
        </w:rPr>
        <w:t xml:space="preserve">Aruane de Mello Pineda </w:t>
      </w:r>
      <w:proofErr w:type="spellStart"/>
      <w:r>
        <w:rPr>
          <w:rFonts w:ascii="Arial" w:eastAsia="Arial" w:hAnsi="Arial" w:cs="Arial"/>
          <w:b/>
          <w:bCs/>
          <w:sz w:val="24"/>
          <w:szCs w:val="24"/>
        </w:rPr>
        <w:t>Pertinhez</w:t>
      </w:r>
      <w:proofErr w:type="spellEnd"/>
      <w:r>
        <w:rPr>
          <w:rFonts w:ascii="Arial" w:eastAsia="Arial" w:hAnsi="Arial" w:cs="Arial"/>
          <w:b/>
          <w:bCs/>
          <w:sz w:val="24"/>
          <w:szCs w:val="24"/>
          <w:vertAlign w:val="superscript"/>
        </w:rPr>
        <w:t xml:space="preserve"> 4</w:t>
      </w:r>
      <w:r>
        <w:rPr>
          <w:rFonts w:ascii="Arial" w:eastAsia="Arial" w:hAnsi="Arial" w:cs="Arial"/>
          <w:b/>
          <w:bCs/>
          <w:sz w:val="24"/>
          <w:szCs w:val="24"/>
        </w:rPr>
        <w:t xml:space="preserve">, </w:t>
      </w:r>
      <w:proofErr w:type="spellStart"/>
      <w:r>
        <w:rPr>
          <w:rFonts w:ascii="Arial" w:eastAsia="Arial" w:hAnsi="Arial" w:cs="Arial"/>
          <w:b/>
          <w:bCs/>
          <w:sz w:val="24"/>
          <w:szCs w:val="24"/>
          <w:vertAlign w:val="superscript"/>
        </w:rPr>
        <w:t>iv</w:t>
      </w:r>
      <w:proofErr w:type="spellEnd"/>
    </w:p>
    <w:p w14:paraId="4F3734D4" w14:textId="53A2B012" w:rsidR="007F4CB7" w:rsidRDefault="007F4CB7">
      <w:pPr>
        <w:rPr>
          <w:rFonts w:ascii="Arial" w:eastAsia="Arial" w:hAnsi="Arial" w:cs="Arial"/>
          <w:b/>
          <w:bCs/>
          <w:sz w:val="24"/>
          <w:szCs w:val="24"/>
        </w:rPr>
      </w:pPr>
      <w:r>
        <w:rPr>
          <w:rFonts w:ascii="Arial" w:eastAsia="Arial" w:hAnsi="Arial" w:cs="Arial"/>
          <w:b/>
          <w:bCs/>
          <w:sz w:val="24"/>
          <w:szCs w:val="24"/>
        </w:rPr>
        <w:t>Rafael Nobre Orsi</w:t>
      </w:r>
      <w:r>
        <w:rPr>
          <w:rFonts w:ascii="Arial" w:eastAsia="Arial" w:hAnsi="Arial" w:cs="Arial"/>
          <w:b/>
          <w:bCs/>
          <w:sz w:val="24"/>
          <w:szCs w:val="24"/>
          <w:vertAlign w:val="superscript"/>
        </w:rPr>
        <w:t xml:space="preserve"> </w:t>
      </w:r>
      <w:r w:rsidR="004320D0">
        <w:rPr>
          <w:rFonts w:ascii="Arial" w:eastAsia="Arial" w:hAnsi="Arial" w:cs="Arial"/>
          <w:b/>
          <w:bCs/>
          <w:sz w:val="24"/>
          <w:szCs w:val="24"/>
          <w:vertAlign w:val="superscript"/>
        </w:rPr>
        <w:t>5</w:t>
      </w:r>
      <w:r>
        <w:rPr>
          <w:rFonts w:ascii="Arial" w:eastAsia="Arial" w:hAnsi="Arial" w:cs="Arial"/>
          <w:b/>
          <w:bCs/>
          <w:sz w:val="24"/>
          <w:szCs w:val="24"/>
        </w:rPr>
        <w:t xml:space="preserve">, </w:t>
      </w:r>
      <w:r>
        <w:rPr>
          <w:rFonts w:ascii="Arial" w:eastAsia="Arial" w:hAnsi="Arial" w:cs="Arial"/>
          <w:b/>
          <w:bCs/>
          <w:sz w:val="24"/>
          <w:szCs w:val="24"/>
          <w:vertAlign w:val="superscript"/>
        </w:rPr>
        <w:t>v</w:t>
      </w:r>
    </w:p>
    <w:p w14:paraId="710C3E94" w14:textId="77777777" w:rsidR="009D0F41" w:rsidRDefault="00000000">
      <w:pPr>
        <w:rPr>
          <w:rFonts w:ascii="Arial" w:eastAsia="Arial" w:hAnsi="Arial" w:cs="Arial"/>
          <w:sz w:val="24"/>
          <w:szCs w:val="24"/>
        </w:rPr>
      </w:pPr>
      <w:proofErr w:type="spellStart"/>
      <w:r>
        <w:rPr>
          <w:rFonts w:ascii="Arial" w:eastAsia="Arial" w:hAnsi="Arial" w:cs="Arial"/>
          <w:b/>
          <w:bCs/>
          <w:sz w:val="24"/>
          <w:szCs w:val="24"/>
        </w:rPr>
        <w:t>Bethina</w:t>
      </w:r>
      <w:proofErr w:type="spellEnd"/>
      <w:r>
        <w:rPr>
          <w:rFonts w:ascii="Arial" w:eastAsia="Arial" w:hAnsi="Arial" w:cs="Arial"/>
          <w:b/>
          <w:bCs/>
          <w:sz w:val="24"/>
          <w:szCs w:val="24"/>
        </w:rPr>
        <w:t xml:space="preserve"> da Rocha Camargo </w:t>
      </w:r>
      <w:r>
        <w:rPr>
          <w:rFonts w:ascii="Arial" w:eastAsia="Arial" w:hAnsi="Arial" w:cs="Arial"/>
          <w:b/>
          <w:bCs/>
          <w:sz w:val="24"/>
          <w:szCs w:val="24"/>
          <w:vertAlign w:val="superscript"/>
        </w:rPr>
        <w:t>6</w:t>
      </w:r>
      <w:r>
        <w:rPr>
          <w:rFonts w:ascii="Arial" w:eastAsia="Arial" w:hAnsi="Arial" w:cs="Arial"/>
          <w:b/>
          <w:bCs/>
          <w:sz w:val="24"/>
          <w:szCs w:val="24"/>
        </w:rPr>
        <w:t xml:space="preserve">, </w:t>
      </w:r>
      <w:r w:rsidRPr="004320D0">
        <w:rPr>
          <w:rFonts w:ascii="Arial" w:eastAsia="Arial" w:hAnsi="Arial" w:cs="Arial"/>
          <w:b/>
          <w:bCs/>
          <w:sz w:val="24"/>
          <w:szCs w:val="24"/>
          <w:vertAlign w:val="superscript"/>
        </w:rPr>
        <w:t>vi</w:t>
      </w:r>
      <w:r>
        <w:rPr>
          <w:rFonts w:ascii="Arial" w:eastAsia="Arial" w:hAnsi="Arial" w:cs="Arial"/>
          <w:sz w:val="24"/>
          <w:szCs w:val="24"/>
        </w:rPr>
        <w:t> </w:t>
      </w:r>
    </w:p>
    <w:p w14:paraId="7DC9B9E2" w14:textId="77777777" w:rsidR="009D0F41" w:rsidRDefault="009D0F41">
      <w:pPr>
        <w:rPr>
          <w:rFonts w:ascii="Arial" w:eastAsia="Arial" w:hAnsi="Arial" w:cs="Arial"/>
          <w:sz w:val="24"/>
          <w:szCs w:val="24"/>
        </w:rPr>
      </w:pPr>
    </w:p>
    <w:p w14:paraId="3EED18B3" w14:textId="77777777" w:rsidR="009D0F41" w:rsidRDefault="00000000">
      <w:pPr>
        <w:rPr>
          <w:rFonts w:ascii="Arial" w:eastAsia="Arial" w:hAnsi="Arial" w:cs="Arial"/>
          <w:b/>
          <w:bCs/>
          <w:sz w:val="24"/>
          <w:szCs w:val="24"/>
        </w:rPr>
      </w:pPr>
      <w:r>
        <w:rPr>
          <w:rFonts w:ascii="Arial" w:eastAsia="Arial" w:hAnsi="Arial" w:cs="Arial"/>
          <w:b/>
          <w:bCs/>
          <w:sz w:val="24"/>
          <w:szCs w:val="24"/>
        </w:rPr>
        <w:t>RESUMO</w:t>
      </w:r>
    </w:p>
    <w:p w14:paraId="28D95FC6" w14:textId="77777777" w:rsidR="009D0F41" w:rsidRDefault="009D0F41">
      <w:pPr>
        <w:rPr>
          <w:rFonts w:ascii="Arial" w:eastAsia="Arial" w:hAnsi="Arial" w:cs="Arial"/>
          <w:b/>
          <w:bCs/>
          <w:sz w:val="24"/>
          <w:szCs w:val="24"/>
        </w:rPr>
      </w:pPr>
    </w:p>
    <w:p w14:paraId="363BF31E"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O envelhecimento populacional no Brasil modifica a relação entre a população em idade ativa e idosa, impactando a Previdência Social. Este estudo analisou dados demográficos e previdenciários (2005–2023) e projeções até 2070, utilizando dados do IBGE, AEPS, Previdência e Ipea integrados via Python. Os resultados indicam que a razão entre a população de 15 a 64 anos e a de 60 anos ou mais caiu de 7,01 para 4,44 entre 2005 e 2023, enquanto os indicadores previdenciários oscilaram entre melhora e deterioração. As projeções indicam o acirramento dessa tendência demográfica. Conclui-se que o envelhecimento é um desafio estrutural, mas o desempenho previdenciário reflete também fatores econômicos, trabalhistas e institucionais. </w:t>
      </w:r>
    </w:p>
    <w:p w14:paraId="34EA849D" w14:textId="77777777" w:rsidR="009D0F41" w:rsidRDefault="009D0F41">
      <w:pPr>
        <w:jc w:val="both"/>
        <w:rPr>
          <w:rFonts w:ascii="Arial" w:eastAsia="Arial" w:hAnsi="Arial" w:cs="Arial"/>
          <w:sz w:val="24"/>
          <w:szCs w:val="24"/>
        </w:rPr>
      </w:pPr>
    </w:p>
    <w:p w14:paraId="23EE5626" w14:textId="77777777" w:rsidR="009D0F41" w:rsidRPr="009C5841" w:rsidRDefault="00000000">
      <w:pPr>
        <w:rPr>
          <w:rFonts w:ascii="Arial" w:eastAsia="Arial" w:hAnsi="Arial" w:cs="Arial"/>
          <w:sz w:val="24"/>
          <w:szCs w:val="24"/>
          <w:lang w:val="en-US"/>
        </w:rPr>
      </w:pPr>
      <w:r>
        <w:rPr>
          <w:rFonts w:ascii="Arial" w:eastAsia="Arial" w:hAnsi="Arial" w:cs="Arial"/>
          <w:b/>
          <w:bCs/>
          <w:sz w:val="24"/>
          <w:szCs w:val="24"/>
        </w:rPr>
        <w:t xml:space="preserve">Palavras-chave: </w:t>
      </w:r>
      <w:r>
        <w:rPr>
          <w:rFonts w:ascii="Arial" w:eastAsia="Arial" w:hAnsi="Arial" w:cs="Arial"/>
          <w:sz w:val="24"/>
          <w:szCs w:val="24"/>
        </w:rPr>
        <w:t xml:space="preserve">Estrutura etária. Transição demográfica. </w:t>
      </w:r>
      <w:proofErr w:type="spellStart"/>
      <w:r w:rsidRPr="009C5841">
        <w:rPr>
          <w:rFonts w:ascii="Arial" w:eastAsia="Arial" w:hAnsi="Arial" w:cs="Arial"/>
          <w:sz w:val="24"/>
          <w:szCs w:val="24"/>
          <w:lang w:val="en-US"/>
        </w:rPr>
        <w:t>População</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idosa</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Projeções</w:t>
      </w:r>
      <w:proofErr w:type="spellEnd"/>
      <w:r w:rsidRPr="009C5841">
        <w:rPr>
          <w:rFonts w:ascii="Arial" w:eastAsia="Arial" w:hAnsi="Arial" w:cs="Arial"/>
          <w:sz w:val="24"/>
          <w:szCs w:val="24"/>
          <w:lang w:val="en-US"/>
        </w:rPr>
        <w:t xml:space="preserve"> </w:t>
      </w:r>
      <w:proofErr w:type="spellStart"/>
      <w:r w:rsidRPr="009C5841">
        <w:rPr>
          <w:rFonts w:ascii="Arial" w:eastAsia="Arial" w:hAnsi="Arial" w:cs="Arial"/>
          <w:sz w:val="24"/>
          <w:szCs w:val="24"/>
          <w:lang w:val="en-US"/>
        </w:rPr>
        <w:t>populacionais</w:t>
      </w:r>
      <w:proofErr w:type="spellEnd"/>
      <w:r w:rsidRPr="009C5841">
        <w:rPr>
          <w:rFonts w:ascii="Arial" w:eastAsia="Arial" w:hAnsi="Arial" w:cs="Arial"/>
          <w:sz w:val="24"/>
          <w:szCs w:val="24"/>
          <w:lang w:val="en-US"/>
        </w:rPr>
        <w:t xml:space="preserve">. </w:t>
      </w:r>
    </w:p>
    <w:p w14:paraId="0CE8824A" w14:textId="77777777" w:rsidR="007F4CB7" w:rsidRPr="009C5841" w:rsidRDefault="007F4CB7">
      <w:pPr>
        <w:widowControl/>
        <w:pBdr>
          <w:top w:val="nil"/>
          <w:left w:val="nil"/>
          <w:bottom w:val="nil"/>
          <w:right w:val="nil"/>
          <w:between w:val="nil"/>
        </w:pBdr>
        <w:jc w:val="both"/>
        <w:rPr>
          <w:rFonts w:ascii="Arial" w:eastAsia="Arial" w:hAnsi="Arial" w:cs="Arial"/>
          <w:sz w:val="24"/>
          <w:szCs w:val="24"/>
          <w:lang w:val="en-US"/>
        </w:rPr>
      </w:pPr>
    </w:p>
    <w:p w14:paraId="68D5376C" w14:textId="77777777" w:rsidR="009D0F41" w:rsidRPr="009C5841" w:rsidRDefault="00000000">
      <w:pPr>
        <w:rPr>
          <w:rFonts w:ascii="Arial" w:eastAsia="Arial" w:hAnsi="Arial" w:cs="Arial"/>
          <w:b/>
          <w:bCs/>
          <w:sz w:val="24"/>
          <w:szCs w:val="24"/>
          <w:lang w:val="en-US"/>
        </w:rPr>
      </w:pPr>
      <w:r w:rsidRPr="009C5841">
        <w:rPr>
          <w:rFonts w:ascii="Arial" w:eastAsia="Arial" w:hAnsi="Arial" w:cs="Arial"/>
          <w:b/>
          <w:bCs/>
          <w:sz w:val="24"/>
          <w:szCs w:val="24"/>
          <w:lang w:val="en-US"/>
        </w:rPr>
        <w:t>ABSTRACT</w:t>
      </w:r>
    </w:p>
    <w:p w14:paraId="56BC06D8" w14:textId="77777777" w:rsidR="009D0F41" w:rsidRPr="009C5841" w:rsidRDefault="009D0F41">
      <w:pPr>
        <w:rPr>
          <w:rFonts w:ascii="Arial" w:eastAsia="Arial" w:hAnsi="Arial" w:cs="Arial"/>
          <w:b/>
          <w:bCs/>
          <w:sz w:val="24"/>
          <w:szCs w:val="24"/>
          <w:lang w:val="en-US"/>
        </w:rPr>
      </w:pPr>
    </w:p>
    <w:p w14:paraId="065F79CB" w14:textId="77777777" w:rsidR="009D0F41" w:rsidRPr="009C5841" w:rsidRDefault="00000000">
      <w:pPr>
        <w:jc w:val="both"/>
        <w:rPr>
          <w:rFonts w:ascii="Arial" w:eastAsia="Arial" w:hAnsi="Arial" w:cs="Arial"/>
          <w:sz w:val="24"/>
          <w:szCs w:val="24"/>
          <w:lang w:val="en-US"/>
        </w:rPr>
      </w:pPr>
      <w:r w:rsidRPr="009C5841">
        <w:rPr>
          <w:rFonts w:ascii="Arial" w:eastAsia="Arial" w:hAnsi="Arial" w:cs="Arial"/>
          <w:sz w:val="24"/>
          <w:szCs w:val="24"/>
          <w:lang w:val="en-US"/>
        </w:rPr>
        <w:t xml:space="preserve">Population aging in Brazil is altering the relationship between the working-age and elderly populations, impacting Social Security. This study analyzed demographic and social security data (2005–2023) and projections through 2070, using data from IBGE, AEPS, Social Security, and </w:t>
      </w:r>
      <w:proofErr w:type="spellStart"/>
      <w:r w:rsidRPr="009C5841">
        <w:rPr>
          <w:rFonts w:ascii="Arial" w:eastAsia="Arial" w:hAnsi="Arial" w:cs="Arial"/>
          <w:sz w:val="24"/>
          <w:szCs w:val="24"/>
          <w:lang w:val="en-US"/>
        </w:rPr>
        <w:t>Ipea</w:t>
      </w:r>
      <w:proofErr w:type="spellEnd"/>
      <w:r w:rsidRPr="009C5841">
        <w:rPr>
          <w:rFonts w:ascii="Arial" w:eastAsia="Arial" w:hAnsi="Arial" w:cs="Arial"/>
          <w:sz w:val="24"/>
          <w:szCs w:val="24"/>
          <w:lang w:val="en-US"/>
        </w:rPr>
        <w:t xml:space="preserve"> integrated via Python. Results indicate that the ratio between the population aged 15 to 64 and those aged 60 and over fell from 7.01 to 4.44 between 2005 and 2023, while social security indicators fluctuated between improvement and deterioration. Projections confirm the intensification of this demographic trend. It is concluded that aging is a structural challenge, but social security performance also reflects economic, labor, and institutional factors. </w:t>
      </w:r>
    </w:p>
    <w:p w14:paraId="24B8BF7A" w14:textId="77777777" w:rsidR="009D0F41" w:rsidRDefault="00000000">
      <w:pPr>
        <w:jc w:val="both"/>
        <w:rPr>
          <w:rFonts w:ascii="Arial" w:eastAsia="Arial" w:hAnsi="Arial" w:cs="Arial"/>
          <w:sz w:val="24"/>
          <w:szCs w:val="24"/>
        </w:rPr>
      </w:pPr>
      <w:r w:rsidRPr="009C5841">
        <w:rPr>
          <w:rFonts w:ascii="Arial" w:eastAsia="Arial" w:hAnsi="Arial" w:cs="Arial"/>
          <w:b/>
          <w:bCs/>
          <w:sz w:val="24"/>
          <w:szCs w:val="24"/>
          <w:lang w:val="en-US"/>
        </w:rPr>
        <w:t>Keywords:</w:t>
      </w:r>
      <w:r w:rsidRPr="009C5841">
        <w:rPr>
          <w:rFonts w:ascii="Arial" w:eastAsia="Arial" w:hAnsi="Arial" w:cs="Arial"/>
          <w:sz w:val="24"/>
          <w:szCs w:val="24"/>
          <w:lang w:val="en-US"/>
        </w:rPr>
        <w:t xml:space="preserve"> Age structure. Demographic transition. </w:t>
      </w:r>
      <w:proofErr w:type="spellStart"/>
      <w:r>
        <w:rPr>
          <w:rFonts w:ascii="Arial" w:eastAsia="Arial" w:hAnsi="Arial" w:cs="Arial"/>
          <w:sz w:val="24"/>
          <w:szCs w:val="24"/>
        </w:rPr>
        <w:t>Elderly</w:t>
      </w:r>
      <w:proofErr w:type="spellEnd"/>
      <w:r>
        <w:rPr>
          <w:rFonts w:ascii="Arial" w:eastAsia="Arial" w:hAnsi="Arial" w:cs="Arial"/>
          <w:sz w:val="24"/>
          <w:szCs w:val="24"/>
        </w:rPr>
        <w:t xml:space="preserve"> </w:t>
      </w:r>
      <w:proofErr w:type="spellStart"/>
      <w:r>
        <w:rPr>
          <w:rFonts w:ascii="Arial" w:eastAsia="Arial" w:hAnsi="Arial" w:cs="Arial"/>
          <w:sz w:val="24"/>
          <w:szCs w:val="24"/>
        </w:rPr>
        <w:t>population</w:t>
      </w:r>
      <w:proofErr w:type="spellEnd"/>
      <w:r>
        <w:rPr>
          <w:rFonts w:ascii="Arial" w:eastAsia="Arial" w:hAnsi="Arial" w:cs="Arial"/>
          <w:sz w:val="24"/>
          <w:szCs w:val="24"/>
        </w:rPr>
        <w:t xml:space="preserve">. </w:t>
      </w:r>
      <w:proofErr w:type="spellStart"/>
      <w:r>
        <w:rPr>
          <w:rFonts w:ascii="Arial" w:eastAsia="Arial" w:hAnsi="Arial" w:cs="Arial"/>
          <w:sz w:val="24"/>
          <w:szCs w:val="24"/>
        </w:rPr>
        <w:t>Population</w:t>
      </w:r>
      <w:proofErr w:type="spellEnd"/>
      <w:r>
        <w:rPr>
          <w:rFonts w:ascii="Arial" w:eastAsia="Arial" w:hAnsi="Arial" w:cs="Arial"/>
          <w:sz w:val="24"/>
          <w:szCs w:val="24"/>
        </w:rPr>
        <w:t xml:space="preserve"> </w:t>
      </w:r>
      <w:proofErr w:type="spellStart"/>
      <w:r>
        <w:rPr>
          <w:rFonts w:ascii="Arial" w:eastAsia="Arial" w:hAnsi="Arial" w:cs="Arial"/>
          <w:sz w:val="24"/>
          <w:szCs w:val="24"/>
        </w:rPr>
        <w:lastRenderedPageBreak/>
        <w:t>projections</w:t>
      </w:r>
      <w:proofErr w:type="spellEnd"/>
      <w:r>
        <w:rPr>
          <w:rFonts w:ascii="Arial" w:eastAsia="Arial" w:hAnsi="Arial" w:cs="Arial"/>
          <w:sz w:val="24"/>
          <w:szCs w:val="24"/>
        </w:rPr>
        <w:t>.</w:t>
      </w:r>
    </w:p>
    <w:p w14:paraId="11344F73" w14:textId="77777777" w:rsidR="00A51897" w:rsidRDefault="00A51897">
      <w:pPr>
        <w:jc w:val="both"/>
        <w:rPr>
          <w:rFonts w:ascii="Arial" w:eastAsia="Arial" w:hAnsi="Arial" w:cs="Arial"/>
          <w:sz w:val="24"/>
          <w:szCs w:val="24"/>
        </w:rPr>
      </w:pPr>
    </w:p>
    <w:p w14:paraId="5E9667DC" w14:textId="77777777" w:rsidR="009D0F41" w:rsidRDefault="00000000">
      <w:pPr>
        <w:pStyle w:val="Ttulo1"/>
        <w:numPr>
          <w:ilvl w:val="0"/>
          <w:numId w:val="1"/>
        </w:numPr>
        <w:ind w:left="426"/>
        <w:rPr>
          <w:rFonts w:ascii="Arial" w:eastAsia="Arial" w:hAnsi="Arial" w:cs="Arial"/>
        </w:rPr>
      </w:pPr>
      <w:r>
        <w:rPr>
          <w:rFonts w:ascii="Arial" w:eastAsia="Arial" w:hAnsi="Arial" w:cs="Arial"/>
        </w:rPr>
        <w:t>INTRODUÇÃO</w:t>
      </w:r>
    </w:p>
    <w:p w14:paraId="4B1B5A22" w14:textId="77777777" w:rsidR="009D0F41" w:rsidRDefault="009D0F41">
      <w:pPr>
        <w:rPr>
          <w:rFonts w:ascii="Arial" w:eastAsia="Arial" w:hAnsi="Arial" w:cs="Arial"/>
          <w:sz w:val="24"/>
          <w:szCs w:val="24"/>
        </w:rPr>
      </w:pPr>
    </w:p>
    <w:p w14:paraId="735DA3D0" w14:textId="77777777" w:rsidR="009D0F41" w:rsidRDefault="00000000">
      <w:pPr>
        <w:keepNext/>
        <w:keepLines/>
        <w:jc w:val="both"/>
        <w:rPr>
          <w:rFonts w:ascii="Arial" w:eastAsia="Arial" w:hAnsi="Arial" w:cs="Arial"/>
          <w:sz w:val="24"/>
          <w:szCs w:val="24"/>
        </w:rPr>
      </w:pPr>
      <w:r>
        <w:rPr>
          <w:rFonts w:ascii="Arial" w:eastAsia="Arial" w:hAnsi="Arial" w:cs="Arial"/>
          <w:sz w:val="24"/>
          <w:szCs w:val="24"/>
        </w:rPr>
        <w:t xml:space="preserve">O Brasil vivencia uma acelerada transição demográfica, impulsionada pela queda da taxa de fecundidade e pelo aumento da longevidade (IBGE, 2024). Esse processo altera substancialmente a pirâmide etária do país, reduzindo a proporção de indivíduos em idade potencialmente ativa e elevando continuamente o contingente de pessoas idosas. No Regime Geral de Previdência Social (RGPS) — assentado sobre o regime de repartição simples —, essa mudança impõe pressões ao financiamento intergeracional, no qual a massa de trabalhadores ativos custeia os benefícios dos inativos (Brasil, 2013;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2024).</w:t>
      </w:r>
    </w:p>
    <w:p w14:paraId="6A625E1E" w14:textId="77777777" w:rsidR="009D0F41" w:rsidRDefault="00000000">
      <w:pPr>
        <w:keepNext/>
        <w:keepLines/>
        <w:jc w:val="both"/>
        <w:rPr>
          <w:rFonts w:ascii="Arial" w:eastAsia="Arial" w:hAnsi="Arial" w:cs="Arial"/>
          <w:sz w:val="24"/>
          <w:szCs w:val="24"/>
        </w:rPr>
      </w:pPr>
      <w:r>
        <w:rPr>
          <w:rFonts w:ascii="Arial" w:eastAsia="Arial" w:hAnsi="Arial" w:cs="Arial"/>
          <w:sz w:val="24"/>
          <w:szCs w:val="24"/>
        </w:rPr>
        <w:t xml:space="preserve">Embora o IBGE e os órgãos previdenciários divulguem rotineiramente suas estatísticas, tais bases de dados são disponibilizadas de forma isolada e sob metodologias distintas, limitando a compreensão sobre a convergência real dessas trajetórias. O avanço previdenciário não decorre exclusivamente da demografia, mas também de flutuações macroeconômicas, formalização do trabalho e reformas institucionais (Brasil, 2024, 2025). </w:t>
      </w:r>
    </w:p>
    <w:p w14:paraId="5AC192F7" w14:textId="77777777" w:rsidR="009D0F41" w:rsidRDefault="00000000">
      <w:pPr>
        <w:keepNext/>
        <w:keepLines/>
        <w:jc w:val="both"/>
        <w:rPr>
          <w:rFonts w:ascii="Arial" w:eastAsia="Arial" w:hAnsi="Arial" w:cs="Arial"/>
          <w:sz w:val="24"/>
          <w:szCs w:val="24"/>
        </w:rPr>
      </w:pPr>
      <w:r>
        <w:rPr>
          <w:rFonts w:ascii="Arial" w:eastAsia="Arial" w:hAnsi="Arial" w:cs="Arial"/>
          <w:sz w:val="24"/>
          <w:szCs w:val="24"/>
        </w:rPr>
        <w:t xml:space="preserve">Diante desse cenário, este estudo analisa a relação entre a população em idade potencialmente ativa e a população idosa no Brasil, confrontando a série histórica (2005–2023) dos indicadores demográficos e previdenciários do RGPS com as projeções populacionais até 2070. Dessa forma, busca-se avaliar os desafios decorrentes do envelhecimento populacional para a Previdência Social, sem incorrer em determinismo demográfico direto. </w:t>
      </w:r>
    </w:p>
    <w:p w14:paraId="4F30076A" w14:textId="77777777" w:rsidR="009D0F41" w:rsidRDefault="009D0F41">
      <w:pPr>
        <w:jc w:val="both"/>
        <w:rPr>
          <w:rFonts w:ascii="Arial" w:eastAsia="Arial" w:hAnsi="Arial" w:cs="Arial"/>
          <w:sz w:val="24"/>
          <w:szCs w:val="24"/>
        </w:rPr>
      </w:pPr>
    </w:p>
    <w:p w14:paraId="009946C0" w14:textId="77777777" w:rsidR="009D0F41" w:rsidRDefault="00000000">
      <w:pPr>
        <w:pStyle w:val="Ttulo2"/>
        <w:numPr>
          <w:ilvl w:val="1"/>
          <w:numId w:val="1"/>
        </w:numPr>
        <w:rPr>
          <w:rFonts w:ascii="Arial" w:eastAsia="Arial" w:hAnsi="Arial" w:cs="Arial"/>
        </w:rPr>
      </w:pPr>
      <w:r>
        <w:rPr>
          <w:rFonts w:ascii="Arial" w:eastAsia="Arial" w:hAnsi="Arial" w:cs="Arial"/>
        </w:rPr>
        <w:t>Problema de pesquisa</w:t>
      </w:r>
    </w:p>
    <w:p w14:paraId="133BF40B" w14:textId="77777777" w:rsidR="009D0F41" w:rsidRDefault="009D0F41"/>
    <w:p w14:paraId="7E0DF7A0"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Como a relação entre a população em idade potencialmente ativa e a população idosa vem se modificando no Brasil e quais desafios as projeções demográficas indicam para o contexto previdenciário nas próximas décadas? </w:t>
      </w:r>
    </w:p>
    <w:p w14:paraId="78E1B237" w14:textId="77777777" w:rsidR="009D0F41" w:rsidRDefault="009D0F41">
      <w:pPr>
        <w:rPr>
          <w:rFonts w:ascii="Arial" w:eastAsia="Arial" w:hAnsi="Arial" w:cs="Arial"/>
          <w:sz w:val="24"/>
          <w:szCs w:val="24"/>
        </w:rPr>
      </w:pPr>
    </w:p>
    <w:p w14:paraId="057EDE99" w14:textId="77777777" w:rsidR="009D0F41" w:rsidRDefault="00000000">
      <w:pPr>
        <w:pStyle w:val="Ttulo2"/>
        <w:numPr>
          <w:ilvl w:val="1"/>
          <w:numId w:val="1"/>
        </w:numPr>
        <w:rPr>
          <w:rFonts w:ascii="Arial" w:eastAsia="Arial" w:hAnsi="Arial" w:cs="Arial"/>
        </w:rPr>
      </w:pPr>
      <w:r>
        <w:rPr>
          <w:rFonts w:ascii="Arial" w:eastAsia="Arial" w:hAnsi="Arial" w:cs="Arial"/>
        </w:rPr>
        <w:t>Objetivo(s)</w:t>
      </w:r>
    </w:p>
    <w:p w14:paraId="6F2E355F" w14:textId="77777777" w:rsidR="009D0F41" w:rsidRDefault="009D0F41"/>
    <w:p w14:paraId="5AC27AA4"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Analisar as mudanças na relação entre a população em idade potencialmente ativa e a população idosa no Brasil, integrando dados demográficos e previdenciários no período de 2005 a 2023 e examinando as projeções demográficas até 2070, a fim de discutir os desafios associados ao envelhecimento populacional no contexto da Previdência Social. </w:t>
      </w:r>
    </w:p>
    <w:p w14:paraId="71E7CC9A" w14:textId="77777777" w:rsidR="009D0F41" w:rsidRDefault="009D0F41">
      <w:pPr>
        <w:rPr>
          <w:rFonts w:ascii="Arial" w:eastAsia="Arial" w:hAnsi="Arial" w:cs="Arial"/>
          <w:sz w:val="24"/>
          <w:szCs w:val="24"/>
        </w:rPr>
      </w:pPr>
    </w:p>
    <w:p w14:paraId="64A126C8" w14:textId="77777777" w:rsidR="009D0F41" w:rsidRDefault="00000000">
      <w:pPr>
        <w:pStyle w:val="Ttulo2"/>
        <w:numPr>
          <w:ilvl w:val="1"/>
          <w:numId w:val="1"/>
        </w:numPr>
        <w:rPr>
          <w:rFonts w:ascii="Arial" w:eastAsia="Arial" w:hAnsi="Arial" w:cs="Arial"/>
        </w:rPr>
      </w:pPr>
      <w:r>
        <w:rPr>
          <w:rFonts w:ascii="Arial" w:eastAsia="Arial" w:hAnsi="Arial" w:cs="Arial"/>
        </w:rPr>
        <w:t>Justificativa</w:t>
      </w:r>
    </w:p>
    <w:p w14:paraId="1559A3CC" w14:textId="77777777" w:rsidR="009D0F41" w:rsidRDefault="009D0F41"/>
    <w:p w14:paraId="2AED741F" w14:textId="77777777" w:rsidR="009D0F41" w:rsidRDefault="00000000">
      <w:pPr>
        <w:jc w:val="both"/>
        <w:rPr>
          <w:rFonts w:ascii="Arial" w:eastAsia="Arial" w:hAnsi="Arial" w:cs="Arial"/>
          <w:sz w:val="24"/>
          <w:szCs w:val="24"/>
        </w:rPr>
      </w:pPr>
      <w:r>
        <w:rPr>
          <w:rFonts w:ascii="Arial" w:eastAsia="Arial" w:hAnsi="Arial" w:cs="Arial"/>
          <w:sz w:val="24"/>
          <w:szCs w:val="24"/>
        </w:rPr>
        <w:t>Embora o IBGE e os órgãos previdenciários publiquem extensas estatísticas, tais dados são disponibilizados em bases isoladas. A relevância deste estudo reside na construção de uma abordagem que cruza indicadores populacionais com a evolução de contribuintes e benefícios do RGPS, permitindo observar dinâmicas que, analisadas separadamente, não revelam a totalidade do fenômeno. Ao confrontar a transformação da estrutura etária com a dinâmica pública de repartição e projetar seus reflexos de longo prazo, o trabalho contribui para o debate acadêmico sobre os gargalos do financiamento intergeracional, evitando análises superficiais baseadas em determinismo demográfico.</w:t>
      </w:r>
    </w:p>
    <w:p w14:paraId="7918739D" w14:textId="77777777" w:rsidR="009D0F41" w:rsidRDefault="00000000">
      <w:pPr>
        <w:pStyle w:val="Ttulo1"/>
        <w:numPr>
          <w:ilvl w:val="0"/>
          <w:numId w:val="1"/>
        </w:numPr>
        <w:ind w:left="426"/>
        <w:rPr>
          <w:rFonts w:ascii="Arial" w:eastAsia="Arial" w:hAnsi="Arial" w:cs="Arial"/>
        </w:rPr>
      </w:pPr>
      <w:r>
        <w:rPr>
          <w:rFonts w:ascii="Arial" w:eastAsia="Arial" w:hAnsi="Arial" w:cs="Arial"/>
        </w:rPr>
        <w:lastRenderedPageBreak/>
        <w:t xml:space="preserve">REVISÃO DE LITERATURA </w:t>
      </w:r>
    </w:p>
    <w:p w14:paraId="3A184E77" w14:textId="77777777" w:rsidR="009D0F41" w:rsidRDefault="009D0F41"/>
    <w:p w14:paraId="5186EB98" w14:textId="77777777" w:rsidR="009D0F41" w:rsidRDefault="00000000">
      <w:pPr>
        <w:jc w:val="both"/>
        <w:rPr>
          <w:rFonts w:ascii="Arial" w:eastAsia="Arial" w:hAnsi="Arial" w:cs="Arial"/>
          <w:sz w:val="24"/>
          <w:szCs w:val="24"/>
        </w:rPr>
      </w:pPr>
      <w:r>
        <w:rPr>
          <w:rFonts w:ascii="Arial" w:eastAsia="Arial" w:hAnsi="Arial" w:cs="Arial"/>
          <w:sz w:val="24"/>
          <w:szCs w:val="24"/>
        </w:rPr>
        <w:t>O Brasil passa por uma acelerada transição demográfica, caracterizada pela queda da taxa de fecundidade e pelo aumento da longevidade, o que estreita a base da pirâmide etária e alarga o seu topo. As projeções oficiais indicam que a participação populacional com 60 anos ou mais subirá de 15,6% em 2023 para 37,8% em 2070 (IBGE, 2024). Essa mudança etária pressiona o financiamento do Regime Geral de Previdência Social (RGPS), fundamentado no regime de repartição simples, em que a população ocupada atual custeia os benefícios vigentes. Com o avanço da razão de dependência dos idosos, exige-se que uma proporção relativamente menor de trabalhadores financie um contingente crescente de aposentados e pensionistas, impondo desafios ao equilíbrio financeiro e atuarial do sistema (COSTANZI; ANSILIERO, 2024).</w:t>
      </w:r>
    </w:p>
    <w:p w14:paraId="4009012F" w14:textId="77777777" w:rsidR="009D0F41" w:rsidRDefault="00000000">
      <w:pPr>
        <w:jc w:val="both"/>
        <w:rPr>
          <w:rFonts w:ascii="Arial" w:eastAsia="Arial" w:hAnsi="Arial" w:cs="Arial"/>
          <w:sz w:val="24"/>
          <w:szCs w:val="24"/>
        </w:rPr>
      </w:pPr>
      <w:r>
        <w:rPr>
          <w:rFonts w:ascii="Arial" w:eastAsia="Arial" w:hAnsi="Arial" w:cs="Arial"/>
          <w:sz w:val="24"/>
          <w:szCs w:val="24"/>
        </w:rPr>
        <w:t>Para analisar essa dinâmica, é indispensável diferenciar a população em idade potencialmente ativa (PIPA — faixa de 15 a 64 anos) da população efetivamente contribuinte. Estar em idade produtiva não garante inserção no mercado de trabalho formal nem contribuição previdenciária, dada a presença de desocupação, inatividade e informalidade. Historicamente, a expansão da base contributiva do RGPS esteve atrelada ao desempenho do mercado de trabalho e a mecanismos de inclusão, como o Plano Simplificado e o MEI (BRASIL, 2013), enquanto retratações econômicas e informalidade reduzem a arrecadação do sistema mesmo em momentos de pico populacional ativo (COSTANZI; ANSILIERO, 2024).</w:t>
      </w:r>
    </w:p>
    <w:p w14:paraId="347F2F2F" w14:textId="77777777" w:rsidR="009D0F41" w:rsidRDefault="00000000">
      <w:pPr>
        <w:jc w:val="both"/>
        <w:rPr>
          <w:rFonts w:ascii="Arial" w:eastAsia="Arial" w:hAnsi="Arial" w:cs="Arial"/>
          <w:sz w:val="24"/>
          <w:szCs w:val="24"/>
        </w:rPr>
      </w:pPr>
      <w:r>
        <w:rPr>
          <w:rFonts w:ascii="Arial" w:eastAsia="Arial" w:hAnsi="Arial" w:cs="Arial"/>
          <w:sz w:val="24"/>
          <w:szCs w:val="24"/>
        </w:rPr>
        <w:t>Assim, a análise conjunta dessas dimensões evidencia que, enquanto as projeções demográficas indicam tendências populacionais estruturais de longo prazo, as estatísticas previdenciárias refletem também variações do mercado de trabalho e do arcabouço institucional. Essa distinção conceitual é fundamental para examinar a longevidade e a sustentabilidade da Previdência Social sem incorrer em determinismo demográfico direto.</w:t>
      </w:r>
    </w:p>
    <w:p w14:paraId="103BA6F0" w14:textId="77777777" w:rsidR="009D0F41" w:rsidRDefault="009D0F41">
      <w:pPr>
        <w:rPr>
          <w:rFonts w:ascii="Arial" w:eastAsia="Arial" w:hAnsi="Arial" w:cs="Arial"/>
          <w:color w:val="000000"/>
          <w:sz w:val="24"/>
          <w:szCs w:val="24"/>
        </w:rPr>
      </w:pPr>
    </w:p>
    <w:p w14:paraId="5B80027A" w14:textId="77777777" w:rsidR="009D0F41" w:rsidRDefault="00000000">
      <w:pPr>
        <w:pStyle w:val="Ttulo1"/>
        <w:numPr>
          <w:ilvl w:val="0"/>
          <w:numId w:val="1"/>
        </w:numPr>
        <w:ind w:left="426"/>
        <w:rPr>
          <w:rFonts w:ascii="Arial" w:eastAsia="Arial" w:hAnsi="Arial" w:cs="Arial"/>
        </w:rPr>
      </w:pPr>
      <w:r>
        <w:rPr>
          <w:rFonts w:ascii="Arial" w:eastAsia="Arial" w:hAnsi="Arial" w:cs="Arial"/>
        </w:rPr>
        <w:t xml:space="preserve">METODOLOGIA </w:t>
      </w:r>
    </w:p>
    <w:p w14:paraId="58EBF27D" w14:textId="77777777" w:rsidR="009D0F41" w:rsidRDefault="009D0F41">
      <w:pPr>
        <w:rPr>
          <w:rFonts w:ascii="Arial" w:eastAsia="Arial" w:hAnsi="Arial" w:cs="Arial"/>
          <w:i/>
          <w:iCs/>
          <w:color w:val="000000"/>
          <w:sz w:val="24"/>
          <w:szCs w:val="24"/>
        </w:rPr>
      </w:pPr>
    </w:p>
    <w:p w14:paraId="6EC27C06"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Este estudo possui abordagem quantitativa e descritiva, utilizando dados secundários oficiais. Para a análise demográfica, foram empregadas as Projeções da População do Brasil (Revisão 2024) do IBGE, elaboradas pelo Método das Componentes Demográficas para o período de 2000 a 2070 (IBGE, 2024). Para a análise previdenciária, utilizaram-se dados do Anuário Estatístico da Previdência Social (AEPS), de seus suplementos históricos e de publicações do Ipea (Brasil, 2013, 2024, 2025;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2024). Os dados de benefícios e aposentadorias correspondem aos valores emitidos em dezembro de cada ano, não equivalendo ao número exato de pessoas beneficiárias, visto que o acúmulo legal de benefícios é permitido.</w:t>
      </w:r>
    </w:p>
    <w:p w14:paraId="361CF17C" w14:textId="77777777" w:rsidR="009D0F41" w:rsidRDefault="00000000">
      <w:pPr>
        <w:jc w:val="both"/>
        <w:rPr>
          <w:rFonts w:ascii="Arial" w:eastAsia="Arial" w:hAnsi="Arial" w:cs="Arial"/>
          <w:sz w:val="24"/>
          <w:szCs w:val="24"/>
        </w:rPr>
      </w:pPr>
      <w:r>
        <w:rPr>
          <w:rFonts w:ascii="Arial" w:eastAsia="Arial" w:hAnsi="Arial" w:cs="Arial"/>
          <w:sz w:val="24"/>
          <w:szCs w:val="24"/>
        </w:rPr>
        <w:t>Para representar a base contributiva, utilizou-se a média mensal de contribuintes do RGPS (2005–2023). Essa métrica resulta da soma das contribuições mensais anuais dividida por doze, refletindo a densidade média de trabalhadores ativos em um mês típico. Essa abordagem diferencia-se da contagem de pessoas físicas que contribuíram ao menos uma vez no ano, indicador que tenderia a inflar a base com vínculos esporádicos ou de curta duração. O recorte de 2005 a 2023 consolidou o intervalo comum disponível entre as séries históricas.</w:t>
      </w:r>
    </w:p>
    <w:p w14:paraId="0F68ECE7"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O processamento computacional foi realizado em Python 3.13.9 (bibliotecas Pandas e </w:t>
      </w:r>
      <w:proofErr w:type="spellStart"/>
      <w:r>
        <w:rPr>
          <w:rFonts w:ascii="Arial" w:eastAsia="Arial" w:hAnsi="Arial" w:cs="Arial"/>
          <w:sz w:val="24"/>
          <w:szCs w:val="24"/>
        </w:rPr>
        <w:t>Matplotlib</w:t>
      </w:r>
      <w:proofErr w:type="spellEnd"/>
      <w:r>
        <w:rPr>
          <w:rFonts w:ascii="Arial" w:eastAsia="Arial" w:hAnsi="Arial" w:cs="Arial"/>
          <w:sz w:val="24"/>
          <w:szCs w:val="24"/>
        </w:rPr>
        <w:t>). Após a padronização, limpeza e integração das bases nacionais, obteve-</w:t>
      </w:r>
      <w:r>
        <w:rPr>
          <w:rFonts w:ascii="Arial" w:eastAsia="Arial" w:hAnsi="Arial" w:cs="Arial"/>
          <w:sz w:val="24"/>
          <w:szCs w:val="24"/>
        </w:rPr>
        <w:lastRenderedPageBreak/>
        <w:t>se uma série demográfica de 2000 a 2070 e uma base histórica integrada de 2005 a 2023.</w:t>
      </w:r>
    </w:p>
    <w:p w14:paraId="47551F00" w14:textId="77777777" w:rsidR="009D0F41" w:rsidRDefault="00000000">
      <w:pPr>
        <w:jc w:val="both"/>
        <w:rPr>
          <w:rFonts w:ascii="Arial" w:eastAsia="Arial" w:hAnsi="Arial" w:cs="Arial"/>
          <w:sz w:val="24"/>
          <w:szCs w:val="24"/>
        </w:rPr>
      </w:pPr>
      <w:r>
        <w:rPr>
          <w:rFonts w:ascii="Arial" w:eastAsia="Arial" w:hAnsi="Arial" w:cs="Arial"/>
          <w:sz w:val="24"/>
          <w:szCs w:val="24"/>
        </w:rPr>
        <w:t>A adoção da faixa de 60 anos ou mais como referência demográfica fundamenta-se no marco legal do Estatuto da Pessoa Idosa (Lei nº 10.741/2003) e nas idades mínimas históricas de aposentadoria do RGPS, atuando como indicador sintético da transição etária, embora não coincida estritamente com os inativos reais.</w:t>
      </w:r>
    </w:p>
    <w:p w14:paraId="27932EF9" w14:textId="77777777" w:rsidR="009D0F41" w:rsidRDefault="00000000">
      <w:pPr>
        <w:jc w:val="both"/>
        <w:rPr>
          <w:rFonts w:ascii="Arial" w:eastAsia="Arial" w:hAnsi="Arial" w:cs="Arial"/>
          <w:sz w:val="24"/>
          <w:szCs w:val="24"/>
        </w:rPr>
      </w:pPr>
      <w:r>
        <w:rPr>
          <w:rFonts w:ascii="Arial" w:eastAsia="Arial" w:hAnsi="Arial" w:cs="Arial"/>
          <w:sz w:val="24"/>
          <w:szCs w:val="24"/>
        </w:rPr>
        <w:t>Para a análise, construíram-se três indicadores de razão (Quadro 1). Destaca-se que tais indicadores representam relações volumétricas entre grandezas de naturezas distintas, não constituindo medidas diretas de sustentabilidade financeira. Por exemplo, uma razão de 1,54 contribuinte por benefício não significa que as contribuições desse grupo custeiem integralmente o valor do benefício, dadas as variações de pisos, tetos e regras de cálculo do RGPS.</w:t>
      </w:r>
    </w:p>
    <w:p w14:paraId="547DD67B" w14:textId="77777777" w:rsidR="009D0F41" w:rsidRDefault="009D0F41">
      <w:pPr>
        <w:jc w:val="both"/>
        <w:rPr>
          <w:rFonts w:ascii="Arial" w:eastAsia="Arial" w:hAnsi="Arial" w:cs="Arial"/>
          <w:sz w:val="24"/>
          <w:szCs w:val="24"/>
        </w:rPr>
      </w:pPr>
    </w:p>
    <w:p w14:paraId="7A9A0638" w14:textId="77777777" w:rsidR="009D0F41" w:rsidRDefault="009D0F41">
      <w:pPr>
        <w:jc w:val="both"/>
        <w:rPr>
          <w:rFonts w:ascii="Arial" w:eastAsia="Arial" w:hAnsi="Arial" w:cs="Arial"/>
          <w:sz w:val="24"/>
          <w:szCs w:val="24"/>
        </w:rPr>
      </w:pPr>
    </w:p>
    <w:tbl>
      <w:tblPr>
        <w:tblStyle w:val="af0"/>
        <w:tblW w:w="9059" w:type="dxa"/>
        <w:tblInd w:w="0" w:type="dxa"/>
        <w:tblLayout w:type="fixed"/>
        <w:tblLook w:val="0400" w:firstRow="0" w:lastRow="0" w:firstColumn="0" w:lastColumn="0" w:noHBand="0" w:noVBand="1"/>
      </w:tblPr>
      <w:tblGrid>
        <w:gridCol w:w="2129"/>
        <w:gridCol w:w="2826"/>
        <w:gridCol w:w="4104"/>
      </w:tblGrid>
      <w:tr w:rsidR="009D0F41" w14:paraId="167D1968" w14:textId="77777777">
        <w:trPr>
          <w:tblHeader/>
        </w:trPr>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D94DF" w14:textId="77777777" w:rsidR="009D0F41" w:rsidRDefault="00000000">
            <w:pPr>
              <w:jc w:val="both"/>
              <w:rPr>
                <w:rFonts w:ascii="Arial" w:eastAsia="Arial" w:hAnsi="Arial" w:cs="Arial"/>
                <w:sz w:val="20"/>
                <w:szCs w:val="20"/>
              </w:rPr>
            </w:pPr>
            <w:r>
              <w:rPr>
                <w:rFonts w:ascii="Arial" w:eastAsia="Arial" w:hAnsi="Arial" w:cs="Arial"/>
                <w:b/>
                <w:bCs/>
                <w:sz w:val="20"/>
                <w:szCs w:val="20"/>
              </w:rPr>
              <w:t>Indicador</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4F2AD" w14:textId="77777777" w:rsidR="009D0F41" w:rsidRDefault="00000000">
            <w:pPr>
              <w:jc w:val="both"/>
              <w:rPr>
                <w:rFonts w:ascii="Arial" w:eastAsia="Arial" w:hAnsi="Arial" w:cs="Arial"/>
                <w:sz w:val="20"/>
                <w:szCs w:val="20"/>
              </w:rPr>
            </w:pPr>
            <w:r>
              <w:rPr>
                <w:rFonts w:ascii="Arial" w:eastAsia="Arial" w:hAnsi="Arial" w:cs="Arial"/>
                <w:b/>
                <w:bCs/>
                <w:sz w:val="20"/>
                <w:szCs w:val="20"/>
              </w:rPr>
              <w:t>Descrição e Natureza</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E8B27" w14:textId="77777777" w:rsidR="009D0F41" w:rsidRDefault="00000000">
            <w:pPr>
              <w:jc w:val="both"/>
              <w:rPr>
                <w:rFonts w:ascii="Arial" w:eastAsia="Arial" w:hAnsi="Arial" w:cs="Arial"/>
                <w:sz w:val="20"/>
                <w:szCs w:val="20"/>
              </w:rPr>
            </w:pPr>
            <w:r>
              <w:rPr>
                <w:rFonts w:ascii="Arial" w:eastAsia="Arial" w:hAnsi="Arial" w:cs="Arial"/>
                <w:b/>
                <w:bCs/>
                <w:sz w:val="20"/>
                <w:szCs w:val="20"/>
              </w:rPr>
              <w:t>Fórmula de Cálculo</w:t>
            </w:r>
          </w:p>
        </w:tc>
      </w:tr>
      <w:tr w:rsidR="009D0F41" w14:paraId="316017C8"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447423" w14:textId="77777777" w:rsidR="009D0F41" w:rsidRDefault="00000000">
            <w:pPr>
              <w:jc w:val="both"/>
              <w:rPr>
                <w:rFonts w:ascii="Arial" w:eastAsia="Arial" w:hAnsi="Arial" w:cs="Arial"/>
                <w:sz w:val="20"/>
                <w:szCs w:val="20"/>
              </w:rPr>
            </w:pPr>
            <w:r>
              <w:rPr>
                <w:rFonts w:ascii="Arial" w:eastAsia="Arial" w:hAnsi="Arial" w:cs="Arial"/>
                <w:b/>
                <w:bCs/>
                <w:sz w:val="20"/>
                <w:szCs w:val="20"/>
              </w:rPr>
              <w:t>Razão de Suporte Demográfico</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2835E2" w14:textId="77777777" w:rsidR="009D0F41" w:rsidRDefault="00000000">
            <w:pPr>
              <w:jc w:val="both"/>
              <w:rPr>
                <w:rFonts w:ascii="Arial" w:eastAsia="Arial" w:hAnsi="Arial" w:cs="Arial"/>
                <w:sz w:val="20"/>
                <w:szCs w:val="20"/>
              </w:rPr>
            </w:pPr>
            <w:r>
              <w:rPr>
                <w:rFonts w:ascii="Arial" w:eastAsia="Arial" w:hAnsi="Arial" w:cs="Arial"/>
                <w:sz w:val="20"/>
                <w:szCs w:val="20"/>
              </w:rPr>
              <w:t>Razão entre a população em idade potencialmente ativa e a população idosa</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810C6" w14:textId="77777777" w:rsidR="009D0F41" w:rsidRDefault="00000000">
            <w:pPr>
              <w:jc w:val="both"/>
              <w:rPr>
                <w:rFonts w:ascii="Arial" w:eastAsia="Arial" w:hAnsi="Arial" w:cs="Arial"/>
                <w:sz w:val="20"/>
                <w:szCs w:val="20"/>
              </w:rPr>
            </w:pPr>
            <w:r>
              <w:rPr>
                <w:rFonts w:ascii="Arial" w:eastAsia="Arial" w:hAnsi="Arial" w:cs="Arial"/>
                <w:sz w:val="20"/>
                <w:szCs w:val="20"/>
              </w:rPr>
              <w:t xml:space="preserve">RSD = População de 15 a 64 anos </w:t>
            </w:r>
          </w:p>
          <w:p w14:paraId="04981E1A"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w:t>
            </w:r>
          </w:p>
          <w:p w14:paraId="5AC77854" w14:textId="77777777" w:rsidR="009D0F41" w:rsidRDefault="00000000">
            <w:pPr>
              <w:jc w:val="both"/>
              <w:rPr>
                <w:rFonts w:ascii="Arial" w:eastAsia="Arial" w:hAnsi="Arial" w:cs="Arial"/>
                <w:sz w:val="20"/>
                <w:szCs w:val="20"/>
              </w:rPr>
            </w:pPr>
            <w:r>
              <w:rPr>
                <w:rFonts w:ascii="Arial" w:eastAsia="Arial" w:hAnsi="Arial" w:cs="Arial"/>
                <w:sz w:val="20"/>
                <w:szCs w:val="20"/>
              </w:rPr>
              <w:t>População com 60 anos ou mais</w:t>
            </w:r>
          </w:p>
        </w:tc>
      </w:tr>
      <w:tr w:rsidR="009D0F41" w14:paraId="206E77D8"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7D2614" w14:textId="77777777" w:rsidR="009D0F41" w:rsidRDefault="00000000">
            <w:pPr>
              <w:jc w:val="both"/>
              <w:rPr>
                <w:rFonts w:ascii="Arial" w:eastAsia="Arial" w:hAnsi="Arial" w:cs="Arial"/>
                <w:sz w:val="20"/>
                <w:szCs w:val="20"/>
              </w:rPr>
            </w:pPr>
            <w:r>
              <w:rPr>
                <w:rFonts w:ascii="Arial" w:eastAsia="Arial" w:hAnsi="Arial" w:cs="Arial"/>
                <w:b/>
                <w:bCs/>
                <w:sz w:val="20"/>
                <w:szCs w:val="20"/>
              </w:rPr>
              <w:t>Razão Contribuinte / Benefício</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2A9F9D" w14:textId="77777777" w:rsidR="009D0F41" w:rsidRDefault="00000000">
            <w:pPr>
              <w:jc w:val="both"/>
              <w:rPr>
                <w:rFonts w:ascii="Arial" w:eastAsia="Arial" w:hAnsi="Arial" w:cs="Arial"/>
                <w:sz w:val="20"/>
                <w:szCs w:val="20"/>
              </w:rPr>
            </w:pPr>
            <w:r>
              <w:rPr>
                <w:rFonts w:ascii="Arial" w:eastAsia="Arial" w:hAnsi="Arial" w:cs="Arial"/>
                <w:sz w:val="20"/>
                <w:szCs w:val="20"/>
              </w:rPr>
              <w:t>Razão entre a densidade média de contribuintes e o total de benefícios emitidos no RGPS</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3A156A" w14:textId="77777777" w:rsidR="009D0F41" w:rsidRDefault="00000000">
            <w:pPr>
              <w:jc w:val="both"/>
              <w:rPr>
                <w:rFonts w:ascii="Arial" w:eastAsia="Arial" w:hAnsi="Arial" w:cs="Arial"/>
                <w:sz w:val="20"/>
                <w:szCs w:val="20"/>
              </w:rPr>
            </w:pPr>
            <w:r>
              <w:rPr>
                <w:rFonts w:ascii="Arial" w:eastAsia="Arial" w:hAnsi="Arial" w:cs="Arial"/>
                <w:sz w:val="20"/>
                <w:szCs w:val="20"/>
              </w:rPr>
              <w:t>RCB = Média Mensal de Contribuintes do RGPS</w:t>
            </w:r>
          </w:p>
          <w:p w14:paraId="57545301"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________________________________</w:t>
            </w:r>
          </w:p>
          <w:p w14:paraId="590142DA" w14:textId="77777777" w:rsidR="009D0F41" w:rsidRDefault="00000000">
            <w:pPr>
              <w:jc w:val="both"/>
              <w:rPr>
                <w:rFonts w:ascii="Arial" w:eastAsia="Arial" w:hAnsi="Arial" w:cs="Arial"/>
                <w:sz w:val="20"/>
                <w:szCs w:val="20"/>
              </w:rPr>
            </w:pPr>
            <w:r>
              <w:rPr>
                <w:rFonts w:ascii="Arial" w:eastAsia="Arial" w:hAnsi="Arial" w:cs="Arial"/>
                <w:sz w:val="20"/>
                <w:szCs w:val="20"/>
              </w:rPr>
              <w:t>Total de Benefícios Emitidos (</w:t>
            </w:r>
            <w:proofErr w:type="gramStart"/>
            <w:r>
              <w:rPr>
                <w:rFonts w:ascii="Arial" w:eastAsia="Arial" w:hAnsi="Arial" w:cs="Arial"/>
                <w:sz w:val="20"/>
                <w:szCs w:val="20"/>
              </w:rPr>
              <w:t>Dezembro</w:t>
            </w:r>
            <w:proofErr w:type="gramEnd"/>
            <w:r>
              <w:rPr>
                <w:rFonts w:ascii="Arial" w:eastAsia="Arial" w:hAnsi="Arial" w:cs="Arial"/>
                <w:sz w:val="20"/>
                <w:szCs w:val="20"/>
              </w:rPr>
              <w:t>)</w:t>
            </w:r>
          </w:p>
        </w:tc>
      </w:tr>
      <w:tr w:rsidR="009D0F41" w14:paraId="21B9B14C" w14:textId="77777777">
        <w:tc>
          <w:tcPr>
            <w:tcW w:w="21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F85A5B" w14:textId="77777777" w:rsidR="009D0F41" w:rsidRDefault="00000000">
            <w:pPr>
              <w:jc w:val="both"/>
              <w:rPr>
                <w:rFonts w:ascii="Arial" w:eastAsia="Arial" w:hAnsi="Arial" w:cs="Arial"/>
                <w:sz w:val="20"/>
                <w:szCs w:val="20"/>
              </w:rPr>
            </w:pPr>
            <w:r>
              <w:rPr>
                <w:rFonts w:ascii="Arial" w:eastAsia="Arial" w:hAnsi="Arial" w:cs="Arial"/>
                <w:b/>
                <w:bCs/>
                <w:sz w:val="20"/>
                <w:szCs w:val="20"/>
              </w:rPr>
              <w:t>Razão Contribuinte / Aposentadoria</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AF3A6F" w14:textId="77777777" w:rsidR="009D0F41" w:rsidRDefault="00000000">
            <w:pPr>
              <w:jc w:val="both"/>
              <w:rPr>
                <w:rFonts w:ascii="Arial" w:eastAsia="Arial" w:hAnsi="Arial" w:cs="Arial"/>
                <w:sz w:val="20"/>
                <w:szCs w:val="20"/>
              </w:rPr>
            </w:pPr>
            <w:r>
              <w:rPr>
                <w:rFonts w:ascii="Arial" w:eastAsia="Arial" w:hAnsi="Arial" w:cs="Arial"/>
                <w:sz w:val="20"/>
                <w:szCs w:val="20"/>
              </w:rPr>
              <w:t>Razão entre a densidade média de contribuintes e o total de aposentadorias emitidas no RGPS</w:t>
            </w:r>
          </w:p>
        </w:tc>
        <w:tc>
          <w:tcPr>
            <w:tcW w:w="41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61AB50" w14:textId="77777777" w:rsidR="009D0F41" w:rsidRDefault="00000000">
            <w:pPr>
              <w:jc w:val="both"/>
              <w:rPr>
                <w:rFonts w:ascii="Arial" w:eastAsia="Arial" w:hAnsi="Arial" w:cs="Arial"/>
                <w:sz w:val="20"/>
                <w:szCs w:val="20"/>
              </w:rPr>
            </w:pPr>
            <w:r>
              <w:rPr>
                <w:rFonts w:ascii="Arial" w:eastAsia="Arial" w:hAnsi="Arial" w:cs="Arial"/>
                <w:sz w:val="20"/>
                <w:szCs w:val="20"/>
              </w:rPr>
              <w:t xml:space="preserve">RCA = Média Mensal de Contribuintes do RGPS </w:t>
            </w:r>
          </w:p>
          <w:p w14:paraId="50F5E09F" w14:textId="77777777" w:rsidR="009D0F41" w:rsidRDefault="00000000">
            <w:pPr>
              <w:jc w:val="both"/>
              <w:rPr>
                <w:rFonts w:ascii="Arial" w:eastAsia="Arial" w:hAnsi="Arial" w:cs="Arial"/>
                <w:sz w:val="20"/>
                <w:szCs w:val="20"/>
              </w:rPr>
            </w:pPr>
            <w:r>
              <w:rPr>
                <w:rFonts w:ascii="Arial" w:eastAsia="Arial" w:hAnsi="Arial" w:cs="Arial"/>
                <w:sz w:val="20"/>
                <w:szCs w:val="20"/>
              </w:rPr>
              <w:t>________________________________</w:t>
            </w:r>
          </w:p>
          <w:p w14:paraId="03B71553" w14:textId="77777777" w:rsidR="009D0F41" w:rsidRDefault="00000000">
            <w:pPr>
              <w:jc w:val="both"/>
              <w:rPr>
                <w:rFonts w:ascii="Arial" w:eastAsia="Arial" w:hAnsi="Arial" w:cs="Arial"/>
                <w:sz w:val="20"/>
                <w:szCs w:val="20"/>
              </w:rPr>
            </w:pPr>
            <w:r>
              <w:rPr>
                <w:rFonts w:ascii="Arial" w:eastAsia="Arial" w:hAnsi="Arial" w:cs="Arial"/>
                <w:sz w:val="20"/>
                <w:szCs w:val="20"/>
              </w:rPr>
              <w:t>Total de Aposentadorias Emitidas (</w:t>
            </w:r>
            <w:proofErr w:type="gramStart"/>
            <w:r>
              <w:rPr>
                <w:rFonts w:ascii="Arial" w:eastAsia="Arial" w:hAnsi="Arial" w:cs="Arial"/>
                <w:sz w:val="20"/>
                <w:szCs w:val="20"/>
              </w:rPr>
              <w:t>Dezembro</w:t>
            </w:r>
            <w:proofErr w:type="gramEnd"/>
            <w:r>
              <w:rPr>
                <w:rFonts w:ascii="Arial" w:eastAsia="Arial" w:hAnsi="Arial" w:cs="Arial"/>
                <w:sz w:val="20"/>
                <w:szCs w:val="20"/>
              </w:rPr>
              <w:t>)</w:t>
            </w:r>
          </w:p>
        </w:tc>
      </w:tr>
    </w:tbl>
    <w:p w14:paraId="6BD38786" w14:textId="77777777" w:rsidR="009D0F41" w:rsidRDefault="009D0F41">
      <w:pPr>
        <w:jc w:val="both"/>
        <w:rPr>
          <w:rFonts w:ascii="Arial" w:eastAsia="Arial" w:hAnsi="Arial" w:cs="Arial"/>
          <w:sz w:val="24"/>
          <w:szCs w:val="24"/>
        </w:rPr>
      </w:pPr>
    </w:p>
    <w:p w14:paraId="2D03147F" w14:textId="77777777" w:rsidR="009D0F41" w:rsidRDefault="00000000">
      <w:pPr>
        <w:jc w:val="both"/>
        <w:rPr>
          <w:rFonts w:ascii="Arial" w:eastAsia="Arial" w:hAnsi="Arial" w:cs="Arial"/>
          <w:sz w:val="20"/>
          <w:szCs w:val="20"/>
        </w:rPr>
      </w:pPr>
      <w:r>
        <w:rPr>
          <w:rFonts w:ascii="Arial" w:eastAsia="Arial" w:hAnsi="Arial" w:cs="Arial"/>
          <w:sz w:val="20"/>
          <w:szCs w:val="20"/>
        </w:rPr>
        <w:t>Quadro 1 – Indicadores construídos para a análise demográfica e previdenciária</w:t>
      </w:r>
    </w:p>
    <w:p w14:paraId="6A360681" w14:textId="77777777" w:rsidR="009D0F41" w:rsidRDefault="009D0F41">
      <w:pPr>
        <w:jc w:val="both"/>
        <w:rPr>
          <w:rFonts w:ascii="Arial" w:eastAsia="Arial" w:hAnsi="Arial" w:cs="Arial"/>
          <w:sz w:val="20"/>
          <w:szCs w:val="20"/>
        </w:rPr>
      </w:pPr>
    </w:p>
    <w:p w14:paraId="35A46FCF" w14:textId="77777777" w:rsidR="009D0F41" w:rsidRDefault="00000000">
      <w:pPr>
        <w:jc w:val="both"/>
        <w:rPr>
          <w:rFonts w:ascii="Arial" w:eastAsia="Arial" w:hAnsi="Arial" w:cs="Arial"/>
          <w:sz w:val="24"/>
          <w:szCs w:val="24"/>
        </w:rPr>
      </w:pPr>
      <w:r>
        <w:rPr>
          <w:rFonts w:ascii="Arial" w:eastAsia="Arial" w:hAnsi="Arial" w:cs="Arial"/>
          <w:sz w:val="20"/>
          <w:szCs w:val="20"/>
        </w:rPr>
        <w:t>Fonte: Elaboração própria (2026)</w:t>
      </w:r>
      <w:r>
        <w:rPr>
          <w:rFonts w:ascii="Arial" w:eastAsia="Arial" w:hAnsi="Arial" w:cs="Arial"/>
          <w:sz w:val="24"/>
          <w:szCs w:val="24"/>
        </w:rPr>
        <w:t>.</w:t>
      </w:r>
    </w:p>
    <w:p w14:paraId="00623617" w14:textId="77777777" w:rsidR="009D0F41" w:rsidRDefault="009D0F41">
      <w:pPr>
        <w:jc w:val="both"/>
        <w:rPr>
          <w:rFonts w:ascii="Arial" w:eastAsia="Arial" w:hAnsi="Arial" w:cs="Arial"/>
          <w:sz w:val="24"/>
          <w:szCs w:val="24"/>
        </w:rPr>
      </w:pPr>
    </w:p>
    <w:p w14:paraId="52C1B452" w14:textId="77777777" w:rsidR="009D0F41" w:rsidRDefault="00000000">
      <w:pPr>
        <w:jc w:val="both"/>
        <w:rPr>
          <w:rFonts w:ascii="Arial" w:eastAsia="Arial" w:hAnsi="Arial" w:cs="Arial"/>
          <w:sz w:val="24"/>
          <w:szCs w:val="24"/>
        </w:rPr>
      </w:pPr>
      <w:r>
        <w:rPr>
          <w:rFonts w:ascii="Arial" w:eastAsia="Arial" w:hAnsi="Arial" w:cs="Arial"/>
          <w:sz w:val="24"/>
          <w:szCs w:val="24"/>
        </w:rPr>
        <w:t>A análise estruturou-se em duas etapas: comparação histórica (2005–2023) e exame das projeções demográficas até 2070. Ressalta-se que não foram realizadas projeções de contribuintes ou receitas financeiras, pois essas variáveis sofrem forte influência de fatores macroeconômicos, conjunturais e institucionais.</w:t>
      </w:r>
    </w:p>
    <w:p w14:paraId="6C2F8ED2" w14:textId="77777777" w:rsidR="009D0F41" w:rsidRDefault="009D0F41">
      <w:pPr>
        <w:jc w:val="both"/>
        <w:rPr>
          <w:rFonts w:ascii="Arial" w:eastAsia="Arial" w:hAnsi="Arial" w:cs="Arial"/>
          <w:b/>
          <w:bCs/>
          <w:sz w:val="24"/>
          <w:szCs w:val="24"/>
        </w:rPr>
      </w:pPr>
    </w:p>
    <w:p w14:paraId="7786FF21" w14:textId="77777777" w:rsidR="009D0F41" w:rsidRDefault="00000000">
      <w:pPr>
        <w:pStyle w:val="Ttulo1"/>
        <w:numPr>
          <w:ilvl w:val="0"/>
          <w:numId w:val="1"/>
        </w:numPr>
        <w:ind w:left="426"/>
        <w:rPr>
          <w:rFonts w:ascii="Arial" w:eastAsia="Arial" w:hAnsi="Arial" w:cs="Arial"/>
        </w:rPr>
      </w:pPr>
      <w:r>
        <w:rPr>
          <w:rFonts w:ascii="Arial" w:eastAsia="Arial" w:hAnsi="Arial" w:cs="Arial"/>
        </w:rPr>
        <w:t>RESULTADOS E DISCUSSÕES</w:t>
      </w:r>
    </w:p>
    <w:p w14:paraId="10F6841C" w14:textId="77777777" w:rsidR="009D0F41" w:rsidRDefault="009D0F41"/>
    <w:p w14:paraId="5C36E808"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Entre 2005 e 2023, a estrutura etária brasileira transformou-se continuamente. A população de 15 a 64 anos cresceu 19,32% (de 122,7 para 146,4 milhões), enquanto a de 60 anos ou mais aumentou 88,40% (de 17,5 para 33,0 milhões), reduzindo a razão entre esses grupos de 7,01 para 4,44. Em contrapartida, os indicadores do RGPS apresentaram trajetórias distintas (Figura 1): a razão contribuintes/benefícios subiu de 1,36 em 2005 para 1,69 em 2012, caindo a 1,43 em 2020 e recuperando-se para 1,54 em 2023. A razão contribuintes/aposentadorias seguiu dinâmica análoga (2,49 em 2005; 3,04 em 2012; 2,41 em 2020; e 2,65 em 2023).</w:t>
      </w:r>
    </w:p>
    <w:p w14:paraId="41706E25"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B5C20F9" wp14:editId="7869D469">
            <wp:extent cx="5759775" cy="2844800"/>
            <wp:effectExtent l="0" t="0" r="0" b="0"/>
            <wp:docPr id="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59775" cy="2844800"/>
                    </a:xfrm>
                    <a:prstGeom prst="rect">
                      <a:avLst/>
                    </a:prstGeom>
                    <a:ln/>
                  </pic:spPr>
                </pic:pic>
              </a:graphicData>
            </a:graphic>
          </wp:inline>
        </w:drawing>
      </w:r>
    </w:p>
    <w:p w14:paraId="113E6938"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1 — Relação entre média mensal de contribuintes, benefícios e aposentadorias emitidas no Brasil (2005–2023)</w:t>
      </w:r>
    </w:p>
    <w:p w14:paraId="225752C7"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 Previdência Social, AEPS e Ipea</w:t>
      </w:r>
      <w:r>
        <w:rPr>
          <w:rFonts w:ascii="Arial" w:eastAsia="Arial" w:hAnsi="Arial" w:cs="Arial"/>
        </w:rPr>
        <w:t>.</w:t>
      </w:r>
    </w:p>
    <w:p w14:paraId="0B0F5012"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melhora previdenciária até 2012/2013 esteve associada ao dinamismo do mercado formal de trabalho e a políticas de inclusão (Brasil, 2013). A retração posterior refletiu choques econômicos, como a recessão de 2015–2016 e a pandemia de 2020, que afetaram o emprego e a cobertura contributiva (</w:t>
      </w:r>
      <w:proofErr w:type="spellStart"/>
      <w:r>
        <w:rPr>
          <w:rFonts w:ascii="Arial" w:eastAsia="Arial" w:hAnsi="Arial" w:cs="Arial"/>
          <w:sz w:val="24"/>
          <w:szCs w:val="24"/>
        </w:rPr>
        <w:t>Costanzi</w:t>
      </w:r>
      <w:proofErr w:type="spellEnd"/>
      <w:r>
        <w:rPr>
          <w:rFonts w:ascii="Arial" w:eastAsia="Arial" w:hAnsi="Arial" w:cs="Arial"/>
          <w:sz w:val="24"/>
          <w:szCs w:val="24"/>
        </w:rPr>
        <w:t xml:space="preserve">; </w:t>
      </w:r>
      <w:proofErr w:type="spellStart"/>
      <w:r>
        <w:rPr>
          <w:rFonts w:ascii="Arial" w:eastAsia="Arial" w:hAnsi="Arial" w:cs="Arial"/>
          <w:sz w:val="24"/>
          <w:szCs w:val="24"/>
        </w:rPr>
        <w:t>Ansiliero</w:t>
      </w:r>
      <w:proofErr w:type="spellEnd"/>
      <w:r>
        <w:rPr>
          <w:rFonts w:ascii="Arial" w:eastAsia="Arial" w:hAnsi="Arial" w:cs="Arial"/>
          <w:sz w:val="24"/>
          <w:szCs w:val="24"/>
        </w:rPr>
        <w:t xml:space="preserve">, 2024). Essa divergência entre a queda demográfica contínua e a oscilação das razões previdenciárias </w:t>
      </w:r>
      <w:proofErr w:type="gramStart"/>
      <w:r>
        <w:rPr>
          <w:rFonts w:ascii="Arial" w:eastAsia="Arial" w:hAnsi="Arial" w:cs="Arial"/>
          <w:sz w:val="24"/>
          <w:szCs w:val="24"/>
        </w:rPr>
        <w:t>evidencia</w:t>
      </w:r>
      <w:proofErr w:type="gramEnd"/>
      <w:r>
        <w:rPr>
          <w:rFonts w:ascii="Arial" w:eastAsia="Arial" w:hAnsi="Arial" w:cs="Arial"/>
          <w:sz w:val="24"/>
          <w:szCs w:val="24"/>
        </w:rPr>
        <w:t xml:space="preserve"> que a demografia não determinou isoladamente o desempenho do RGPS no período histórico.</w:t>
      </w:r>
    </w:p>
    <w:p w14:paraId="657F89B8"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0F06A5D3" wp14:editId="0D1455DD">
            <wp:extent cx="5759775" cy="28448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59775" cy="2844800"/>
                    </a:xfrm>
                    <a:prstGeom prst="rect">
                      <a:avLst/>
                    </a:prstGeom>
                    <a:ln/>
                  </pic:spPr>
                </pic:pic>
              </a:graphicData>
            </a:graphic>
          </wp:inline>
        </w:drawing>
      </w:r>
    </w:p>
    <w:p w14:paraId="68D3471C"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2 — Relação entre a população de 15 a 64 anos e a população com 60 anos ou mais no Brasil (2005–2070)</w:t>
      </w:r>
    </w:p>
    <w:p w14:paraId="0C5BF343"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das Projeções da População do IBGE, Revisão 2024.</w:t>
      </w:r>
    </w:p>
    <w:p w14:paraId="3E900F02" w14:textId="77777777" w:rsidR="009D0F41" w:rsidRDefault="00000000">
      <w:pPr>
        <w:spacing w:before="240" w:after="240"/>
        <w:jc w:val="both"/>
        <w:rPr>
          <w:rFonts w:ascii="Arial" w:eastAsia="Arial" w:hAnsi="Arial" w:cs="Arial"/>
          <w:sz w:val="24"/>
          <w:szCs w:val="24"/>
        </w:rPr>
      </w:pPr>
      <w:r>
        <w:rPr>
          <w:rFonts w:ascii="Arial" w:eastAsia="Arial" w:hAnsi="Arial" w:cs="Arial"/>
          <w:sz w:val="24"/>
          <w:szCs w:val="24"/>
        </w:rPr>
        <w:lastRenderedPageBreak/>
        <w:t xml:space="preserve">As projeções do IBGE (Figura 2) indicam a intensificação dessa transição. Entre 2023 e 2070, estima-se retração de 22,39% na população de 15 a 64 anos (de 146,4 para 113,6 milhões) e expansão de 128,29% no grupo com 60 anos ou mais (de 33,0 para 75,3 milhões). Ressalta-se que a série de 60 anos ou mais abrange o subconjunto de 65 anos ou mais, sendo a diferença entre elas correspondente ao contingente de 60 a 64 anos — grupo de transição previsto pelo Estatuto da Pessoa Idosa (Lei nº 10.741/2003) e historicamente vinculado ao sistema previdenciário. </w:t>
      </w:r>
    </w:p>
    <w:p w14:paraId="379C8603" w14:textId="77777777" w:rsidR="009D0F41" w:rsidRDefault="00000000">
      <w:pPr>
        <w:spacing w:before="240" w:after="240"/>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602EBA54" wp14:editId="7BAF0772">
            <wp:extent cx="5759775" cy="28448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59775" cy="2844800"/>
                    </a:xfrm>
                    <a:prstGeom prst="rect">
                      <a:avLst/>
                    </a:prstGeom>
                    <a:ln/>
                  </pic:spPr>
                </pic:pic>
              </a:graphicData>
            </a:graphic>
          </wp:inline>
        </w:drawing>
      </w:r>
    </w:p>
    <w:p w14:paraId="0ACDE31B"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Figura 3 — Relação entre a população de 15 a 64 anos e a população com 60 anos ou mais no Brasil (2005 – 2070).</w:t>
      </w:r>
    </w:p>
    <w:p w14:paraId="178E3743" w14:textId="77777777" w:rsidR="009D0F41" w:rsidRDefault="00000000">
      <w:pPr>
        <w:spacing w:before="240" w:after="240"/>
        <w:jc w:val="both"/>
        <w:rPr>
          <w:rFonts w:ascii="Arial" w:eastAsia="Arial" w:hAnsi="Arial" w:cs="Arial"/>
          <w:sz w:val="20"/>
          <w:szCs w:val="20"/>
        </w:rPr>
      </w:pPr>
      <w:r>
        <w:rPr>
          <w:rFonts w:ascii="Arial" w:eastAsia="Arial" w:hAnsi="Arial" w:cs="Arial"/>
          <w:sz w:val="20"/>
          <w:szCs w:val="20"/>
        </w:rPr>
        <w:t>Fonte: Elaborado pelos autores com dados das Projeções da População do IBGE, Revisão 2024.</w:t>
      </w:r>
    </w:p>
    <w:p w14:paraId="45EABE83" w14:textId="77777777" w:rsidR="009D0F41" w:rsidRDefault="00000000">
      <w:pPr>
        <w:jc w:val="both"/>
        <w:rPr>
          <w:rFonts w:ascii="Arial" w:eastAsia="Arial" w:hAnsi="Arial" w:cs="Arial"/>
          <w:sz w:val="24"/>
          <w:szCs w:val="24"/>
        </w:rPr>
      </w:pPr>
      <w:r>
        <w:rPr>
          <w:rFonts w:ascii="Arial" w:eastAsia="Arial" w:hAnsi="Arial" w:cs="Arial"/>
          <w:sz w:val="24"/>
          <w:szCs w:val="24"/>
        </w:rPr>
        <w:t>Como ilustra a Figura 3, a razão de suporte demográfico projeta queda contínua de 4,44 em 2023 para 3,61 em 2030, 2,10 em 2050 e 1,51 em 2070. Trata-se de um indicador estritamente demográfico de composição populacional, e não de uma estimativa direta da relação futura entre contribuintes e beneficiários. Embora esses dados não permitam prever a arrecadação ou concessão efetiva em 2070 — variáveis dependentes de conjuntura econômica, formalização e legislação —, eles confirmam uma mudança estrutural inquestionável que impõe pressões crescentes ao financiamento intergeracional do RGPS.</w:t>
      </w:r>
    </w:p>
    <w:p w14:paraId="599B71C5" w14:textId="77777777" w:rsidR="009D0F41" w:rsidRDefault="009D0F41">
      <w:pPr>
        <w:pStyle w:val="Ttulo1"/>
        <w:rPr>
          <w:rFonts w:ascii="Arial" w:eastAsia="Arial" w:hAnsi="Arial" w:cs="Arial"/>
        </w:rPr>
      </w:pPr>
    </w:p>
    <w:p w14:paraId="3B6865AA" w14:textId="77777777" w:rsidR="009D0F41" w:rsidRDefault="00000000">
      <w:pPr>
        <w:pStyle w:val="Ttulo1"/>
        <w:numPr>
          <w:ilvl w:val="0"/>
          <w:numId w:val="2"/>
        </w:numPr>
        <w:ind w:left="426"/>
        <w:rPr>
          <w:rFonts w:ascii="Arial" w:eastAsia="Arial" w:hAnsi="Arial" w:cs="Arial"/>
        </w:rPr>
      </w:pPr>
      <w:r>
        <w:rPr>
          <w:rFonts w:ascii="Arial" w:eastAsia="Arial" w:hAnsi="Arial" w:cs="Arial"/>
        </w:rPr>
        <w:t>CONCLUSÃO</w:t>
      </w:r>
    </w:p>
    <w:p w14:paraId="2F10EF18" w14:textId="77777777" w:rsidR="009D0F41" w:rsidRDefault="009D0F41">
      <w:pPr>
        <w:pBdr>
          <w:top w:val="nil"/>
          <w:left w:val="nil"/>
          <w:bottom w:val="nil"/>
          <w:right w:val="nil"/>
          <w:between w:val="nil"/>
        </w:pBdr>
        <w:jc w:val="both"/>
        <w:rPr>
          <w:rFonts w:ascii="Arial" w:eastAsia="Arial" w:hAnsi="Arial" w:cs="Arial"/>
          <w:sz w:val="24"/>
          <w:szCs w:val="24"/>
        </w:rPr>
      </w:pPr>
    </w:p>
    <w:p w14:paraId="37B1385F"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análise conjunta dos dados demográficos e previdenciários revelou que o envelhecimento populacional e o comportamento do Regime Geral de Previdência Social (RGPS) não seguiram trajetórias paralelas no período histórico estudado. Embora a razão entre a população de 15 a 64 anos e a de 60 anos ou mais tenha caído de 7,01 em 2005 para 4,44 em 2023, os indicadores de cobertura e suporte previdenciário oscilaram entre momentos de melhora e deterioração, impulsionados pela dinâmica do mercado de trabalho e pelo ambiente macroeconômico.</w:t>
      </w:r>
    </w:p>
    <w:p w14:paraId="24CC6762"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Para as próximas décadas, as projeções demográficas indicam a intensificação severa dessa transição, com a razão de suporte demográfico atingindo 1,51 em 2070. Esse cenário estabelece uma tendência estrutural desafiadora para o</w:t>
      </w:r>
    </w:p>
    <w:p w14:paraId="50A6F065"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lastRenderedPageBreak/>
        <w:t>financiamento intergeracional. Contudo, reforça-se que tais estimativas populacionais não representam uma previsão determinística sobre o equilíbrio financeiro futuro da Previdência Social, cuja sustentabilidade dependerá da evolução da produtividade, da formalização ocupacional e das regras de elegibilidade do sistema.</w:t>
      </w:r>
    </w:p>
    <w:p w14:paraId="2F612BB5"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 principal abordagem deste estudo reside na construção de uma metodológica integrada que articula, via linguagem Python, bases de dados heterogêneas do IBGE, da Previdência Social e do Ipea. Essa integração analítica permitiu dissociar a tendência estrutural demográfica do desempenho conjuntural do RGPS, superando visões simplistas de determinismo populacional.</w:t>
      </w:r>
    </w:p>
    <w:p w14:paraId="3DD69080" w14:textId="77777777" w:rsidR="009D0F41"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Por fim, diante das transformações projetadas para as próximas décadas, aponta-se que pesquisas futuras aprofundem a investigação sobre os reflexos do envelhecimento na base contributiva e nas alternativas de sustentabilidade e financiamento do próprio RGPS.</w:t>
      </w:r>
    </w:p>
    <w:p w14:paraId="04E667EF" w14:textId="77777777" w:rsidR="00806D21" w:rsidRDefault="00806D21">
      <w:pPr>
        <w:pBdr>
          <w:top w:val="nil"/>
          <w:left w:val="nil"/>
          <w:bottom w:val="nil"/>
          <w:right w:val="nil"/>
          <w:between w:val="nil"/>
        </w:pBdr>
        <w:jc w:val="both"/>
        <w:rPr>
          <w:rFonts w:ascii="Arial" w:eastAsia="Arial" w:hAnsi="Arial" w:cs="Arial"/>
          <w:sz w:val="24"/>
          <w:szCs w:val="24"/>
        </w:rPr>
      </w:pPr>
    </w:p>
    <w:p w14:paraId="1DADE807" w14:textId="77777777" w:rsidR="009D0F41" w:rsidRDefault="00000000">
      <w:pPr>
        <w:rPr>
          <w:sz w:val="24"/>
          <w:szCs w:val="24"/>
        </w:rPr>
      </w:pPr>
      <w:r>
        <w:rPr>
          <w:sz w:val="24"/>
          <w:szCs w:val="24"/>
        </w:rPr>
        <w:t>REFERÊNCIAS</w:t>
      </w:r>
    </w:p>
    <w:p w14:paraId="33AB20BF" w14:textId="77777777" w:rsidR="009D0F41" w:rsidRDefault="009D0F41">
      <w:pPr>
        <w:jc w:val="both"/>
        <w:rPr>
          <w:rFonts w:ascii="Arial" w:eastAsia="Arial" w:hAnsi="Arial" w:cs="Arial"/>
          <w:b/>
          <w:bCs/>
          <w:sz w:val="24"/>
          <w:szCs w:val="24"/>
        </w:rPr>
      </w:pPr>
    </w:p>
    <w:p w14:paraId="47140ED0" w14:textId="77777777" w:rsidR="009D0F41" w:rsidRDefault="00000000">
      <w:pPr>
        <w:spacing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Anuário Estatístico da Previdência Social – AEPS 2024</w:t>
      </w:r>
      <w:r>
        <w:rPr>
          <w:rFonts w:ascii="Arial" w:eastAsia="Arial" w:hAnsi="Arial" w:cs="Arial"/>
          <w:sz w:val="24"/>
          <w:szCs w:val="24"/>
        </w:rPr>
        <w:t>. Brasília, DF: Ministério da Previdência Social, 2025. Disponível em:</w:t>
      </w:r>
      <w:hyperlink r:id="rId11">
        <w:r w:rsidR="009D0F41">
          <w:rPr>
            <w:rFonts w:ascii="Arial" w:eastAsia="Arial" w:hAnsi="Arial" w:cs="Arial"/>
            <w:sz w:val="24"/>
            <w:szCs w:val="24"/>
          </w:rPr>
          <w:t xml:space="preserve"> </w:t>
        </w:r>
      </w:hyperlink>
      <w:hyperlink r:id="rId12">
        <w:r w:rsidR="009D0F41">
          <w:rPr>
            <w:rFonts w:ascii="Arial" w:eastAsia="Arial" w:hAnsi="Arial" w:cs="Arial"/>
            <w:color w:val="1155CC"/>
            <w:sz w:val="24"/>
            <w:szCs w:val="24"/>
            <w:u w:val="single"/>
          </w:rPr>
          <w:t>AEPS 2024 — Ministério da Previdência Social</w:t>
        </w:r>
      </w:hyperlink>
      <w:r>
        <w:rPr>
          <w:rFonts w:ascii="Arial" w:eastAsia="Arial" w:hAnsi="Arial" w:cs="Arial"/>
          <w:sz w:val="24"/>
          <w:szCs w:val="24"/>
        </w:rPr>
        <w:t>. Acesso em: 5 out. 2026.</w:t>
      </w:r>
    </w:p>
    <w:p w14:paraId="678909B7"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Suplemento Histórico do Anuário Estatístico da Previdência Social – AEPS 2023</w:t>
      </w:r>
      <w:r>
        <w:rPr>
          <w:rFonts w:ascii="Arial" w:eastAsia="Arial" w:hAnsi="Arial" w:cs="Arial"/>
          <w:sz w:val="24"/>
          <w:szCs w:val="24"/>
        </w:rPr>
        <w:t>. Brasília, DF: Ministério da Previdência Social, 2024. Disponível em:</w:t>
      </w:r>
      <w:hyperlink r:id="rId13">
        <w:r w:rsidR="009D0F41">
          <w:rPr>
            <w:rFonts w:ascii="Arial" w:eastAsia="Arial" w:hAnsi="Arial" w:cs="Arial"/>
            <w:sz w:val="24"/>
            <w:szCs w:val="24"/>
          </w:rPr>
          <w:t xml:space="preserve"> </w:t>
        </w:r>
      </w:hyperlink>
      <w:hyperlink r:id="rId14">
        <w:r w:rsidR="009D0F41">
          <w:rPr>
            <w:rFonts w:ascii="Arial" w:eastAsia="Arial" w:hAnsi="Arial" w:cs="Arial"/>
            <w:color w:val="1155CC"/>
            <w:sz w:val="24"/>
            <w:szCs w:val="24"/>
            <w:u w:val="single"/>
          </w:rPr>
          <w:t>Anuários da Previdência Social — Ministério da Previdência Social</w:t>
        </w:r>
      </w:hyperlink>
      <w:r>
        <w:rPr>
          <w:rFonts w:ascii="Arial" w:eastAsia="Arial" w:hAnsi="Arial" w:cs="Arial"/>
          <w:sz w:val="24"/>
          <w:szCs w:val="24"/>
        </w:rPr>
        <w:t>. Acesso em: 5 out. 2026.</w:t>
      </w:r>
    </w:p>
    <w:p w14:paraId="0F46AE9D"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BRASIL. Ministério da Previdência Social.</w:t>
      </w:r>
      <w:r>
        <w:rPr>
          <w:rFonts w:ascii="Arial" w:eastAsia="Arial" w:hAnsi="Arial" w:cs="Arial"/>
          <w:sz w:val="24"/>
          <w:szCs w:val="24"/>
        </w:rPr>
        <w:t xml:space="preserve"> </w:t>
      </w:r>
      <w:r>
        <w:rPr>
          <w:rFonts w:ascii="Arial" w:eastAsia="Arial" w:hAnsi="Arial" w:cs="Arial"/>
          <w:i/>
          <w:iCs/>
          <w:sz w:val="24"/>
          <w:szCs w:val="24"/>
        </w:rPr>
        <w:t>Informe de Previdência Social: evolução dos contribuintes ao Regime Geral de Previdência Social</w:t>
      </w:r>
      <w:r>
        <w:rPr>
          <w:rFonts w:ascii="Arial" w:eastAsia="Arial" w:hAnsi="Arial" w:cs="Arial"/>
          <w:sz w:val="24"/>
          <w:szCs w:val="24"/>
        </w:rPr>
        <w:t>. Brasília, DF, v. 25, n. 12, dez. 2013. Disponível em:</w:t>
      </w:r>
      <w:hyperlink r:id="rId15">
        <w:r w:rsidR="009D0F41">
          <w:rPr>
            <w:rFonts w:ascii="Arial" w:eastAsia="Arial" w:hAnsi="Arial" w:cs="Arial"/>
            <w:sz w:val="24"/>
            <w:szCs w:val="24"/>
          </w:rPr>
          <w:t xml:space="preserve"> </w:t>
        </w:r>
      </w:hyperlink>
      <w:hyperlink r:id="rId16">
        <w:r w:rsidR="009D0F41">
          <w:rPr>
            <w:rFonts w:ascii="Arial" w:eastAsia="Arial" w:hAnsi="Arial" w:cs="Arial"/>
            <w:color w:val="1155CC"/>
            <w:sz w:val="24"/>
            <w:szCs w:val="24"/>
            <w:u w:val="single"/>
          </w:rPr>
          <w:t>Informe de Previdência Social — dezembro de 2013</w:t>
        </w:r>
      </w:hyperlink>
      <w:r>
        <w:rPr>
          <w:rFonts w:ascii="Arial" w:eastAsia="Arial" w:hAnsi="Arial" w:cs="Arial"/>
          <w:sz w:val="24"/>
          <w:szCs w:val="24"/>
        </w:rPr>
        <w:t>. Acesso em: 5 out. 2026.</w:t>
      </w:r>
    </w:p>
    <w:p w14:paraId="25A57D8D"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COSTANZI, Rogério Nagamine; ANSILIERO, Graziela.</w:t>
      </w:r>
      <w:r>
        <w:rPr>
          <w:rFonts w:ascii="Arial" w:eastAsia="Arial" w:hAnsi="Arial" w:cs="Arial"/>
          <w:sz w:val="24"/>
          <w:szCs w:val="24"/>
        </w:rPr>
        <w:t xml:space="preserve"> </w:t>
      </w:r>
      <w:r>
        <w:rPr>
          <w:rFonts w:ascii="Arial" w:eastAsia="Arial" w:hAnsi="Arial" w:cs="Arial"/>
          <w:i/>
          <w:iCs/>
          <w:sz w:val="24"/>
          <w:szCs w:val="24"/>
        </w:rPr>
        <w:t>Evolução e projeção de longo prazo de contribuintes e beneficiários e implicações para o financiamento da Previdência Social</w:t>
      </w:r>
      <w:r>
        <w:rPr>
          <w:rFonts w:ascii="Arial" w:eastAsia="Arial" w:hAnsi="Arial" w:cs="Arial"/>
          <w:sz w:val="24"/>
          <w:szCs w:val="24"/>
        </w:rPr>
        <w:t>. Rio de Janeiro: Ipea, 2024. 59 p. (Texto para Discussão, n. 2988). DOI: 10.38116/td2988-port. Disponível em:</w:t>
      </w:r>
      <w:hyperlink r:id="rId17">
        <w:r w:rsidR="009D0F41">
          <w:rPr>
            <w:rFonts w:ascii="Arial" w:eastAsia="Arial" w:hAnsi="Arial" w:cs="Arial"/>
            <w:sz w:val="24"/>
            <w:szCs w:val="24"/>
          </w:rPr>
          <w:t xml:space="preserve"> </w:t>
        </w:r>
      </w:hyperlink>
      <w:hyperlink r:id="rId18">
        <w:r w:rsidR="009D0F41">
          <w:rPr>
            <w:rFonts w:ascii="Arial" w:eastAsia="Arial" w:hAnsi="Arial" w:cs="Arial"/>
            <w:color w:val="1155CC"/>
            <w:sz w:val="24"/>
            <w:szCs w:val="24"/>
            <w:u w:val="single"/>
          </w:rPr>
          <w:t>Texto para Discussão nº 2988 — Ipea</w:t>
        </w:r>
      </w:hyperlink>
      <w:r>
        <w:rPr>
          <w:rFonts w:ascii="Arial" w:eastAsia="Arial" w:hAnsi="Arial" w:cs="Arial"/>
          <w:sz w:val="24"/>
          <w:szCs w:val="24"/>
        </w:rPr>
        <w:t>. Acesso em: 5 out. 2026.</w:t>
      </w:r>
    </w:p>
    <w:p w14:paraId="58CE4CC2" w14:textId="77777777" w:rsidR="009D0F41" w:rsidRDefault="00000000">
      <w:pPr>
        <w:spacing w:before="240" w:after="240"/>
        <w:jc w:val="both"/>
        <w:rPr>
          <w:rFonts w:ascii="Arial" w:eastAsia="Arial" w:hAnsi="Arial" w:cs="Arial"/>
          <w:sz w:val="24"/>
          <w:szCs w:val="24"/>
        </w:rPr>
      </w:pPr>
      <w:r>
        <w:rPr>
          <w:rFonts w:ascii="Arial" w:eastAsia="Arial" w:hAnsi="Arial" w:cs="Arial"/>
          <w:b/>
          <w:bCs/>
          <w:sz w:val="24"/>
          <w:szCs w:val="24"/>
        </w:rPr>
        <w:t>INSTITUTO BRASILEIRO DE GEOGRAFIA E ESTATÍSTICA (IBGE).</w:t>
      </w:r>
      <w:r>
        <w:rPr>
          <w:rFonts w:ascii="Arial" w:eastAsia="Arial" w:hAnsi="Arial" w:cs="Arial"/>
          <w:sz w:val="24"/>
          <w:szCs w:val="24"/>
        </w:rPr>
        <w:t xml:space="preserve"> </w:t>
      </w:r>
      <w:r>
        <w:rPr>
          <w:rFonts w:ascii="Arial" w:eastAsia="Arial" w:hAnsi="Arial" w:cs="Arial"/>
          <w:i/>
          <w:iCs/>
          <w:sz w:val="24"/>
          <w:szCs w:val="24"/>
        </w:rPr>
        <w:t>Projeções da população: Brasil e Unidades da Federação: estimativas e projeções: revisão 2024</w:t>
      </w:r>
      <w:r>
        <w:rPr>
          <w:rFonts w:ascii="Arial" w:eastAsia="Arial" w:hAnsi="Arial" w:cs="Arial"/>
          <w:sz w:val="24"/>
          <w:szCs w:val="24"/>
        </w:rPr>
        <w:t>. Rio de Janeiro: IBGE, 2024. Disponível em:</w:t>
      </w:r>
      <w:hyperlink r:id="rId19">
        <w:r w:rsidR="009D0F41">
          <w:rPr>
            <w:rFonts w:ascii="Arial" w:eastAsia="Arial" w:hAnsi="Arial" w:cs="Arial"/>
            <w:sz w:val="24"/>
            <w:szCs w:val="24"/>
          </w:rPr>
          <w:t xml:space="preserve"> </w:t>
        </w:r>
      </w:hyperlink>
      <w:hyperlink r:id="rId20">
        <w:r w:rsidR="009D0F41">
          <w:rPr>
            <w:rFonts w:ascii="Arial" w:eastAsia="Arial" w:hAnsi="Arial" w:cs="Arial"/>
            <w:color w:val="1155CC"/>
            <w:sz w:val="24"/>
            <w:szCs w:val="24"/>
            <w:u w:val="single"/>
          </w:rPr>
          <w:t>Projeções da População — IBGE</w:t>
        </w:r>
      </w:hyperlink>
      <w:r>
        <w:rPr>
          <w:rFonts w:ascii="Arial" w:eastAsia="Arial" w:hAnsi="Arial" w:cs="Arial"/>
          <w:sz w:val="24"/>
          <w:szCs w:val="24"/>
        </w:rPr>
        <w:t>. Acesso em: 5 out. 2026.</w:t>
      </w:r>
    </w:p>
    <w:p w14:paraId="70264970" w14:textId="77777777" w:rsidR="009D0F41" w:rsidRDefault="00000000">
      <w:pPr>
        <w:rPr>
          <w:rFonts w:ascii="Arial" w:eastAsia="Arial" w:hAnsi="Arial" w:cs="Arial"/>
          <w:b/>
          <w:bCs/>
          <w:sz w:val="24"/>
          <w:szCs w:val="24"/>
        </w:rPr>
      </w:pPr>
      <w:r>
        <w:rPr>
          <w:rFonts w:ascii="Arial" w:eastAsia="Arial" w:hAnsi="Arial" w:cs="Arial"/>
          <w:b/>
          <w:bCs/>
          <w:sz w:val="24"/>
          <w:szCs w:val="24"/>
        </w:rPr>
        <w:t>AGRADECIMENTOS</w:t>
      </w:r>
    </w:p>
    <w:p w14:paraId="07DC4102" w14:textId="77777777" w:rsidR="009D0F41" w:rsidRDefault="009D0F41">
      <w:pPr>
        <w:rPr>
          <w:rFonts w:ascii="Arial" w:eastAsia="Arial" w:hAnsi="Arial" w:cs="Arial"/>
          <w:b/>
          <w:bCs/>
          <w:sz w:val="24"/>
          <w:szCs w:val="24"/>
        </w:rPr>
      </w:pPr>
    </w:p>
    <w:p w14:paraId="27B68BD2" w14:textId="77777777" w:rsidR="009D0F41" w:rsidRDefault="00000000">
      <w:pPr>
        <w:jc w:val="both"/>
        <w:rPr>
          <w:rFonts w:ascii="Arial" w:eastAsia="Arial" w:hAnsi="Arial" w:cs="Arial"/>
          <w:sz w:val="24"/>
          <w:szCs w:val="24"/>
        </w:rPr>
      </w:pPr>
      <w:r>
        <w:rPr>
          <w:rFonts w:ascii="Arial" w:eastAsia="Arial" w:hAnsi="Arial" w:cs="Arial"/>
          <w:sz w:val="24"/>
          <w:szCs w:val="24"/>
        </w:rPr>
        <w:t>Agradecemos aos nossos professores que contribuíram com orientações e sugestões em diversos momentos durante a elaboração, auxiliando no desenvolvimento da pesquisa e no aprimoramento de nossas análises e à Faculdade SENAI de Tecnologia pelo incentivo à pesquisa e pela oportunidade de desenvolver este trabalho.</w:t>
      </w:r>
    </w:p>
    <w:p w14:paraId="4F46B8DA" w14:textId="77777777" w:rsidR="00B77B5C" w:rsidRDefault="00B77B5C">
      <w:pPr>
        <w:jc w:val="both"/>
        <w:rPr>
          <w:rFonts w:ascii="Arial" w:eastAsia="Arial" w:hAnsi="Arial" w:cs="Arial"/>
          <w:sz w:val="24"/>
          <w:szCs w:val="24"/>
        </w:rPr>
      </w:pPr>
    </w:p>
    <w:p w14:paraId="211EC391" w14:textId="77777777" w:rsidR="009D0F41" w:rsidRDefault="00000000">
      <w:pPr>
        <w:rPr>
          <w:rFonts w:ascii="Arial" w:eastAsia="Arial" w:hAnsi="Arial" w:cs="Arial"/>
          <w:b/>
          <w:bCs/>
          <w:sz w:val="24"/>
          <w:szCs w:val="24"/>
        </w:rPr>
      </w:pPr>
      <w:r>
        <w:rPr>
          <w:rFonts w:ascii="Arial" w:eastAsia="Arial" w:hAnsi="Arial" w:cs="Arial"/>
          <w:b/>
          <w:bCs/>
          <w:sz w:val="24"/>
          <w:szCs w:val="24"/>
        </w:rPr>
        <w:t>SOBRE O(S)AUTOR(ES)</w:t>
      </w:r>
    </w:p>
    <w:p w14:paraId="34416812" w14:textId="77777777" w:rsidR="009D0F41" w:rsidRDefault="009D0F41">
      <w:pPr>
        <w:rPr>
          <w:rFonts w:ascii="Arial" w:eastAsia="Arial" w:hAnsi="Arial" w:cs="Arial"/>
          <w:b/>
          <w:bCs/>
          <w:sz w:val="24"/>
          <w:szCs w:val="24"/>
        </w:rPr>
      </w:pPr>
    </w:p>
    <w:p w14:paraId="2467648C" w14:textId="77777777" w:rsidR="009D0F41" w:rsidRDefault="00000000">
      <w:pPr>
        <w:widowControl/>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color w:val="000000"/>
          <w:sz w:val="24"/>
          <w:szCs w:val="24"/>
          <w:vertAlign w:val="superscript"/>
        </w:rPr>
        <w:t>i</w:t>
      </w:r>
      <w:r>
        <w:rPr>
          <w:rFonts w:ascii="Arial" w:eastAsia="Arial" w:hAnsi="Arial" w:cs="Arial"/>
          <w:color w:val="000000"/>
          <w:sz w:val="24"/>
          <w:szCs w:val="24"/>
        </w:rPr>
        <w:t xml:space="preserve"> </w:t>
      </w:r>
      <w:r>
        <w:rPr>
          <w:rFonts w:ascii="Arial" w:eastAsia="Arial" w:hAnsi="Arial" w:cs="Arial"/>
          <w:b/>
          <w:bCs/>
          <w:color w:val="000000"/>
          <w:sz w:val="24"/>
          <w:szCs w:val="24"/>
        </w:rPr>
        <w:t>ANDERSON PEREIRA HORÁCIO (Autor 1)</w:t>
      </w:r>
    </w:p>
    <w:p w14:paraId="2D890BDA" w14:textId="77777777" w:rsidR="009D0F41" w:rsidRDefault="009D0F41">
      <w:pPr>
        <w:widowControl/>
        <w:pBdr>
          <w:top w:val="nil"/>
          <w:left w:val="nil"/>
          <w:bottom w:val="nil"/>
          <w:right w:val="nil"/>
          <w:between w:val="nil"/>
        </w:pBdr>
        <w:jc w:val="both"/>
        <w:rPr>
          <w:rFonts w:ascii="Arial" w:eastAsia="Arial" w:hAnsi="Arial" w:cs="Arial"/>
          <w:b/>
          <w:bCs/>
          <w:color w:val="000000"/>
          <w:sz w:val="24"/>
          <w:szCs w:val="24"/>
        </w:rPr>
      </w:pPr>
    </w:p>
    <w:tbl>
      <w:tblPr>
        <w:tblStyle w:val="af1"/>
        <w:tblW w:w="90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41"/>
        <w:gridCol w:w="7234"/>
      </w:tblGrid>
      <w:tr w:rsidR="009D0F41" w14:paraId="3CAAA8C6" w14:textId="77777777">
        <w:tc>
          <w:tcPr>
            <w:tcW w:w="1841" w:type="dxa"/>
          </w:tcPr>
          <w:p w14:paraId="7D987E7C" w14:textId="77777777" w:rsidR="009D0F41"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4BDA5F1" wp14:editId="7A93B609">
                  <wp:extent cx="1085573" cy="1092392"/>
                  <wp:effectExtent l="0" t="0" r="0" b="0"/>
                  <wp:docPr id="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085573" cy="1092392"/>
                          </a:xfrm>
                          <a:prstGeom prst="rect">
                            <a:avLst/>
                          </a:prstGeom>
                          <a:ln/>
                        </pic:spPr>
                      </pic:pic>
                    </a:graphicData>
                  </a:graphic>
                </wp:inline>
              </w:drawing>
            </w:r>
          </w:p>
          <w:p w14:paraId="5E396883" w14:textId="77777777" w:rsidR="009D0F41" w:rsidRDefault="009D0F41">
            <w:pPr>
              <w:pBdr>
                <w:top w:val="nil"/>
                <w:left w:val="nil"/>
                <w:bottom w:val="nil"/>
                <w:right w:val="nil"/>
                <w:between w:val="nil"/>
              </w:pBdr>
              <w:jc w:val="both"/>
              <w:rPr>
                <w:rFonts w:ascii="Arial" w:eastAsia="Arial" w:hAnsi="Arial" w:cs="Arial"/>
                <w:color w:val="000000"/>
                <w:sz w:val="24"/>
                <w:szCs w:val="24"/>
              </w:rPr>
            </w:pPr>
          </w:p>
        </w:tc>
        <w:tc>
          <w:tcPr>
            <w:tcW w:w="7234" w:type="dxa"/>
          </w:tcPr>
          <w:p w14:paraId="5B6B4108" w14:textId="77777777" w:rsidR="009D0F41"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Profissional em formação na área de Inteligência e Análise de Dados pelo SENAI Suíço-Brasileira, Graduado em Engenharia de Produção Mecânica pelo Centro Universitário das Faculdades Metropolitanas Unidas (FMU). </w:t>
            </w:r>
            <w:r>
              <w:rPr>
                <w:rFonts w:ascii="Arial" w:eastAsia="Arial" w:hAnsi="Arial" w:cs="Arial"/>
                <w:sz w:val="24"/>
                <w:szCs w:val="24"/>
              </w:rPr>
              <w:t>Adquirindo</w:t>
            </w:r>
            <w:r>
              <w:rPr>
                <w:rFonts w:ascii="Arial" w:eastAsia="Arial" w:hAnsi="Arial" w:cs="Arial"/>
                <w:color w:val="000000"/>
                <w:sz w:val="24"/>
                <w:szCs w:val="24"/>
              </w:rPr>
              <w:t xml:space="preserve"> conhecimentos em programação, análise e organização de dados, tecnologia e inteligência de negócios, com foco na geração de insights e no suporte à tomada de decisões estratégicas. Apresenta perfil analítico, curioso e orientado ao aprendizado contínuo, valorizando a comunicação clara, a colaboração e a compreensão de processos.</w:t>
            </w:r>
          </w:p>
        </w:tc>
      </w:tr>
    </w:tbl>
    <w:p w14:paraId="7A1977BD" w14:textId="77777777" w:rsidR="009D0F41" w:rsidRDefault="009D0F41">
      <w:pPr>
        <w:widowControl/>
        <w:pBdr>
          <w:top w:val="nil"/>
          <w:left w:val="nil"/>
          <w:bottom w:val="nil"/>
          <w:right w:val="nil"/>
          <w:between w:val="nil"/>
        </w:pBdr>
        <w:jc w:val="both"/>
        <w:rPr>
          <w:rFonts w:ascii="Arial" w:eastAsia="Arial" w:hAnsi="Arial" w:cs="Arial"/>
          <w:sz w:val="24"/>
          <w:szCs w:val="24"/>
        </w:rPr>
      </w:pPr>
    </w:p>
    <w:p w14:paraId="3E137643" w14:textId="77777777" w:rsidR="009D0F41" w:rsidRDefault="009D0F41">
      <w:pPr>
        <w:widowControl/>
        <w:pBdr>
          <w:top w:val="nil"/>
          <w:left w:val="nil"/>
          <w:bottom w:val="nil"/>
          <w:right w:val="nil"/>
          <w:between w:val="nil"/>
        </w:pBdr>
        <w:jc w:val="both"/>
        <w:rPr>
          <w:rFonts w:ascii="Arial" w:eastAsia="Arial" w:hAnsi="Arial" w:cs="Arial"/>
          <w:sz w:val="24"/>
          <w:szCs w:val="24"/>
        </w:rPr>
      </w:pPr>
    </w:p>
    <w:p w14:paraId="0BACB1B3" w14:textId="77777777" w:rsidR="009D0F41" w:rsidRDefault="00000000">
      <w:pPr>
        <w:rPr>
          <w:rFonts w:ascii="Arial" w:eastAsia="Arial" w:hAnsi="Arial" w:cs="Arial"/>
          <w:b/>
          <w:bCs/>
          <w:sz w:val="24"/>
          <w:szCs w:val="24"/>
        </w:rPr>
      </w:pPr>
      <w:proofErr w:type="spellStart"/>
      <w:r>
        <w:rPr>
          <w:rFonts w:ascii="Arial" w:eastAsia="Arial" w:hAnsi="Arial" w:cs="Arial"/>
          <w:sz w:val="24"/>
          <w:szCs w:val="24"/>
          <w:vertAlign w:val="superscript"/>
        </w:rPr>
        <w:t>ii</w:t>
      </w:r>
      <w:proofErr w:type="spellEnd"/>
      <w:r>
        <w:rPr>
          <w:rFonts w:ascii="Arial" w:eastAsia="Arial" w:hAnsi="Arial" w:cs="Arial"/>
          <w:sz w:val="24"/>
          <w:szCs w:val="24"/>
        </w:rPr>
        <w:t xml:space="preserve"> </w:t>
      </w:r>
      <w:r>
        <w:rPr>
          <w:rFonts w:ascii="Arial" w:eastAsia="Arial" w:hAnsi="Arial" w:cs="Arial"/>
          <w:b/>
          <w:bCs/>
          <w:sz w:val="24"/>
          <w:szCs w:val="24"/>
        </w:rPr>
        <w:t>ANA LUCIA FERREIRA DOS SANTOS (Autor 2)</w:t>
      </w:r>
    </w:p>
    <w:p w14:paraId="7B29CCD5" w14:textId="77777777" w:rsidR="009D0F41" w:rsidRDefault="009D0F41">
      <w:pPr>
        <w:rPr>
          <w:rFonts w:ascii="Arial" w:eastAsia="Arial" w:hAnsi="Arial" w:cs="Arial"/>
          <w:sz w:val="24"/>
          <w:szCs w:val="24"/>
        </w:rPr>
      </w:pPr>
    </w:p>
    <w:tbl>
      <w:tblPr>
        <w:tblStyle w:val="af2"/>
        <w:tblW w:w="90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22"/>
        <w:gridCol w:w="7353"/>
      </w:tblGrid>
      <w:tr w:rsidR="009D0F41" w14:paraId="6A8E6C10" w14:textId="77777777">
        <w:tc>
          <w:tcPr>
            <w:tcW w:w="1722" w:type="dxa"/>
          </w:tcPr>
          <w:p w14:paraId="0DA3F90C" w14:textId="77777777" w:rsidR="009D0F41" w:rsidRDefault="00000000">
            <w:pPr>
              <w:rPr>
                <w:rFonts w:ascii="Arial" w:eastAsia="Arial" w:hAnsi="Arial" w:cs="Arial"/>
                <w:sz w:val="24"/>
                <w:szCs w:val="24"/>
              </w:rPr>
            </w:pPr>
            <w:r>
              <w:rPr>
                <w:noProof/>
              </w:rPr>
              <w:drawing>
                <wp:inline distT="0" distB="0" distL="0" distR="0" wp14:anchorId="0FBB6CE9" wp14:editId="244DE104">
                  <wp:extent cx="983138" cy="972215"/>
                  <wp:effectExtent l="0" t="0" r="0" b="0"/>
                  <wp:docPr id="4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983138" cy="972215"/>
                          </a:xfrm>
                          <a:prstGeom prst="rect">
                            <a:avLst/>
                          </a:prstGeom>
                          <a:ln/>
                        </pic:spPr>
                      </pic:pic>
                    </a:graphicData>
                  </a:graphic>
                </wp:inline>
              </w:drawing>
            </w:r>
          </w:p>
        </w:tc>
        <w:tc>
          <w:tcPr>
            <w:tcW w:w="7353" w:type="dxa"/>
          </w:tcPr>
          <w:p w14:paraId="669609F6"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Possui graduação em Administração pela Faculdade UNIP, concluída em 2018, e cursa atualmente Inteligência e Análise de Dados pela Faculdade SENAI Suíço-Brasileira. Possui conhecimentos em análise e organização de dados, tecnologia e inteligência de negócios, buscando desenvolver continuamente seus conhecimentos técnicos e profissionais. </w:t>
            </w:r>
          </w:p>
          <w:p w14:paraId="250922F2" w14:textId="77777777" w:rsidR="009D0F41" w:rsidRDefault="009D0F41">
            <w:pPr>
              <w:jc w:val="both"/>
              <w:rPr>
                <w:rFonts w:ascii="Arial" w:eastAsia="Arial" w:hAnsi="Arial" w:cs="Arial"/>
                <w:sz w:val="24"/>
                <w:szCs w:val="24"/>
              </w:rPr>
            </w:pPr>
          </w:p>
        </w:tc>
      </w:tr>
    </w:tbl>
    <w:p w14:paraId="74D48CF5" w14:textId="77777777" w:rsidR="009D0F41" w:rsidRDefault="009D0F41">
      <w:pPr>
        <w:rPr>
          <w:rFonts w:ascii="Arial" w:eastAsia="Arial" w:hAnsi="Arial" w:cs="Arial"/>
          <w:sz w:val="24"/>
          <w:szCs w:val="24"/>
        </w:rPr>
      </w:pPr>
    </w:p>
    <w:p w14:paraId="19308978" w14:textId="77777777" w:rsidR="009D0F41" w:rsidRDefault="00000000">
      <w:pPr>
        <w:rPr>
          <w:rFonts w:ascii="Arial" w:eastAsia="Arial" w:hAnsi="Arial" w:cs="Arial"/>
          <w:sz w:val="24"/>
          <w:szCs w:val="24"/>
        </w:rPr>
      </w:pPr>
      <w:proofErr w:type="spellStart"/>
      <w:r>
        <w:rPr>
          <w:rFonts w:ascii="Arial" w:eastAsia="Arial" w:hAnsi="Arial" w:cs="Arial"/>
          <w:sz w:val="24"/>
          <w:szCs w:val="24"/>
          <w:vertAlign w:val="superscript"/>
        </w:rPr>
        <w:t>iii</w:t>
      </w:r>
      <w:proofErr w:type="spellEnd"/>
      <w:r>
        <w:rPr>
          <w:rFonts w:ascii="Arial" w:eastAsia="Arial" w:hAnsi="Arial" w:cs="Arial"/>
          <w:sz w:val="24"/>
          <w:szCs w:val="24"/>
        </w:rPr>
        <w:t xml:space="preserve"> </w:t>
      </w:r>
      <w:r>
        <w:rPr>
          <w:rFonts w:ascii="Arial" w:eastAsia="Arial" w:hAnsi="Arial" w:cs="Arial"/>
          <w:b/>
          <w:bCs/>
          <w:sz w:val="24"/>
          <w:szCs w:val="24"/>
        </w:rPr>
        <w:t>FELIPE DE ALMEIDA CAMARGO (Autor 3)</w:t>
      </w:r>
    </w:p>
    <w:p w14:paraId="76167ACF" w14:textId="77777777" w:rsidR="009D0F41" w:rsidRDefault="00000000">
      <w:pPr>
        <w:rPr>
          <w:rFonts w:ascii="Arial" w:eastAsia="Arial" w:hAnsi="Arial" w:cs="Arial"/>
          <w:sz w:val="24"/>
          <w:szCs w:val="24"/>
        </w:rPr>
      </w:pPr>
      <w:r>
        <w:rPr>
          <w:rFonts w:ascii="Arial" w:eastAsia="Arial" w:hAnsi="Arial" w:cs="Arial"/>
          <w:sz w:val="24"/>
          <w:szCs w:val="24"/>
        </w:rPr>
        <w:t> </w:t>
      </w:r>
    </w:p>
    <w:tbl>
      <w:tblPr>
        <w:tblStyle w:val="af3"/>
        <w:tblW w:w="9624" w:type="dxa"/>
        <w:tblInd w:w="0" w:type="dxa"/>
        <w:tblLayout w:type="fixed"/>
        <w:tblLook w:val="0400" w:firstRow="0" w:lastRow="0" w:firstColumn="0" w:lastColumn="0" w:noHBand="0" w:noVBand="1"/>
      </w:tblPr>
      <w:tblGrid>
        <w:gridCol w:w="1670"/>
        <w:gridCol w:w="7954"/>
      </w:tblGrid>
      <w:tr w:rsidR="009D0F41" w14:paraId="28B5728F" w14:textId="77777777">
        <w:trPr>
          <w:trHeight w:val="3549"/>
        </w:trPr>
        <w:tc>
          <w:tcPr>
            <w:tcW w:w="1670" w:type="dxa"/>
            <w:tcMar>
              <w:top w:w="0" w:type="dxa"/>
              <w:left w:w="100" w:type="dxa"/>
              <w:bottom w:w="0" w:type="dxa"/>
              <w:right w:w="100" w:type="dxa"/>
            </w:tcMar>
          </w:tcPr>
          <w:p w14:paraId="57725C92" w14:textId="77777777" w:rsidR="009D0F41" w:rsidRDefault="00000000">
            <w:pPr>
              <w:rPr>
                <w:rFonts w:ascii="Arial" w:eastAsia="Arial" w:hAnsi="Arial" w:cs="Arial"/>
                <w:sz w:val="24"/>
                <w:szCs w:val="24"/>
              </w:rPr>
            </w:pPr>
            <w:r>
              <w:rPr>
                <w:rFonts w:ascii="Arial" w:eastAsia="Arial" w:hAnsi="Arial" w:cs="Arial"/>
                <w:sz w:val="24"/>
                <w:szCs w:val="24"/>
              </w:rPr>
              <w:t> </w:t>
            </w:r>
          </w:p>
          <w:p w14:paraId="5956332A" w14:textId="77777777" w:rsidR="009D0F41" w:rsidRDefault="00000000">
            <w:pPr>
              <w:rPr>
                <w:rFonts w:ascii="Arial" w:eastAsia="Arial" w:hAnsi="Arial" w:cs="Arial"/>
                <w:sz w:val="24"/>
                <w:szCs w:val="24"/>
              </w:rPr>
            </w:pPr>
            <w:r>
              <w:rPr>
                <w:rFonts w:ascii="Arial" w:eastAsia="Arial" w:hAnsi="Arial" w:cs="Arial"/>
                <w:noProof/>
                <w:sz w:val="24"/>
                <w:szCs w:val="24"/>
              </w:rPr>
              <w:drawing>
                <wp:inline distT="0" distB="0" distL="0" distR="0" wp14:anchorId="5ABE1D09" wp14:editId="4A6CC028">
                  <wp:extent cx="923925" cy="1381125"/>
                  <wp:effectExtent l="0" t="0" r="0" b="0"/>
                  <wp:docPr id="4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3"/>
                          <a:srcRect/>
                          <a:stretch>
                            <a:fillRect/>
                          </a:stretch>
                        </pic:blipFill>
                        <pic:spPr>
                          <a:xfrm>
                            <a:off x="0" y="0"/>
                            <a:ext cx="923925" cy="1381125"/>
                          </a:xfrm>
                          <a:prstGeom prst="rect">
                            <a:avLst/>
                          </a:prstGeom>
                          <a:ln/>
                        </pic:spPr>
                      </pic:pic>
                    </a:graphicData>
                  </a:graphic>
                </wp:inline>
              </w:drawing>
            </w:r>
          </w:p>
        </w:tc>
        <w:tc>
          <w:tcPr>
            <w:tcW w:w="7954" w:type="dxa"/>
            <w:tcMar>
              <w:top w:w="0" w:type="dxa"/>
              <w:left w:w="100" w:type="dxa"/>
              <w:bottom w:w="0" w:type="dxa"/>
              <w:right w:w="100" w:type="dxa"/>
            </w:tcMar>
          </w:tcPr>
          <w:p w14:paraId="0008ED5D" w14:textId="64E6EB9A" w:rsidR="00B77B5C" w:rsidRDefault="00000000">
            <w:pPr>
              <w:jc w:val="both"/>
              <w:rPr>
                <w:rFonts w:ascii="Arial" w:eastAsia="Arial" w:hAnsi="Arial" w:cs="Arial"/>
                <w:sz w:val="24"/>
                <w:szCs w:val="24"/>
              </w:rPr>
            </w:pPr>
            <w:r>
              <w:rPr>
                <w:rFonts w:ascii="Arial" w:eastAsia="Arial" w:hAnsi="Arial" w:cs="Arial"/>
                <w:sz w:val="24"/>
                <w:szCs w:val="24"/>
              </w:rPr>
              <w:t xml:space="preserve">Graduado em Licenciatura em Matemática pela Universidade Estadual Paulista (UNESP), campus de Presidente Prudente (2013-2017). Mestre em Biometria pela UNESP, campus de Botucatu, com ênfase em modelagem matemática e simulações computacionais aplicadas à dinâmica da infecção do vírus da dengue em lactentes (2017-2019). Doutor em Biometria pela UNESP, campus de Botucatu, com pesquisa voltada à modelagem matemática da interação entre o vírus da dengue e os anticorpos (2019-2023). Atualmente é Professor Assistente II no curso superior de Tecnologia em Inteligência e Análise de Dados do SENAI Suíço-Brasileira “Paulo Ernesto </w:t>
            </w:r>
            <w:proofErr w:type="spellStart"/>
            <w:r>
              <w:rPr>
                <w:rFonts w:ascii="Arial" w:eastAsia="Arial" w:hAnsi="Arial" w:cs="Arial"/>
                <w:sz w:val="24"/>
                <w:szCs w:val="24"/>
              </w:rPr>
              <w:t>Tolle</w:t>
            </w:r>
            <w:proofErr w:type="spellEnd"/>
            <w:r>
              <w:rPr>
                <w:rFonts w:ascii="Arial" w:eastAsia="Arial" w:hAnsi="Arial" w:cs="Arial"/>
                <w:sz w:val="24"/>
                <w:szCs w:val="24"/>
              </w:rPr>
              <w:t>”. Possui experiência nas áreas de modelagem matemática e programação.</w:t>
            </w:r>
          </w:p>
          <w:p w14:paraId="58D4694E" w14:textId="77777777" w:rsidR="00B77B5C" w:rsidRDefault="00B77B5C">
            <w:pPr>
              <w:jc w:val="both"/>
              <w:rPr>
                <w:rFonts w:ascii="Arial" w:eastAsia="Arial" w:hAnsi="Arial" w:cs="Arial"/>
                <w:sz w:val="24"/>
                <w:szCs w:val="24"/>
              </w:rPr>
            </w:pPr>
          </w:p>
          <w:p w14:paraId="17C62CE8" w14:textId="77777777" w:rsidR="00B77B5C" w:rsidRDefault="00B77B5C">
            <w:pPr>
              <w:jc w:val="both"/>
              <w:rPr>
                <w:rFonts w:ascii="Arial" w:eastAsia="Arial" w:hAnsi="Arial" w:cs="Arial"/>
                <w:sz w:val="24"/>
                <w:szCs w:val="24"/>
              </w:rPr>
            </w:pPr>
          </w:p>
        </w:tc>
      </w:tr>
    </w:tbl>
    <w:p w14:paraId="53F8AD37" w14:textId="77777777" w:rsidR="009D0F41" w:rsidRDefault="00000000">
      <w:pPr>
        <w:rPr>
          <w:rFonts w:ascii="Arial" w:eastAsia="Arial" w:hAnsi="Arial" w:cs="Arial"/>
          <w:sz w:val="24"/>
          <w:szCs w:val="24"/>
        </w:rPr>
      </w:pPr>
      <w:proofErr w:type="spellStart"/>
      <w:r>
        <w:rPr>
          <w:rFonts w:ascii="Arial" w:eastAsia="Arial" w:hAnsi="Arial" w:cs="Arial"/>
          <w:sz w:val="24"/>
          <w:szCs w:val="24"/>
          <w:vertAlign w:val="superscript"/>
        </w:rPr>
        <w:t>iv</w:t>
      </w:r>
      <w:proofErr w:type="spellEnd"/>
      <w:r>
        <w:rPr>
          <w:rFonts w:ascii="Arial" w:eastAsia="Arial" w:hAnsi="Arial" w:cs="Arial"/>
          <w:sz w:val="24"/>
          <w:szCs w:val="24"/>
        </w:rPr>
        <w:t xml:space="preserve"> </w:t>
      </w:r>
      <w:r>
        <w:rPr>
          <w:rFonts w:ascii="Arial" w:eastAsia="Arial" w:hAnsi="Arial" w:cs="Arial"/>
          <w:b/>
          <w:bCs/>
          <w:sz w:val="24"/>
          <w:szCs w:val="24"/>
        </w:rPr>
        <w:t>ARUANE MELLO PINEDA PERTINHEZ (Autor 4)</w:t>
      </w:r>
    </w:p>
    <w:p w14:paraId="061A0BF3" w14:textId="77777777" w:rsidR="009D0F41" w:rsidRDefault="00000000">
      <w:pPr>
        <w:rPr>
          <w:rFonts w:ascii="Arial" w:eastAsia="Arial" w:hAnsi="Arial" w:cs="Arial"/>
          <w:sz w:val="24"/>
          <w:szCs w:val="24"/>
        </w:rPr>
      </w:pPr>
      <w:r>
        <w:rPr>
          <w:rFonts w:ascii="Arial" w:eastAsia="Arial" w:hAnsi="Arial" w:cs="Arial"/>
          <w:sz w:val="24"/>
          <w:szCs w:val="24"/>
        </w:rPr>
        <w:t> </w:t>
      </w:r>
    </w:p>
    <w:tbl>
      <w:tblPr>
        <w:tblStyle w:val="af4"/>
        <w:tblW w:w="9075" w:type="dxa"/>
        <w:tblInd w:w="0" w:type="dxa"/>
        <w:tblLayout w:type="fixed"/>
        <w:tblLook w:val="0400" w:firstRow="0" w:lastRow="0" w:firstColumn="0" w:lastColumn="0" w:noHBand="0" w:noVBand="1"/>
      </w:tblPr>
      <w:tblGrid>
        <w:gridCol w:w="1640"/>
        <w:gridCol w:w="7435"/>
      </w:tblGrid>
      <w:tr w:rsidR="009D0F41" w14:paraId="1124E348" w14:textId="77777777">
        <w:trPr>
          <w:trHeight w:val="4590"/>
        </w:trPr>
        <w:tc>
          <w:tcPr>
            <w:tcW w:w="1640" w:type="dxa"/>
            <w:tcMar>
              <w:top w:w="0" w:type="dxa"/>
              <w:left w:w="100" w:type="dxa"/>
              <w:bottom w:w="0" w:type="dxa"/>
              <w:right w:w="100" w:type="dxa"/>
            </w:tcMar>
          </w:tcPr>
          <w:p w14:paraId="30490B25" w14:textId="77777777" w:rsidR="009D0F41" w:rsidRDefault="00000000">
            <w:pP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491488DC" wp14:editId="33D340F5">
                  <wp:extent cx="904875" cy="1190625"/>
                  <wp:effectExtent l="0" t="0" r="0" b="0"/>
                  <wp:docPr id="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4"/>
                          <a:srcRect/>
                          <a:stretch>
                            <a:fillRect/>
                          </a:stretch>
                        </pic:blipFill>
                        <pic:spPr>
                          <a:xfrm>
                            <a:off x="0" y="0"/>
                            <a:ext cx="904875" cy="1190625"/>
                          </a:xfrm>
                          <a:prstGeom prst="rect">
                            <a:avLst/>
                          </a:prstGeom>
                          <a:ln/>
                        </pic:spPr>
                      </pic:pic>
                    </a:graphicData>
                  </a:graphic>
                </wp:inline>
              </w:drawing>
            </w:r>
          </w:p>
          <w:p w14:paraId="7D3D682C" w14:textId="77777777" w:rsidR="009D0F41" w:rsidRDefault="00000000">
            <w:pPr>
              <w:rPr>
                <w:rFonts w:ascii="Arial" w:eastAsia="Arial" w:hAnsi="Arial" w:cs="Arial"/>
                <w:sz w:val="24"/>
                <w:szCs w:val="24"/>
              </w:rPr>
            </w:pPr>
            <w:r>
              <w:rPr>
                <w:rFonts w:ascii="Arial" w:eastAsia="Arial" w:hAnsi="Arial" w:cs="Arial"/>
                <w:sz w:val="24"/>
                <w:szCs w:val="24"/>
              </w:rPr>
              <w:t> </w:t>
            </w:r>
          </w:p>
        </w:tc>
        <w:tc>
          <w:tcPr>
            <w:tcW w:w="7435" w:type="dxa"/>
            <w:tcMar>
              <w:top w:w="0" w:type="dxa"/>
              <w:left w:w="100" w:type="dxa"/>
              <w:bottom w:w="0" w:type="dxa"/>
              <w:right w:w="100" w:type="dxa"/>
            </w:tcMar>
          </w:tcPr>
          <w:p w14:paraId="37D2691B"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Graduada em Matemática pela Universidade Estadual Paulista “Júlio de Mesquita Filho” (UNESP, 2012–2016), com período sanduíche na Sorbonne </w:t>
            </w:r>
            <w:proofErr w:type="spellStart"/>
            <w:r>
              <w:rPr>
                <w:rFonts w:ascii="Arial" w:eastAsia="Arial" w:hAnsi="Arial" w:cs="Arial"/>
                <w:sz w:val="24"/>
                <w:szCs w:val="24"/>
              </w:rPr>
              <w:t>Université</w:t>
            </w:r>
            <w:proofErr w:type="spellEnd"/>
            <w:r>
              <w:rPr>
                <w:rFonts w:ascii="Arial" w:eastAsia="Arial" w:hAnsi="Arial" w:cs="Arial"/>
                <w:sz w:val="24"/>
                <w:szCs w:val="24"/>
              </w:rPr>
              <w:t xml:space="preserve">, em Paris, França (2013–2015). Mestre também pela UNESP, com ênfase em Matemática Aplicada e Computacional (2017–2019). Doutora pela Universidade de São Paulo (USP, 2019-2023) em Ciência da Computação e Matemática Computacional, com período sanduíche na </w:t>
            </w:r>
            <w:proofErr w:type="spellStart"/>
            <w:r>
              <w:rPr>
                <w:rFonts w:ascii="Arial" w:eastAsia="Arial" w:hAnsi="Arial" w:cs="Arial"/>
                <w:sz w:val="24"/>
                <w:szCs w:val="24"/>
              </w:rPr>
              <w:t>University</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Warwick, em Coventry, Inglaterra (2022–2023).</w:t>
            </w:r>
          </w:p>
          <w:p w14:paraId="1E16F3DF" w14:textId="77777777" w:rsidR="009D0F41" w:rsidRDefault="00000000">
            <w:pPr>
              <w:jc w:val="both"/>
              <w:rPr>
                <w:rFonts w:ascii="Arial" w:eastAsia="Arial" w:hAnsi="Arial" w:cs="Arial"/>
                <w:sz w:val="24"/>
                <w:szCs w:val="24"/>
              </w:rPr>
            </w:pPr>
            <w:r>
              <w:rPr>
                <w:rFonts w:ascii="Arial" w:eastAsia="Arial" w:hAnsi="Arial" w:cs="Arial"/>
                <w:sz w:val="24"/>
                <w:szCs w:val="24"/>
              </w:rPr>
              <w:t> </w:t>
            </w:r>
          </w:p>
          <w:p w14:paraId="71967B4A"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Atualmente atua com governança de dados e </w:t>
            </w:r>
            <w:proofErr w:type="spellStart"/>
            <w:r>
              <w:rPr>
                <w:rFonts w:ascii="Arial" w:eastAsia="Arial" w:hAnsi="Arial" w:cs="Arial"/>
                <w:sz w:val="24"/>
                <w:szCs w:val="24"/>
              </w:rPr>
              <w:t>analytics</w:t>
            </w:r>
            <w:proofErr w:type="spellEnd"/>
            <w:r>
              <w:rPr>
                <w:rFonts w:ascii="Arial" w:eastAsia="Arial" w:hAnsi="Arial" w:cs="Arial"/>
                <w:sz w:val="24"/>
                <w:szCs w:val="24"/>
              </w:rPr>
              <w:t xml:space="preserve"> na área de Câmbio e Derivativos do Itaú e é Professora Adjunta II no curso superior de Tecnologia em Inteligência e Análise de Dados no SENAI Suíço-Brasileira “Paulo Ernesto </w:t>
            </w:r>
            <w:proofErr w:type="spellStart"/>
            <w:r>
              <w:rPr>
                <w:rFonts w:ascii="Arial" w:eastAsia="Arial" w:hAnsi="Arial" w:cs="Arial"/>
                <w:sz w:val="24"/>
                <w:szCs w:val="24"/>
              </w:rPr>
              <w:t>Tolle</w:t>
            </w:r>
            <w:proofErr w:type="spellEnd"/>
            <w:r>
              <w:rPr>
                <w:rFonts w:ascii="Arial" w:eastAsia="Arial" w:hAnsi="Arial" w:cs="Arial"/>
                <w:sz w:val="24"/>
                <w:szCs w:val="24"/>
              </w:rPr>
              <w:t>”. Possui experiência nas áreas de modelagem, análise de dados, redes complexas e modelos de aprendizado de máquina.</w:t>
            </w:r>
          </w:p>
          <w:p w14:paraId="3504B873" w14:textId="77777777" w:rsidR="009D0F41" w:rsidRDefault="009D0F41">
            <w:pPr>
              <w:jc w:val="both"/>
              <w:rPr>
                <w:rFonts w:ascii="Arial" w:eastAsia="Arial" w:hAnsi="Arial" w:cs="Arial"/>
                <w:sz w:val="24"/>
                <w:szCs w:val="24"/>
              </w:rPr>
            </w:pPr>
          </w:p>
        </w:tc>
      </w:tr>
    </w:tbl>
    <w:p w14:paraId="4F2FE9EB" w14:textId="77777777" w:rsidR="009D0F41" w:rsidRDefault="00000000">
      <w:pPr>
        <w:widowControl/>
        <w:spacing w:line="278" w:lineRule="auto"/>
        <w:jc w:val="both"/>
        <w:rPr>
          <w:rFonts w:ascii="Times New Roman" w:eastAsia="Times New Roman" w:hAnsi="Times New Roman" w:cs="Times New Roman"/>
          <w:b/>
          <w:bCs/>
          <w:sz w:val="24"/>
          <w:szCs w:val="24"/>
        </w:rPr>
      </w:pPr>
      <w:r>
        <w:rPr>
          <w:rFonts w:ascii="Arial" w:eastAsia="Arial" w:hAnsi="Arial" w:cs="Arial"/>
          <w:sz w:val="24"/>
          <w:szCs w:val="24"/>
          <w:vertAlign w:val="superscript"/>
        </w:rPr>
        <w:t>v</w:t>
      </w:r>
      <w:r>
        <w:rPr>
          <w:rFonts w:ascii="Arial" w:eastAsia="Arial" w:hAnsi="Arial" w:cs="Arial"/>
          <w:sz w:val="24"/>
          <w:szCs w:val="24"/>
        </w:rPr>
        <w:t xml:space="preserve"> </w:t>
      </w:r>
      <w:r>
        <w:rPr>
          <w:rFonts w:ascii="Arial" w:eastAsia="Arial" w:hAnsi="Arial" w:cs="Arial"/>
          <w:b/>
          <w:bCs/>
          <w:sz w:val="24"/>
          <w:szCs w:val="24"/>
        </w:rPr>
        <w:t>RAFAEL NOBRE ORSI (Autor 5)</w:t>
      </w:r>
    </w:p>
    <w:p w14:paraId="7C2DAF03" w14:textId="77777777" w:rsidR="009D0F41" w:rsidRDefault="00000000">
      <w:pPr>
        <w:widowControl/>
        <w:spacing w:line="278" w:lineRule="auto"/>
        <w:jc w:val="both"/>
        <w:rPr>
          <w:rFonts w:ascii="Arial" w:eastAsia="Arial" w:hAnsi="Arial" w:cs="Arial"/>
          <w:sz w:val="24"/>
          <w:szCs w:val="24"/>
        </w:rPr>
      </w:pPr>
      <w:r>
        <w:rPr>
          <w:rFonts w:ascii="Arial" w:eastAsia="Arial" w:hAnsi="Arial" w:cs="Arial"/>
          <w:sz w:val="24"/>
          <w:szCs w:val="24"/>
        </w:rPr>
        <w:t xml:space="preserve"> </w:t>
      </w:r>
    </w:p>
    <w:tbl>
      <w:tblPr>
        <w:tblStyle w:val="af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6689"/>
      </w:tblGrid>
      <w:tr w:rsidR="009D0F41" w14:paraId="37F4BB03" w14:textId="77777777">
        <w:trPr>
          <w:trHeight w:val="2700"/>
        </w:trPr>
        <w:tc>
          <w:tcPr>
            <w:tcW w:w="1814" w:type="dxa"/>
            <w:tcBorders>
              <w:top w:val="nil"/>
              <w:left w:val="nil"/>
              <w:bottom w:val="nil"/>
              <w:right w:val="nil"/>
            </w:tcBorders>
            <w:tcMar>
              <w:top w:w="0" w:type="dxa"/>
              <w:left w:w="100" w:type="dxa"/>
              <w:bottom w:w="0" w:type="dxa"/>
              <w:right w:w="100" w:type="dxa"/>
            </w:tcMar>
          </w:tcPr>
          <w:p w14:paraId="7FA013B3" w14:textId="77777777" w:rsidR="009D0F41" w:rsidRDefault="00000000">
            <w:pPr>
              <w:widowControl/>
              <w:spacing w:line="278"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A6FB319" wp14:editId="3A36937C">
                  <wp:extent cx="901700" cy="1231900"/>
                  <wp:effectExtent l="0" t="0" r="0" b="0"/>
                  <wp:docPr id="47"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25"/>
                          <a:srcRect/>
                          <a:stretch>
                            <a:fillRect/>
                          </a:stretch>
                        </pic:blipFill>
                        <pic:spPr>
                          <a:xfrm>
                            <a:off x="0" y="0"/>
                            <a:ext cx="901700" cy="1231900"/>
                          </a:xfrm>
                          <a:prstGeom prst="rect">
                            <a:avLst/>
                          </a:prstGeom>
                          <a:ln/>
                        </pic:spPr>
                      </pic:pic>
                    </a:graphicData>
                  </a:graphic>
                </wp:inline>
              </w:drawing>
            </w:r>
          </w:p>
        </w:tc>
        <w:tc>
          <w:tcPr>
            <w:tcW w:w="6689" w:type="dxa"/>
            <w:tcBorders>
              <w:top w:val="nil"/>
              <w:left w:val="nil"/>
              <w:bottom w:val="nil"/>
              <w:right w:val="nil"/>
            </w:tcBorders>
            <w:tcMar>
              <w:top w:w="0" w:type="dxa"/>
              <w:left w:w="100" w:type="dxa"/>
              <w:bottom w:w="0" w:type="dxa"/>
              <w:right w:w="100" w:type="dxa"/>
            </w:tcMar>
          </w:tcPr>
          <w:p w14:paraId="3B20C5EB" w14:textId="77777777" w:rsidR="009D0F41" w:rsidRDefault="00000000">
            <w:pPr>
              <w:widowControl/>
              <w:spacing w:line="278" w:lineRule="auto"/>
              <w:jc w:val="both"/>
              <w:rPr>
                <w:rFonts w:ascii="Arial" w:eastAsia="Arial" w:hAnsi="Arial" w:cs="Arial"/>
                <w:sz w:val="24"/>
                <w:szCs w:val="24"/>
              </w:rPr>
            </w:pPr>
            <w:r>
              <w:rPr>
                <w:rFonts w:ascii="Arial" w:eastAsia="Arial" w:hAnsi="Arial" w:cs="Arial"/>
                <w:sz w:val="24"/>
                <w:szCs w:val="24"/>
              </w:rPr>
              <w:t xml:space="preserve">Graduado em Matemática (2008) e Especialização em Docência para o Ensino Superior (2015) pela Universidade </w:t>
            </w:r>
            <w:proofErr w:type="gramStart"/>
            <w:r>
              <w:rPr>
                <w:rFonts w:ascii="Arial" w:eastAsia="Arial" w:hAnsi="Arial" w:cs="Arial"/>
                <w:sz w:val="24"/>
                <w:szCs w:val="24"/>
              </w:rPr>
              <w:t>Paulista,  Mestrado</w:t>
            </w:r>
            <w:proofErr w:type="gramEnd"/>
            <w:r>
              <w:rPr>
                <w:rFonts w:ascii="Arial" w:eastAsia="Arial" w:hAnsi="Arial" w:cs="Arial"/>
                <w:sz w:val="24"/>
                <w:szCs w:val="24"/>
              </w:rPr>
              <w:t xml:space="preserve"> (2018) </w:t>
            </w:r>
            <w:proofErr w:type="gramStart"/>
            <w:r>
              <w:rPr>
                <w:rFonts w:ascii="Arial" w:eastAsia="Arial" w:hAnsi="Arial" w:cs="Arial"/>
                <w:sz w:val="24"/>
                <w:szCs w:val="24"/>
              </w:rPr>
              <w:t>e Doutorado</w:t>
            </w:r>
            <w:proofErr w:type="gramEnd"/>
            <w:r>
              <w:rPr>
                <w:rFonts w:ascii="Arial" w:eastAsia="Arial" w:hAnsi="Arial" w:cs="Arial"/>
                <w:sz w:val="24"/>
                <w:szCs w:val="24"/>
              </w:rPr>
              <w:t xml:space="preserve"> (2023) em Engenharia Elétrica pela FEI. Atualmente é professor do programa </w:t>
            </w:r>
            <w:proofErr w:type="gramStart"/>
            <w:r>
              <w:rPr>
                <w:rFonts w:ascii="Arial" w:eastAsia="Arial" w:hAnsi="Arial" w:cs="Arial"/>
                <w:sz w:val="24"/>
                <w:szCs w:val="24"/>
              </w:rPr>
              <w:t>pós graduação</w:t>
            </w:r>
            <w:proofErr w:type="gramEnd"/>
            <w:r>
              <w:rPr>
                <w:rFonts w:ascii="Arial" w:eastAsia="Arial" w:hAnsi="Arial" w:cs="Arial"/>
                <w:sz w:val="24"/>
                <w:szCs w:val="24"/>
              </w:rPr>
              <w:t xml:space="preserve"> (Stricto Sensu) do Centro Paula Souza e Professor Adjunto II no curso superior de Tecnologia em Inteligência e Análise de Dados no SENAI Suíço-Brasileira “Paulo Ernesto </w:t>
            </w:r>
            <w:proofErr w:type="spellStart"/>
            <w:r>
              <w:rPr>
                <w:rFonts w:ascii="Arial" w:eastAsia="Arial" w:hAnsi="Arial" w:cs="Arial"/>
                <w:sz w:val="24"/>
                <w:szCs w:val="24"/>
              </w:rPr>
              <w:t>Tolle</w:t>
            </w:r>
            <w:proofErr w:type="spellEnd"/>
            <w:r>
              <w:rPr>
                <w:rFonts w:ascii="Arial" w:eastAsia="Arial" w:hAnsi="Arial" w:cs="Arial"/>
                <w:sz w:val="24"/>
                <w:szCs w:val="24"/>
              </w:rPr>
              <w:t>”. Possui experiência nas áreas de estatística multivariada e reconhecimento de padrões.</w:t>
            </w:r>
          </w:p>
          <w:p w14:paraId="7355A701" w14:textId="77777777" w:rsidR="009D0F41" w:rsidRDefault="009D0F41">
            <w:pPr>
              <w:widowControl/>
              <w:spacing w:line="278" w:lineRule="auto"/>
              <w:jc w:val="both"/>
              <w:rPr>
                <w:rFonts w:ascii="Arial" w:eastAsia="Arial" w:hAnsi="Arial" w:cs="Arial"/>
                <w:sz w:val="24"/>
                <w:szCs w:val="24"/>
              </w:rPr>
            </w:pPr>
          </w:p>
        </w:tc>
      </w:tr>
    </w:tbl>
    <w:p w14:paraId="42B7406D" w14:textId="77777777" w:rsidR="009D0F41" w:rsidRDefault="00000000">
      <w:pPr>
        <w:rPr>
          <w:rFonts w:ascii="Arial" w:eastAsia="Arial" w:hAnsi="Arial" w:cs="Arial"/>
          <w:sz w:val="24"/>
          <w:szCs w:val="24"/>
        </w:rPr>
      </w:pPr>
      <w:r>
        <w:rPr>
          <w:rFonts w:ascii="Arial" w:eastAsia="Arial" w:hAnsi="Arial" w:cs="Arial"/>
          <w:sz w:val="24"/>
          <w:szCs w:val="24"/>
          <w:vertAlign w:val="superscript"/>
        </w:rPr>
        <w:t>vi</w:t>
      </w:r>
      <w:r>
        <w:rPr>
          <w:rFonts w:ascii="Arial" w:eastAsia="Arial" w:hAnsi="Arial" w:cs="Arial"/>
          <w:sz w:val="24"/>
          <w:szCs w:val="24"/>
        </w:rPr>
        <w:t xml:space="preserve"> </w:t>
      </w:r>
      <w:r>
        <w:rPr>
          <w:rFonts w:ascii="Arial" w:eastAsia="Arial" w:hAnsi="Arial" w:cs="Arial"/>
          <w:b/>
          <w:bCs/>
          <w:sz w:val="24"/>
          <w:szCs w:val="24"/>
        </w:rPr>
        <w:t>BETHINA DA ROCHA CAMARGO (Autor 6)</w:t>
      </w:r>
    </w:p>
    <w:tbl>
      <w:tblPr>
        <w:tblStyle w:val="af6"/>
        <w:tblW w:w="9075" w:type="dxa"/>
        <w:tblInd w:w="0" w:type="dxa"/>
        <w:tblLayout w:type="fixed"/>
        <w:tblLook w:val="0400" w:firstRow="0" w:lastRow="0" w:firstColumn="0" w:lastColumn="0" w:noHBand="0" w:noVBand="1"/>
      </w:tblPr>
      <w:tblGrid>
        <w:gridCol w:w="1580"/>
        <w:gridCol w:w="7495"/>
      </w:tblGrid>
      <w:tr w:rsidR="009D0F41" w14:paraId="33EC4BC2" w14:textId="77777777">
        <w:trPr>
          <w:trHeight w:val="3795"/>
        </w:trPr>
        <w:tc>
          <w:tcPr>
            <w:tcW w:w="1580" w:type="dxa"/>
            <w:tcMar>
              <w:top w:w="0" w:type="dxa"/>
              <w:left w:w="100" w:type="dxa"/>
              <w:bottom w:w="0" w:type="dxa"/>
              <w:right w:w="100" w:type="dxa"/>
            </w:tcMar>
          </w:tcPr>
          <w:p w14:paraId="0B2F6360" w14:textId="77777777" w:rsidR="009D0F41" w:rsidRDefault="00000000">
            <w:pPr>
              <w:rPr>
                <w:rFonts w:ascii="Arial" w:eastAsia="Arial" w:hAnsi="Arial" w:cs="Arial"/>
                <w:sz w:val="24"/>
                <w:szCs w:val="24"/>
              </w:rPr>
            </w:pPr>
            <w:r>
              <w:rPr>
                <w:rFonts w:ascii="Arial" w:eastAsia="Arial" w:hAnsi="Arial" w:cs="Arial"/>
                <w:sz w:val="24"/>
                <w:szCs w:val="24"/>
              </w:rPr>
              <w:t> </w:t>
            </w:r>
            <w:r>
              <w:rPr>
                <w:rFonts w:ascii="Arial" w:eastAsia="Arial" w:hAnsi="Arial" w:cs="Arial"/>
                <w:noProof/>
                <w:sz w:val="24"/>
                <w:szCs w:val="24"/>
              </w:rPr>
              <w:drawing>
                <wp:inline distT="0" distB="0" distL="0" distR="0" wp14:anchorId="5AC4C7DF" wp14:editId="4A34AF52">
                  <wp:extent cx="866775" cy="1171575"/>
                  <wp:effectExtent l="0" t="0" r="0" b="0"/>
                  <wp:docPr id="4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6"/>
                          <a:srcRect/>
                          <a:stretch>
                            <a:fillRect/>
                          </a:stretch>
                        </pic:blipFill>
                        <pic:spPr>
                          <a:xfrm>
                            <a:off x="0" y="0"/>
                            <a:ext cx="866775" cy="1171575"/>
                          </a:xfrm>
                          <a:prstGeom prst="rect">
                            <a:avLst/>
                          </a:prstGeom>
                          <a:ln/>
                        </pic:spPr>
                      </pic:pic>
                    </a:graphicData>
                  </a:graphic>
                </wp:inline>
              </w:drawing>
            </w:r>
          </w:p>
        </w:tc>
        <w:tc>
          <w:tcPr>
            <w:tcW w:w="7495" w:type="dxa"/>
            <w:tcMar>
              <w:top w:w="0" w:type="dxa"/>
              <w:left w:w="100" w:type="dxa"/>
              <w:bottom w:w="0" w:type="dxa"/>
              <w:right w:w="100" w:type="dxa"/>
            </w:tcMar>
          </w:tcPr>
          <w:p w14:paraId="3404222F"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Graduada em Licenciatura em Matemática pela Universidade Estadual Paulista (UNESP), campus de Bauru (2013-2018). Mestre e Doutora em Biometria pela UNESP, campus de Botucatu, com pesquisa voltada à identificação de biomarcadores de carcinoma pulmonar utilizando técnicas de machine learning (2020-2024). </w:t>
            </w:r>
          </w:p>
          <w:p w14:paraId="1DA0236B" w14:textId="77777777" w:rsidR="009D0F41" w:rsidRDefault="009D0F41">
            <w:pPr>
              <w:jc w:val="both"/>
              <w:rPr>
                <w:rFonts w:ascii="Arial" w:eastAsia="Arial" w:hAnsi="Arial" w:cs="Arial"/>
                <w:sz w:val="24"/>
                <w:szCs w:val="24"/>
              </w:rPr>
            </w:pPr>
          </w:p>
          <w:p w14:paraId="237B7825" w14:textId="77777777" w:rsidR="009D0F41" w:rsidRDefault="00000000">
            <w:pPr>
              <w:jc w:val="both"/>
              <w:rPr>
                <w:rFonts w:ascii="Arial" w:eastAsia="Arial" w:hAnsi="Arial" w:cs="Arial"/>
                <w:sz w:val="24"/>
                <w:szCs w:val="24"/>
              </w:rPr>
            </w:pPr>
            <w:r>
              <w:rPr>
                <w:rFonts w:ascii="Arial" w:eastAsia="Arial" w:hAnsi="Arial" w:cs="Arial"/>
                <w:sz w:val="24"/>
                <w:szCs w:val="24"/>
              </w:rPr>
              <w:t xml:space="preserve">Atualmente atua como Data </w:t>
            </w:r>
            <w:proofErr w:type="spellStart"/>
            <w:r>
              <w:rPr>
                <w:rFonts w:ascii="Arial" w:eastAsia="Arial" w:hAnsi="Arial" w:cs="Arial"/>
                <w:sz w:val="24"/>
                <w:szCs w:val="24"/>
              </w:rPr>
              <w:t>Scientist</w:t>
            </w:r>
            <w:proofErr w:type="spellEnd"/>
            <w:r>
              <w:rPr>
                <w:rFonts w:ascii="Arial" w:eastAsia="Arial" w:hAnsi="Arial" w:cs="Arial"/>
                <w:sz w:val="24"/>
                <w:szCs w:val="24"/>
              </w:rPr>
              <w:t xml:space="preserve"> II no Departamento de Inteligência de Dados do Bradesco e é Professora Assistente II no curso superior de Tecnologia em Inteligência e Análise de Dados no SENAI Suíço-Brasileira “Paulo Ernesto </w:t>
            </w:r>
            <w:proofErr w:type="spellStart"/>
            <w:r>
              <w:rPr>
                <w:rFonts w:ascii="Arial" w:eastAsia="Arial" w:hAnsi="Arial" w:cs="Arial"/>
                <w:sz w:val="24"/>
                <w:szCs w:val="24"/>
              </w:rPr>
              <w:t>Tolle</w:t>
            </w:r>
            <w:proofErr w:type="spellEnd"/>
            <w:r>
              <w:rPr>
                <w:rFonts w:ascii="Arial" w:eastAsia="Arial" w:hAnsi="Arial" w:cs="Arial"/>
                <w:sz w:val="24"/>
                <w:szCs w:val="24"/>
              </w:rPr>
              <w:t>”. Possui experiência nas áreas de análise de dados, estatística e machine learning.</w:t>
            </w:r>
          </w:p>
          <w:p w14:paraId="52BCE6BA" w14:textId="77777777" w:rsidR="009D0F41" w:rsidRDefault="00000000">
            <w:pPr>
              <w:rPr>
                <w:rFonts w:ascii="Arial" w:eastAsia="Arial" w:hAnsi="Arial" w:cs="Arial"/>
                <w:sz w:val="24"/>
                <w:szCs w:val="24"/>
              </w:rPr>
            </w:pPr>
            <w:r>
              <w:rPr>
                <w:rFonts w:ascii="Arial" w:eastAsia="Arial" w:hAnsi="Arial" w:cs="Arial"/>
                <w:sz w:val="24"/>
                <w:szCs w:val="24"/>
              </w:rPr>
              <w:t> </w:t>
            </w:r>
          </w:p>
        </w:tc>
      </w:tr>
    </w:tbl>
    <w:p w14:paraId="0B231152" w14:textId="77777777" w:rsidR="009D0F41" w:rsidRDefault="009D0F41">
      <w:pPr>
        <w:widowControl/>
        <w:spacing w:line="278" w:lineRule="auto"/>
        <w:jc w:val="both"/>
        <w:rPr>
          <w:rFonts w:ascii="Arial" w:eastAsia="Arial" w:hAnsi="Arial" w:cs="Arial"/>
          <w:sz w:val="24"/>
          <w:szCs w:val="24"/>
        </w:rPr>
      </w:pPr>
    </w:p>
    <w:sectPr w:rsidR="009D0F41">
      <w:headerReference w:type="default" r:id="rId27"/>
      <w:footerReference w:type="default" r:id="rId28"/>
      <w:pgSz w:w="11910" w:h="16840"/>
      <w:pgMar w:top="1701" w:right="1134" w:bottom="1134" w:left="1701" w:header="720" w:footer="9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3CF18" w14:textId="77777777" w:rsidR="00C610D4" w:rsidRDefault="00C610D4">
      <w:r>
        <w:separator/>
      </w:r>
    </w:p>
  </w:endnote>
  <w:endnote w:type="continuationSeparator" w:id="0">
    <w:p w14:paraId="08BD67C3" w14:textId="77777777" w:rsidR="00C610D4" w:rsidRDefault="00C6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SemiBold">
    <w:altName w:val="Calibri"/>
    <w:charset w:val="00"/>
    <w:family w:val="auto"/>
    <w:pitch w:val="default"/>
    <w:embedRegular r:id="rId1" w:fontKey="{54F7777D-3B8C-4882-8709-37D356BF14C0}"/>
    <w:embedBold r:id="rId2" w:fontKey="{55AA96AF-1C18-469C-BD3A-751A9138CC98}"/>
  </w:font>
  <w:font w:name="Calibri">
    <w:panose1 w:val="020F0502020204030204"/>
    <w:charset w:val="00"/>
    <w:family w:val="swiss"/>
    <w:pitch w:val="variable"/>
    <w:sig w:usb0="E4002EFF" w:usb1="C200247B" w:usb2="00000009" w:usb3="00000000" w:csb0="000001FF" w:csb1="00000000"/>
    <w:embedRegular r:id="rId3" w:fontKey="{D6577F1F-A573-4DD5-BA7A-3164B8E83177}"/>
    <w:embedBold r:id="rId4" w:fontKey="{2DD37178-3FC7-4624-99D6-CD61EB7D79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BECD71C-288E-4E76-804C-D0DB589EBF6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77C3BE0-DCF4-40EE-BED4-095699324F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C501" w14:textId="77777777" w:rsidR="009D0F41" w:rsidRDefault="00000000">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0" distR="0" simplePos="0" relativeHeight="251659264" behindDoc="1" locked="0" layoutInCell="1" hidden="0" allowOverlap="1" wp14:anchorId="75AD388E" wp14:editId="115FA616">
              <wp:simplePos x="0" y="0"/>
              <wp:positionH relativeFrom="column">
                <wp:posOffset>-1099178</wp:posOffset>
              </wp:positionH>
              <wp:positionV relativeFrom="paragraph">
                <wp:posOffset>85725</wp:posOffset>
              </wp:positionV>
              <wp:extent cx="2686050" cy="857250"/>
              <wp:effectExtent l="0" t="0" r="0" b="0"/>
              <wp:wrapNone/>
              <wp:docPr id="37" name="Forma Livre: Forma 37"/>
              <wp:cNvGraphicFramePr/>
              <a:graphic xmlns:a="http://schemas.openxmlformats.org/drawingml/2006/main">
                <a:graphicData uri="http://schemas.microsoft.com/office/word/2010/wordprocessingShape">
                  <wps:wsp>
                    <wps:cNvSpPr/>
                    <wps:spPr>
                      <a:xfrm>
                        <a:off x="4022025" y="3370425"/>
                        <a:ext cx="2647950" cy="819150"/>
                      </a:xfrm>
                      <a:custGeom>
                        <a:avLst/>
                        <a:gdLst/>
                        <a:ahLst/>
                        <a:cxnLst/>
                        <a:rect l="l" t="t" r="r" b="b"/>
                        <a:pathLst>
                          <a:path w="4252" h="1418" extrusionOk="0">
                            <a:moveTo>
                              <a:pt x="3434" y="0"/>
                            </a:moveTo>
                            <a:lnTo>
                              <a:pt x="0" y="0"/>
                            </a:lnTo>
                            <a:lnTo>
                              <a:pt x="0" y="1418"/>
                            </a:lnTo>
                            <a:lnTo>
                              <a:pt x="4252" y="1418"/>
                            </a:lnTo>
                            <a:lnTo>
                              <a:pt x="3434" y="0"/>
                            </a:lnTo>
                            <a:close/>
                          </a:path>
                        </a:pathLst>
                      </a:custGeom>
                      <a:solidFill>
                        <a:srgbClr val="EBEBEB"/>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-1099178</wp:posOffset>
              </wp:positionH>
              <wp:positionV relativeFrom="paragraph">
                <wp:posOffset>85725</wp:posOffset>
              </wp:positionV>
              <wp:extent cx="2686050" cy="857250"/>
              <wp:effectExtent b="0" l="0" r="0" t="0"/>
              <wp:wrapNone/>
              <wp:docPr id="3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686050" cy="85725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1D734F45" wp14:editId="6BB4C329">
          <wp:simplePos x="0" y="0"/>
          <wp:positionH relativeFrom="column">
            <wp:posOffset>4932045</wp:posOffset>
          </wp:positionH>
          <wp:positionV relativeFrom="paragraph">
            <wp:posOffset>-121280</wp:posOffset>
          </wp:positionV>
          <wp:extent cx="830580" cy="388620"/>
          <wp:effectExtent l="0" t="0" r="0" b="0"/>
          <wp:wrapSquare wrapText="bothSides" distT="0" distB="0" distL="114300" distR="11430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67941" b="4969"/>
                  <a:stretch>
                    <a:fillRect/>
                  </a:stretch>
                </pic:blipFill>
                <pic:spPr>
                  <a:xfrm>
                    <a:off x="0" y="0"/>
                    <a:ext cx="830580" cy="38862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5524" w14:textId="77777777" w:rsidR="00C610D4" w:rsidRDefault="00C610D4">
      <w:r>
        <w:separator/>
      </w:r>
    </w:p>
  </w:footnote>
  <w:footnote w:type="continuationSeparator" w:id="0">
    <w:p w14:paraId="3B3C3B8C" w14:textId="77777777" w:rsidR="00C610D4" w:rsidRDefault="00C610D4">
      <w:r>
        <w:continuationSeparator/>
      </w:r>
    </w:p>
  </w:footnote>
  <w:footnote w:id="1">
    <w:p w14:paraId="10AFE579" w14:textId="666659EC" w:rsidR="009D0F41" w:rsidRDefault="00000000">
      <w:pPr>
        <w:widowControl/>
        <w:pBdr>
          <w:top w:val="nil"/>
          <w:left w:val="nil"/>
          <w:bottom w:val="nil"/>
          <w:right w:val="nil"/>
          <w:between w:val="nil"/>
        </w:pBdr>
        <w:jc w:val="both"/>
        <w:rPr>
          <w:rFonts w:ascii="Calibri" w:eastAsia="Calibri" w:hAnsi="Calibri" w:cs="Calibri"/>
          <w:color w:val="000000"/>
          <w:sz w:val="20"/>
          <w:szCs w:val="20"/>
        </w:rPr>
      </w:pPr>
      <w:r>
        <w:rPr>
          <w:vertAlign w:val="superscript"/>
        </w:rPr>
        <w:footnoteRef/>
      </w:r>
      <w:r>
        <w:rPr>
          <w:rFonts w:ascii="Calibri" w:eastAsia="Calibri" w:hAnsi="Calibri" w:cs="Calibri"/>
          <w:color w:val="000000"/>
          <w:sz w:val="20"/>
          <w:szCs w:val="20"/>
        </w:rPr>
        <w:t xml:space="preserve"> </w:t>
      </w:r>
      <w:r w:rsidR="00B77B5C">
        <w:rPr>
          <w:rFonts w:ascii="Calibri" w:eastAsia="Calibri" w:hAnsi="Calibri" w:cs="Calibri"/>
          <w:color w:val="000000"/>
          <w:sz w:val="20"/>
          <w:szCs w:val="20"/>
        </w:rPr>
        <w:t>G</w:t>
      </w:r>
      <w:r>
        <w:rPr>
          <w:rFonts w:ascii="Calibri" w:eastAsia="Calibri" w:hAnsi="Calibri" w:cs="Calibri"/>
          <w:color w:val="000000"/>
          <w:sz w:val="20"/>
          <w:szCs w:val="20"/>
        </w:rPr>
        <w:t>raduando em Inteligência em Análise de Dados pela Faculdade SENAI</w:t>
      </w:r>
      <w:r w:rsidR="00B77B5C">
        <w:rPr>
          <w:rFonts w:ascii="Calibri" w:eastAsia="Calibri" w:hAnsi="Calibri" w:cs="Calibri"/>
          <w:color w:val="000000"/>
          <w:sz w:val="20"/>
          <w:szCs w:val="20"/>
        </w:rPr>
        <w:t xml:space="preserve">. </w:t>
      </w:r>
      <w:r>
        <w:rPr>
          <w:rFonts w:ascii="Calibri" w:eastAsia="Calibri" w:hAnsi="Calibri" w:cs="Calibri"/>
          <w:color w:val="000000"/>
          <w:sz w:val="20"/>
          <w:szCs w:val="20"/>
        </w:rPr>
        <w:t>E-mail: anderso</w:t>
      </w:r>
      <w:r w:rsidR="00A027DE">
        <w:rPr>
          <w:rFonts w:ascii="Calibri" w:eastAsia="Calibri" w:hAnsi="Calibri" w:cs="Calibri"/>
          <w:color w:val="000000"/>
          <w:sz w:val="20"/>
          <w:szCs w:val="20"/>
        </w:rPr>
        <w:t>n.horacio</w:t>
      </w:r>
      <w:r>
        <w:rPr>
          <w:rFonts w:ascii="Calibri" w:eastAsia="Calibri" w:hAnsi="Calibri" w:cs="Calibri"/>
          <w:color w:val="000000"/>
          <w:sz w:val="20"/>
          <w:szCs w:val="20"/>
        </w:rPr>
        <w:t>@</w:t>
      </w:r>
      <w:r w:rsidR="00A027DE">
        <w:rPr>
          <w:rFonts w:ascii="Calibri" w:eastAsia="Calibri" w:hAnsi="Calibri" w:cs="Calibri"/>
          <w:color w:val="000000"/>
          <w:sz w:val="20"/>
          <w:szCs w:val="20"/>
        </w:rPr>
        <w:t>edu.senai.br</w:t>
      </w:r>
    </w:p>
  </w:footnote>
  <w:footnote w:id="2">
    <w:p w14:paraId="402AF19D" w14:textId="0C1395CC" w:rsidR="007F4CB7" w:rsidRDefault="00000000">
      <w:pPr>
        <w:widowControl/>
        <w:pBdr>
          <w:top w:val="nil"/>
          <w:left w:val="nil"/>
          <w:bottom w:val="nil"/>
          <w:right w:val="nil"/>
          <w:between w:val="nil"/>
        </w:pBdr>
        <w:jc w:val="both"/>
        <w:rPr>
          <w:rFonts w:ascii="Calibri" w:eastAsia="Calibri" w:hAnsi="Calibri" w:cs="Calibri"/>
          <w:sz w:val="20"/>
          <w:szCs w:val="20"/>
        </w:rPr>
      </w:pPr>
      <w:r>
        <w:rPr>
          <w:vertAlign w:val="superscript"/>
        </w:rPr>
        <w:footnoteRef/>
      </w:r>
      <w:r>
        <w:rPr>
          <w:rFonts w:ascii="Calibri" w:eastAsia="Calibri" w:hAnsi="Calibri" w:cs="Calibri"/>
          <w:color w:val="000000"/>
          <w:sz w:val="20"/>
          <w:szCs w:val="20"/>
        </w:rPr>
        <w:t xml:space="preserve"> </w:t>
      </w:r>
      <w:r>
        <w:rPr>
          <w:rFonts w:ascii="Calibri" w:eastAsia="Calibri" w:hAnsi="Calibri" w:cs="Calibri"/>
          <w:sz w:val="20"/>
          <w:szCs w:val="20"/>
        </w:rPr>
        <w:t>Gradua</w:t>
      </w:r>
      <w:r w:rsidR="00B77B5C">
        <w:rPr>
          <w:rFonts w:ascii="Calibri" w:eastAsia="Calibri" w:hAnsi="Calibri" w:cs="Calibri"/>
          <w:sz w:val="20"/>
          <w:szCs w:val="20"/>
        </w:rPr>
        <w:t>nd</w:t>
      </w:r>
      <w:r w:rsidR="00806D21">
        <w:rPr>
          <w:rFonts w:ascii="Calibri" w:eastAsia="Calibri" w:hAnsi="Calibri" w:cs="Calibri"/>
          <w:sz w:val="20"/>
          <w:szCs w:val="20"/>
        </w:rPr>
        <w:t>a</w:t>
      </w:r>
      <w:r>
        <w:rPr>
          <w:rFonts w:ascii="Calibri" w:eastAsia="Calibri" w:hAnsi="Calibri" w:cs="Calibri"/>
          <w:sz w:val="20"/>
          <w:szCs w:val="20"/>
        </w:rPr>
        <w:t xml:space="preserve"> em Inteligência e</w:t>
      </w:r>
      <w:r w:rsidR="00B77B5C">
        <w:rPr>
          <w:rFonts w:ascii="Calibri" w:eastAsia="Calibri" w:hAnsi="Calibri" w:cs="Calibri"/>
          <w:sz w:val="20"/>
          <w:szCs w:val="20"/>
        </w:rPr>
        <w:t>m</w:t>
      </w:r>
      <w:r>
        <w:rPr>
          <w:rFonts w:ascii="Calibri" w:eastAsia="Calibri" w:hAnsi="Calibri" w:cs="Calibri"/>
          <w:sz w:val="20"/>
          <w:szCs w:val="20"/>
        </w:rPr>
        <w:t xml:space="preserve"> Análise de Dados pela Faculdade SENAI. E-mail: </w:t>
      </w:r>
      <w:r w:rsidR="00A027DE" w:rsidRPr="00A027DE">
        <w:rPr>
          <w:rFonts w:ascii="Calibri" w:eastAsia="Calibri" w:hAnsi="Calibri" w:cs="Calibri"/>
          <w:sz w:val="20"/>
          <w:szCs w:val="20"/>
        </w:rPr>
        <w:t>ana.l.santos226@aluno.senai.br</w:t>
      </w:r>
    </w:p>
    <w:p w14:paraId="39478FFB" w14:textId="7F949004" w:rsidR="004320D0" w:rsidRDefault="004320D0" w:rsidP="004320D0">
      <w:pPr>
        <w:widowControl/>
        <w:pBdr>
          <w:top w:val="nil"/>
          <w:left w:val="nil"/>
          <w:bottom w:val="nil"/>
          <w:right w:val="nil"/>
          <w:between w:val="nil"/>
        </w:pBdr>
        <w:jc w:val="both"/>
        <w:rPr>
          <w:rFonts w:ascii="Calibri" w:eastAsia="Calibri" w:hAnsi="Calibri" w:cs="Calibri"/>
          <w:color w:val="000000"/>
          <w:sz w:val="20"/>
          <w:szCs w:val="20"/>
        </w:rPr>
      </w:pPr>
      <w:r>
        <w:rPr>
          <w:vertAlign w:val="superscript"/>
        </w:rPr>
        <w:t>3</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 xml:space="preserve">Docente e Dr. do </w:t>
      </w:r>
      <w:proofErr w:type="spellStart"/>
      <w:r w:rsidRPr="004320D0">
        <w:rPr>
          <w:rFonts w:ascii="Calibri" w:eastAsia="Calibri" w:hAnsi="Calibri" w:cs="Calibri"/>
          <w:color w:val="000000"/>
          <w:sz w:val="20"/>
          <w:szCs w:val="20"/>
        </w:rPr>
        <w:t>UniSENAI</w:t>
      </w:r>
      <w:proofErr w:type="spellEnd"/>
      <w:r w:rsidRPr="004320D0">
        <w:rPr>
          <w:rFonts w:ascii="Calibri" w:eastAsia="Calibri" w:hAnsi="Calibri" w:cs="Calibri"/>
          <w:color w:val="000000"/>
          <w:sz w:val="20"/>
          <w:szCs w:val="20"/>
        </w:rPr>
        <w:t xml:space="preserve"> Campus Santo Amaro. E-mail: felipe.camargo@sp.senai.br</w:t>
      </w:r>
    </w:p>
    <w:p w14:paraId="0BC7C974" w14:textId="0165EF21" w:rsidR="004320D0" w:rsidRDefault="004320D0" w:rsidP="004320D0">
      <w:pPr>
        <w:widowControl/>
        <w:pBdr>
          <w:top w:val="nil"/>
          <w:left w:val="nil"/>
          <w:bottom w:val="nil"/>
          <w:right w:val="nil"/>
          <w:between w:val="nil"/>
        </w:pBdr>
        <w:jc w:val="both"/>
        <w:rPr>
          <w:rFonts w:ascii="Calibri" w:eastAsia="Calibri" w:hAnsi="Calibri" w:cs="Calibri"/>
          <w:color w:val="000000"/>
          <w:sz w:val="20"/>
          <w:szCs w:val="20"/>
        </w:rPr>
      </w:pPr>
      <w:r>
        <w:rPr>
          <w:vertAlign w:val="superscript"/>
        </w:rPr>
        <w:t>4</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Docente e Dr</w:t>
      </w:r>
      <w:r>
        <w:rPr>
          <w:rFonts w:ascii="Calibri" w:eastAsia="Calibri" w:hAnsi="Calibri" w:cs="Calibri"/>
          <w:color w:val="000000"/>
          <w:sz w:val="20"/>
          <w:szCs w:val="20"/>
        </w:rPr>
        <w:t>a</w:t>
      </w:r>
      <w:r w:rsidRPr="004320D0">
        <w:rPr>
          <w:rFonts w:ascii="Calibri" w:eastAsia="Calibri" w:hAnsi="Calibri" w:cs="Calibri"/>
          <w:color w:val="000000"/>
          <w:sz w:val="20"/>
          <w:szCs w:val="20"/>
        </w:rPr>
        <w:t xml:space="preserve">. do </w:t>
      </w:r>
      <w:proofErr w:type="spellStart"/>
      <w:r w:rsidRPr="004320D0">
        <w:rPr>
          <w:rFonts w:ascii="Calibri" w:eastAsia="Calibri" w:hAnsi="Calibri" w:cs="Calibri"/>
          <w:color w:val="000000"/>
          <w:sz w:val="20"/>
          <w:szCs w:val="20"/>
        </w:rPr>
        <w:t>UniSENAI</w:t>
      </w:r>
      <w:proofErr w:type="spellEnd"/>
      <w:r w:rsidRPr="004320D0">
        <w:rPr>
          <w:rFonts w:ascii="Calibri" w:eastAsia="Calibri" w:hAnsi="Calibri" w:cs="Calibri"/>
          <w:color w:val="000000"/>
          <w:sz w:val="20"/>
          <w:szCs w:val="20"/>
        </w:rPr>
        <w:t xml:space="preserve"> Campus Santo Amaro. E-mail:</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aruane.pertinhez@sp.senai.br</w:t>
      </w:r>
    </w:p>
    <w:p w14:paraId="5297EA6B" w14:textId="3E937A43" w:rsidR="004320D0" w:rsidRDefault="004320D0" w:rsidP="004320D0">
      <w:pPr>
        <w:widowControl/>
        <w:pBdr>
          <w:top w:val="nil"/>
          <w:left w:val="nil"/>
          <w:bottom w:val="nil"/>
          <w:right w:val="nil"/>
          <w:between w:val="nil"/>
        </w:pBdr>
        <w:jc w:val="both"/>
        <w:rPr>
          <w:rFonts w:ascii="Calibri" w:eastAsia="Calibri" w:hAnsi="Calibri" w:cs="Calibri"/>
          <w:color w:val="000000"/>
          <w:sz w:val="20"/>
          <w:szCs w:val="20"/>
        </w:rPr>
      </w:pPr>
      <w:r>
        <w:rPr>
          <w:vertAlign w:val="superscript"/>
        </w:rPr>
        <w:t>5</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 xml:space="preserve">Docente e Dr. do </w:t>
      </w:r>
      <w:proofErr w:type="spellStart"/>
      <w:r w:rsidRPr="004320D0">
        <w:rPr>
          <w:rFonts w:ascii="Calibri" w:eastAsia="Calibri" w:hAnsi="Calibri" w:cs="Calibri"/>
          <w:color w:val="000000"/>
          <w:sz w:val="20"/>
          <w:szCs w:val="20"/>
        </w:rPr>
        <w:t>UniSENAI</w:t>
      </w:r>
      <w:proofErr w:type="spellEnd"/>
      <w:r w:rsidRPr="004320D0">
        <w:rPr>
          <w:rFonts w:ascii="Calibri" w:eastAsia="Calibri" w:hAnsi="Calibri" w:cs="Calibri"/>
          <w:color w:val="000000"/>
          <w:sz w:val="20"/>
          <w:szCs w:val="20"/>
        </w:rPr>
        <w:t xml:space="preserve"> Campus Santo Amaro. E-mail:</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rafael.orsi@sp.senai.br</w:t>
      </w:r>
    </w:p>
    <w:p w14:paraId="0B17B215" w14:textId="3AC63BCD" w:rsidR="004320D0" w:rsidRDefault="004320D0" w:rsidP="004320D0">
      <w:pPr>
        <w:widowControl/>
        <w:pBdr>
          <w:top w:val="nil"/>
          <w:left w:val="nil"/>
          <w:bottom w:val="nil"/>
          <w:right w:val="nil"/>
          <w:between w:val="nil"/>
        </w:pBdr>
        <w:jc w:val="both"/>
        <w:rPr>
          <w:rFonts w:ascii="Calibri" w:eastAsia="Calibri" w:hAnsi="Calibri" w:cs="Calibri"/>
          <w:color w:val="000000"/>
          <w:sz w:val="20"/>
          <w:szCs w:val="20"/>
        </w:rPr>
      </w:pPr>
      <w:r>
        <w:rPr>
          <w:vertAlign w:val="superscript"/>
        </w:rPr>
        <w:t>6</w:t>
      </w:r>
      <w:r>
        <w:rPr>
          <w:rFonts w:ascii="Calibri" w:eastAsia="Calibri" w:hAnsi="Calibri" w:cs="Calibri"/>
          <w:color w:val="000000"/>
          <w:sz w:val="20"/>
          <w:szCs w:val="20"/>
        </w:rPr>
        <w:t xml:space="preserve"> </w:t>
      </w:r>
      <w:r w:rsidRPr="004320D0">
        <w:rPr>
          <w:rFonts w:ascii="Calibri" w:eastAsia="Calibri" w:hAnsi="Calibri" w:cs="Calibri"/>
          <w:color w:val="000000"/>
          <w:sz w:val="20"/>
          <w:szCs w:val="20"/>
        </w:rPr>
        <w:t>Docente e Dr</w:t>
      </w:r>
      <w:r>
        <w:rPr>
          <w:rFonts w:ascii="Calibri" w:eastAsia="Calibri" w:hAnsi="Calibri" w:cs="Calibri"/>
          <w:color w:val="000000"/>
          <w:sz w:val="20"/>
          <w:szCs w:val="20"/>
        </w:rPr>
        <w:t>a</w:t>
      </w:r>
      <w:r w:rsidRPr="004320D0">
        <w:rPr>
          <w:rFonts w:ascii="Calibri" w:eastAsia="Calibri" w:hAnsi="Calibri" w:cs="Calibri"/>
          <w:color w:val="000000"/>
          <w:sz w:val="20"/>
          <w:szCs w:val="20"/>
        </w:rPr>
        <w:t xml:space="preserve">. do </w:t>
      </w:r>
      <w:proofErr w:type="spellStart"/>
      <w:r w:rsidRPr="004320D0">
        <w:rPr>
          <w:rFonts w:ascii="Calibri" w:eastAsia="Calibri" w:hAnsi="Calibri" w:cs="Calibri"/>
          <w:color w:val="000000"/>
          <w:sz w:val="20"/>
          <w:szCs w:val="20"/>
        </w:rPr>
        <w:t>UniSENAI</w:t>
      </w:r>
      <w:proofErr w:type="spellEnd"/>
      <w:r w:rsidRPr="004320D0">
        <w:rPr>
          <w:rFonts w:ascii="Calibri" w:eastAsia="Calibri" w:hAnsi="Calibri" w:cs="Calibri"/>
          <w:color w:val="000000"/>
          <w:sz w:val="20"/>
          <w:szCs w:val="20"/>
        </w:rPr>
        <w:t xml:space="preserve"> Campus Santo Amaro. E-mail:</w:t>
      </w:r>
      <w:r>
        <w:rPr>
          <w:rFonts w:ascii="Calibri" w:eastAsia="Calibri" w:hAnsi="Calibri" w:cs="Calibri"/>
          <w:color w:val="000000"/>
          <w:sz w:val="20"/>
          <w:szCs w:val="20"/>
        </w:rPr>
        <w:t xml:space="preserve"> bethina.camargo@sp.senai.br</w:t>
      </w:r>
    </w:p>
    <w:p w14:paraId="20465E7C" w14:textId="77777777" w:rsidR="004320D0" w:rsidRDefault="004320D0" w:rsidP="004320D0">
      <w:pPr>
        <w:widowControl/>
        <w:pBdr>
          <w:top w:val="nil"/>
          <w:left w:val="nil"/>
          <w:bottom w:val="nil"/>
          <w:right w:val="nil"/>
          <w:between w:val="nil"/>
        </w:pBdr>
        <w:jc w:val="both"/>
        <w:rPr>
          <w:rFonts w:ascii="Calibri" w:eastAsia="Calibri" w:hAnsi="Calibri" w:cs="Calibri"/>
          <w:sz w:val="20"/>
          <w:szCs w:val="20"/>
        </w:rPr>
      </w:pPr>
    </w:p>
    <w:p w14:paraId="470303E3" w14:textId="7885CD89" w:rsidR="009D0F41" w:rsidRDefault="00A51897">
      <w:pPr>
        <w:widowControl/>
        <w:pBdr>
          <w:top w:val="nil"/>
          <w:left w:val="nil"/>
          <w:bottom w:val="nil"/>
          <w:right w:val="nil"/>
          <w:between w:val="nil"/>
        </w:pBdr>
        <w:jc w:val="both"/>
        <w:rPr>
          <w:rFonts w:ascii="Calibri" w:eastAsia="Calibri" w:hAnsi="Calibri" w:cs="Calibri"/>
          <w:sz w:val="20"/>
          <w:szCs w:val="20"/>
        </w:rPr>
      </w:pPr>
      <w:r>
        <w:rPr>
          <w:rFonts w:ascii="Calibri" w:eastAsia="Calibri" w:hAnsi="Calibri" w:cs="Calibri"/>
          <w:sz w:val="20"/>
          <w:szCs w:val="20"/>
        </w:rPr>
        <w:tab/>
      </w:r>
    </w:p>
    <w:p w14:paraId="59B8E664" w14:textId="77777777" w:rsidR="009D0F41" w:rsidRDefault="009D0F41">
      <w:pPr>
        <w:widowControl/>
        <w:pBdr>
          <w:top w:val="nil"/>
          <w:left w:val="nil"/>
          <w:bottom w:val="nil"/>
          <w:right w:val="nil"/>
          <w:between w:val="nil"/>
        </w:pBdr>
        <w:jc w:val="both"/>
        <w:rPr>
          <w:rFonts w:ascii="Calibri" w:eastAsia="Calibri" w:hAnsi="Calibri" w:cs="Calibri"/>
          <w:sz w:val="20"/>
          <w:szCs w:val="20"/>
          <w:highlight w:val="yell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821" w14:textId="77777777" w:rsidR="009D0F41" w:rsidRDefault="00000000">
    <w:pPr>
      <w:pBdr>
        <w:top w:val="nil"/>
        <w:left w:val="nil"/>
        <w:bottom w:val="nil"/>
        <w:right w:val="nil"/>
        <w:between w:val="nil"/>
      </w:pBdr>
      <w:tabs>
        <w:tab w:val="center" w:pos="4252"/>
        <w:tab w:val="right" w:pos="8504"/>
      </w:tabs>
      <w:jc w:val="right"/>
      <w:rPr>
        <w:color w:val="000000"/>
      </w:rPr>
    </w:pPr>
    <w:r>
      <w:rPr>
        <w:rFonts w:ascii="Calibri" w:eastAsia="Calibri" w:hAnsi="Calibri" w:cs="Calibri"/>
        <w:noProof/>
        <w:color w:val="000000"/>
        <w:sz w:val="24"/>
        <w:szCs w:val="24"/>
      </w:rPr>
      <mc:AlternateContent>
        <mc:Choice Requires="wpg">
          <w:drawing>
            <wp:anchor distT="0" distB="0" distL="0" distR="0" simplePos="0" relativeHeight="251658240" behindDoc="1" locked="0" layoutInCell="1" hidden="0" allowOverlap="1" wp14:anchorId="09658B1A" wp14:editId="17962244">
              <wp:simplePos x="0" y="0"/>
              <wp:positionH relativeFrom="page">
                <wp:posOffset>6109337</wp:posOffset>
              </wp:positionH>
              <wp:positionV relativeFrom="page">
                <wp:align>top</wp:align>
              </wp:positionV>
              <wp:extent cx="1468755" cy="938530"/>
              <wp:effectExtent l="0" t="0" r="0" b="0"/>
              <wp:wrapNone/>
              <wp:docPr id="38" name="Forma Livre: Forma 38"/>
              <wp:cNvGraphicFramePr/>
              <a:graphic xmlns:a="http://schemas.openxmlformats.org/drawingml/2006/main">
                <a:graphicData uri="http://schemas.microsoft.com/office/word/2010/wordprocessingShape">
                  <wps:wsp>
                    <wps:cNvSpPr/>
                    <wps:spPr>
                      <a:xfrm>
                        <a:off x="4630673" y="3329785"/>
                        <a:ext cx="1430655" cy="900430"/>
                      </a:xfrm>
                      <a:custGeom>
                        <a:avLst/>
                        <a:gdLst/>
                        <a:ahLst/>
                        <a:cxnLst/>
                        <a:rect l="l" t="t" r="r" b="b"/>
                        <a:pathLst>
                          <a:path w="2253" h="1418" extrusionOk="0">
                            <a:moveTo>
                              <a:pt x="2252" y="0"/>
                            </a:moveTo>
                            <a:lnTo>
                              <a:pt x="0" y="0"/>
                            </a:lnTo>
                            <a:lnTo>
                              <a:pt x="818" y="1417"/>
                            </a:lnTo>
                            <a:lnTo>
                              <a:pt x="2252" y="1417"/>
                            </a:lnTo>
                            <a:lnTo>
                              <a:pt x="2252" y="0"/>
                            </a:lnTo>
                            <a:close/>
                          </a:path>
                        </a:pathLst>
                      </a:custGeom>
                      <a:solidFill>
                        <a:srgbClr val="F9131E"/>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6109337</wp:posOffset>
              </wp:positionH>
              <wp:positionV relativeFrom="page">
                <wp:align>top</wp:align>
              </wp:positionV>
              <wp:extent cx="1468755" cy="938530"/>
              <wp:effectExtent b="0" l="0" r="0" t="0"/>
              <wp:wrapNone/>
              <wp:docPr id="3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468755" cy="938530"/>
                      </a:xfrm>
                      <a:prstGeom prst="rect"/>
                      <a:ln/>
                    </pic:spPr>
                  </pic:pic>
                </a:graphicData>
              </a:graphic>
            </wp:anchor>
          </w:drawing>
        </mc:Fallback>
      </mc:AlternateConten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9C5841">
      <w:rPr>
        <w:rFonts w:ascii="Calibri" w:eastAsia="Calibri" w:hAnsi="Calibri" w:cs="Calibri"/>
        <w:noProof/>
        <w:color w:val="000000"/>
      </w:rPr>
      <w:t>1</w:t>
    </w:r>
    <w:r>
      <w:rPr>
        <w:rFonts w:ascii="Calibri" w:eastAsia="Calibri" w:hAnsi="Calibri" w:cs="Calibri"/>
        <w:color w:val="000000"/>
      </w:rPr>
      <w:fldChar w:fldCharType="end"/>
    </w:r>
  </w:p>
  <w:p w14:paraId="524A918B" w14:textId="77777777" w:rsidR="009D0F41" w:rsidRDefault="009D0F4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E3053"/>
    <w:multiLevelType w:val="multilevel"/>
    <w:tmpl w:val="53C2CEB8"/>
    <w:lvl w:ilvl="0">
      <w:start w:val="5"/>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5C54513D"/>
    <w:multiLevelType w:val="multilevel"/>
    <w:tmpl w:val="EA50BCE2"/>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387805224">
    <w:abstractNumId w:val="1"/>
  </w:num>
  <w:num w:numId="2" w16cid:durableId="6464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41"/>
    <w:rsid w:val="00183FE5"/>
    <w:rsid w:val="00387DDC"/>
    <w:rsid w:val="004320D0"/>
    <w:rsid w:val="005660D2"/>
    <w:rsid w:val="006510AB"/>
    <w:rsid w:val="007F4CB7"/>
    <w:rsid w:val="00806D21"/>
    <w:rsid w:val="00867F6F"/>
    <w:rsid w:val="008D1D2C"/>
    <w:rsid w:val="009C5841"/>
    <w:rsid w:val="009D0F41"/>
    <w:rsid w:val="00A027DE"/>
    <w:rsid w:val="00A51897"/>
    <w:rsid w:val="00AA228D"/>
    <w:rsid w:val="00B77B5C"/>
    <w:rsid w:val="00C12223"/>
    <w:rsid w:val="00C610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8AF3"/>
  <w15:docId w15:val="{E60FA300-8BC0-4834-86CC-72B90504D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chivo SemiBold" w:eastAsia="Archivo SemiBold" w:hAnsi="Archivo SemiBold" w:cs="Archivo SemiBold"/>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jc w:val="both"/>
      <w:outlineLvl w:val="0"/>
    </w:pPr>
    <w:rPr>
      <w:rFonts w:ascii="Calibri" w:eastAsia="Calibri" w:hAnsi="Calibri" w:cs="Calibri"/>
      <w:b/>
      <w:bCs/>
      <w:smallCaps/>
      <w:sz w:val="24"/>
      <w:szCs w:val="24"/>
    </w:rPr>
  </w:style>
  <w:style w:type="paragraph" w:styleId="Ttulo2">
    <w:name w:val="heading 2"/>
    <w:basedOn w:val="Normal"/>
    <w:next w:val="Normal"/>
    <w:uiPriority w:val="9"/>
    <w:unhideWhenUsed/>
    <w:qFormat/>
    <w:pPr>
      <w:keepNext/>
      <w:keepLines/>
      <w:widowControl/>
      <w:outlineLvl w:val="1"/>
    </w:pPr>
    <w:rPr>
      <w:rFonts w:ascii="Calibri" w:eastAsia="Calibri" w:hAnsi="Calibri" w:cs="Calibri"/>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widowControl/>
    </w:pPr>
    <w:tblPr>
      <w:tblStyleRowBandSize w:val="1"/>
      <w:tblStyleColBandSize w:val="1"/>
      <w:tblCellMar>
        <w:top w:w="0" w:type="dxa"/>
        <w:left w:w="108" w:type="dxa"/>
        <w:bottom w:w="0" w:type="dxa"/>
        <w:right w:w="108" w:type="dxa"/>
      </w:tblCellMar>
    </w:tblPr>
  </w:style>
  <w:style w:type="table" w:customStyle="1" w:styleId="a0">
    <w:basedOn w:val="TableNormal2"/>
    <w:pPr>
      <w:widowControl/>
    </w:pPr>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character" w:styleId="Refdecomentrio">
    <w:name w:val="annotation reference"/>
    <w:basedOn w:val="Fontepargpadro"/>
    <w:uiPriority w:val="99"/>
    <w:semiHidden/>
    <w:unhideWhenUsed/>
    <w:rsid w:val="000812CE"/>
    <w:rPr>
      <w:sz w:val="16"/>
      <w:szCs w:val="16"/>
    </w:rPr>
  </w:style>
  <w:style w:type="paragraph" w:styleId="Textodecomentrio">
    <w:name w:val="annotation text"/>
    <w:basedOn w:val="Normal"/>
    <w:link w:val="TextodecomentrioChar"/>
    <w:uiPriority w:val="99"/>
    <w:unhideWhenUsed/>
    <w:rsid w:val="000812CE"/>
    <w:rPr>
      <w:sz w:val="20"/>
      <w:szCs w:val="20"/>
    </w:rPr>
  </w:style>
  <w:style w:type="character" w:customStyle="1" w:styleId="TextodecomentrioChar">
    <w:name w:val="Texto de comentário Char"/>
    <w:basedOn w:val="Fontepargpadro"/>
    <w:link w:val="Textodecomentrio"/>
    <w:uiPriority w:val="99"/>
    <w:rsid w:val="000812CE"/>
    <w:rPr>
      <w:sz w:val="20"/>
      <w:szCs w:val="20"/>
    </w:rPr>
  </w:style>
  <w:style w:type="paragraph" w:styleId="Assuntodocomentrio">
    <w:name w:val="annotation subject"/>
    <w:basedOn w:val="Textodecomentrio"/>
    <w:next w:val="Textodecomentrio"/>
    <w:link w:val="AssuntodocomentrioChar"/>
    <w:uiPriority w:val="99"/>
    <w:semiHidden/>
    <w:unhideWhenUsed/>
    <w:rsid w:val="000812CE"/>
    <w:rPr>
      <w:b/>
      <w:bCs/>
    </w:rPr>
  </w:style>
  <w:style w:type="character" w:customStyle="1" w:styleId="AssuntodocomentrioChar">
    <w:name w:val="Assunto do comentário Char"/>
    <w:basedOn w:val="TextodecomentrioChar"/>
    <w:link w:val="Assuntodocomentrio"/>
    <w:uiPriority w:val="99"/>
    <w:semiHidden/>
    <w:rsid w:val="000812CE"/>
    <w:rPr>
      <w:b/>
      <w:bCs/>
      <w:sz w:val="20"/>
      <w:szCs w:val="20"/>
    </w:rPr>
  </w:style>
  <w:style w:type="table" w:customStyle="1" w:styleId="a4">
    <w:basedOn w:val="TableNormal2"/>
    <w:pPr>
      <w:widowControl/>
    </w:pPr>
    <w:tblPr>
      <w:tblStyleRowBandSize w:val="1"/>
      <w:tblStyleColBandSize w:val="1"/>
      <w:tblCellMar>
        <w:top w:w="0" w:type="dxa"/>
        <w:left w:w="108" w:type="dxa"/>
        <w:bottom w:w="0" w:type="dxa"/>
        <w:right w:w="108" w:type="dxa"/>
      </w:tblCellMar>
    </w:tblPr>
  </w:style>
  <w:style w:type="table" w:customStyle="1" w:styleId="a5">
    <w:basedOn w:val="TableNormal2"/>
    <w:pPr>
      <w:widowControl/>
    </w:pPr>
    <w:tblPr>
      <w:tblStyleRowBandSize w:val="1"/>
      <w:tblStyleColBandSize w:val="1"/>
      <w:tblCellMar>
        <w:top w:w="0" w:type="dxa"/>
        <w:left w:w="108" w:type="dxa"/>
        <w:bottom w:w="0" w:type="dxa"/>
        <w:right w:w="108"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CellMar>
        <w:top w:w="15" w:type="dxa"/>
        <w:left w:w="15" w:type="dxa"/>
        <w:bottom w:w="15" w:type="dxa"/>
        <w:right w:w="15" w:type="dxa"/>
      </w:tblCellMar>
    </w:tblPr>
  </w:style>
  <w:style w:type="table" w:customStyle="1" w:styleId="aa">
    <w:basedOn w:val="TableNormal1"/>
    <w:pPr>
      <w:widowControl/>
    </w:pPr>
    <w:tblPr>
      <w:tblStyleRowBandSize w:val="1"/>
      <w:tblStyleColBandSize w:val="1"/>
      <w:tblCellMar>
        <w:top w:w="0" w:type="dxa"/>
        <w:left w:w="108" w:type="dxa"/>
        <w:bottom w:w="0" w:type="dxa"/>
        <w:right w:w="108" w:type="dxa"/>
      </w:tblCellMar>
    </w:tblPr>
  </w:style>
  <w:style w:type="table" w:customStyle="1" w:styleId="ab">
    <w:basedOn w:val="TableNormal1"/>
    <w:pPr>
      <w:widowControl/>
    </w:pPr>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15" w:type="dxa"/>
        <w:left w:w="15" w:type="dxa"/>
        <w:bottom w:w="15" w:type="dxa"/>
        <w:right w:w="15" w:type="dxa"/>
      </w:tblCellMar>
    </w:tblPr>
  </w:style>
  <w:style w:type="character" w:styleId="Hyperlink">
    <w:name w:val="Hyperlink"/>
    <w:basedOn w:val="Fontepargpadro"/>
    <w:uiPriority w:val="99"/>
    <w:unhideWhenUsed/>
    <w:rsid w:val="00A51897"/>
    <w:rPr>
      <w:color w:val="0000FF" w:themeColor="hyperlink"/>
      <w:u w:val="single"/>
    </w:rPr>
  </w:style>
  <w:style w:type="character" w:styleId="MenoPendente">
    <w:name w:val="Unresolved Mention"/>
    <w:basedOn w:val="Fontepargpadro"/>
    <w:uiPriority w:val="99"/>
    <w:semiHidden/>
    <w:unhideWhenUsed/>
    <w:rsid w:val="00A51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br/previdencia/pt-br/assuntos/previdencia-social/Dados-estatisticos-previdencia-social-e-inss/anuarios-da-previdencia-social" TargetMode="External"/><Relationship Id="rId18" Type="http://schemas.openxmlformats.org/officeDocument/2006/relationships/hyperlink" Target="https://repositorio.ipea.gov.br/bitstreams/c06a7e4b-c42a-49bd-b051-cd9e115b5f97/download" TargetMode="External"/><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4.jpg"/><Relationship Id="rId7" Type="http://schemas.openxmlformats.org/officeDocument/2006/relationships/endnotes" Target="endnotes.xml"/><Relationship Id="rId12" Type="http://schemas.openxmlformats.org/officeDocument/2006/relationships/hyperlink" Target="https://www.gov.br/previdencia/pt-br/assuntos/previdencia-social/arquivos/aeps-2024/aeps-2024" TargetMode="External"/><Relationship Id="rId17" Type="http://schemas.openxmlformats.org/officeDocument/2006/relationships/hyperlink" Target="https://repositorio.ipea.gov.br/bitstreams/c06a7e4b-c42a-49bd-b051-cd9e115b5f97/download" TargetMode="External"/><Relationship Id="rId25" Type="http://schemas.openxmlformats.org/officeDocument/2006/relationships/image" Target="media/image8.gif"/><Relationship Id="rId2" Type="http://schemas.openxmlformats.org/officeDocument/2006/relationships/numbering" Target="numbering.xml"/><Relationship Id="rId16" Type="http://schemas.openxmlformats.org/officeDocument/2006/relationships/hyperlink" Target="https://www.gov.br/previdencia/pt-br/assuntos/previdencia-social/informes-de-previdencia-social/2013" TargetMode="External"/><Relationship Id="rId20" Type="http://schemas.openxmlformats.org/officeDocument/2006/relationships/hyperlink" Target="https://www.ibge.gov.br/estatisticas-novoportal/sociais/populacao/9109-projecao-da-populacao.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br/previdencia/pt-br/assuntos/previdencia-social/arquivos/aeps-2024/aeps-2024" TargetMode="External"/><Relationship Id="rId24" Type="http://schemas.openxmlformats.org/officeDocument/2006/relationships/image" Target="media/image7.jpg"/><Relationship Id="rId5" Type="http://schemas.openxmlformats.org/officeDocument/2006/relationships/webSettings" Target="webSettings.xml"/><Relationship Id="rId15" Type="http://schemas.openxmlformats.org/officeDocument/2006/relationships/hyperlink" Target="https://www.gov.br/previdencia/pt-br/assuntos/previdencia-social/informes-de-previdencia-social/2013" TargetMode="External"/><Relationship Id="rId23" Type="http://schemas.openxmlformats.org/officeDocument/2006/relationships/image" Target="media/image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ibge.gov.br/estatisticas-novoportal/sociais/populacao/9109-projecao-da-populacao.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br/previdencia/pt-br/assuntos/previdencia-social/Dados-estatisticos-previdencia-social-e-inss/anuarios-da-previdencia-social" TargetMode="External"/><Relationship Id="rId22" Type="http://schemas.openxmlformats.org/officeDocument/2006/relationships/image" Target="media/image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bCwGSAfFey0zV0OAcdkE5QhiNA==">CgMxLjA4AHIhMVRYeUQ3UXFSZHpvd1IwOUgzX3YwWGxONk5KRGYyeE43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Pages>
  <Words>3389</Words>
  <Characters>18304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Ana_Lucia</dc:creator>
  <cp:lastModifiedBy>ANDERSON PEREIRA HORACIO</cp:lastModifiedBy>
  <cp:revision>7</cp:revision>
  <dcterms:created xsi:type="dcterms:W3CDTF">2026-10-13T16:49:00Z</dcterms:created>
  <dcterms:modified xsi:type="dcterms:W3CDTF">2026-10-15T00:32:00Z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2022-05-23T00:00:00Z</vt:lpwstr>
  </property>
  <property fmtid="{D5CDD505-2E9C-101B-9397-08002B2CF9AE}" pid="3" name="Creator">
    <vt:lpwstr>Adobe Illustrator 26.2 (Macintosh)</vt:lpwstr>
  </property>
  <property fmtid="{D5CDD505-2E9C-101B-9397-08002B2CF9AE}" pid="4" name="LastSaved">
    <vt:lpwstr>2022-05-23T00:00:00Z</vt:lpwstr>
  </property>
</Properties>
</file>