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051560"/>
            <wp:docPr id="1" name="Picture 1"/>
            <wp:cNvGraphicFramePr>
              <a:graphicFrameLocks noChangeAspect="1"/>
            </wp:cNvGraphicFramePr>
            <a:graphic>
              <a:graphicData uri="http://schemas.openxmlformats.org/drawingml/2006/picture">
                <pic:pic>
                  <pic:nvPicPr>
                    <pic:cNvPr id="0" name="tmpirm5iig0.png"/>
                    <pic:cNvPicPr/>
                  </pic:nvPicPr>
                  <pic:blipFill>
                    <a:blip r:embed="rId10"/>
                    <a:stretch>
                      <a:fillRect/>
                    </a:stretch>
                  </pic:blipFill>
                  <pic:spPr>
                    <a:xfrm>
                      <a:off x="0" y="0"/>
                      <a:ext cx="5943600" cy="1051560"/>
                    </a:xfrm>
                    <a:prstGeom prst="rect"/>
                  </pic:spPr>
                </pic:pic>
              </a:graphicData>
            </a:graphic>
          </wp:inline>
        </w:drawing>
      </w:r>
    </w:p>
    <w:p>
      <w:pPr>
        <w:jc w:val="center"/>
      </w:pPr>
      <w:r>
        <w:rPr>
          <w:rFonts w:ascii="Gill Sans MT Bold" w:hAnsi="Gill Sans MT Bold"/>
          <w:color w:val="1F497D"/>
          <w:sz w:val="34"/>
        </w:rPr>
        <w:t>Non-Invasive Prenatal Screening (NIPS)</w:t>
      </w:r>
    </w:p>
    <w:tbl>
      <w:tblPr>
        <w:tblW w:type="auto" w:w="0"/>
        <w:tblLayout w:type="fixed"/>
        <w:tblLook w:firstColumn="1" w:firstRow="1" w:lastColumn="0" w:lastRow="0" w:noHBand="0" w:noVBand="1" w:val="04A0"/>
      </w:tblPr>
      <w:tblGrid>
        <w:gridCol w:w="1872"/>
        <w:gridCol w:w="4104"/>
        <w:gridCol w:w="2160"/>
        <w:gridCol w:w="1224"/>
      </w:tblGrid>
      <w:tr>
        <w:tc>
          <w:tcPr>
            <w:tcW w:type="dxa" w:w="2560"/>
            <w:shd w:val="clear" w:color="auto" w:fill="F1F1F7"/>
          </w:tcPr>
          <w:p>
            <w:r>
              <w:rPr>
                <w:b/>
              </w:rPr>
              <w:t>Patient name</w:t>
            </w:r>
          </w:p>
        </w:tc>
        <w:tc>
          <w:tcPr>
            <w:tcW w:type="dxa" w:w="2560"/>
            <w:shd w:val="clear" w:color="auto" w:fill="F1F1F7"/>
          </w:tcPr>
          <w:p>
            <w:r>
              <w:rPr>
                <w:b/>
              </w:rPr>
              <w:t>: Mrs. Kavitha Sathish (00389994)</w:t>
            </w:r>
          </w:p>
        </w:tc>
        <w:tc>
          <w:tcPr>
            <w:tcW w:type="dxa" w:w="2560"/>
            <w:shd w:val="clear" w:color="auto" w:fill="F1F1F7"/>
          </w:tcPr>
          <w:p>
            <w:r>
              <w:rPr>
                <w:b/>
              </w:rPr>
              <w:t>Specimen</w:t>
            </w:r>
          </w:p>
        </w:tc>
        <w:tc>
          <w:tcPr>
            <w:tcW w:type="dxa" w:w="2560"/>
            <w:shd w:val="clear" w:color="auto" w:fill="F1F1F7"/>
          </w:tcPr>
          <w:p>
            <w:r>
              <w:rPr>
                <w:b/>
              </w:rPr>
              <w:t>: Peripheral Blood</w:t>
            </w:r>
          </w:p>
        </w:tc>
      </w:tr>
      <w:tr>
        <w:tc>
          <w:tcPr>
            <w:tcW w:type="dxa" w:w="2560"/>
            <w:shd w:val="clear" w:color="auto" w:fill="F1F1F7"/>
          </w:tcPr>
          <w:p>
            <w:r>
              <w:rPr>
                <w:b/>
              </w:rPr>
              <w:t>Date of Birth</w:t>
            </w:r>
          </w:p>
        </w:tc>
        <w:tc>
          <w:tcPr>
            <w:tcW w:type="dxa" w:w="2560"/>
            <w:shd w:val="clear" w:color="auto" w:fill="F1F1F7"/>
          </w:tcPr>
          <w:p>
            <w:r>
              <w:rPr>
                <w:b/>
              </w:rPr>
              <w:t>: 01-02-1993</w:t>
            </w:r>
          </w:p>
        </w:tc>
        <w:tc>
          <w:tcPr>
            <w:tcW w:type="dxa" w:w="2560"/>
            <w:shd w:val="clear" w:color="auto" w:fill="F1F1F7"/>
          </w:tcPr>
          <w:p>
            <w:r>
              <w:rPr>
                <w:b/>
              </w:rPr>
              <w:t>PIN</w:t>
            </w:r>
          </w:p>
        </w:tc>
        <w:tc>
          <w:tcPr>
            <w:tcW w:type="dxa" w:w="2560"/>
            <w:shd w:val="clear" w:color="auto" w:fill="F1F1F7"/>
          </w:tcPr>
          <w:p>
            <w:r>
              <w:rPr>
                <w:b/>
              </w:rPr>
              <w:t>: ADB0000037137</w:t>
            </w:r>
          </w:p>
        </w:tc>
      </w:tr>
      <w:tr>
        <w:tc>
          <w:tcPr>
            <w:tcW w:type="dxa" w:w="2560"/>
            <w:shd w:val="clear" w:color="auto" w:fill="F1F1F7"/>
          </w:tcPr>
          <w:p>
            <w:r>
              <w:rPr>
                <w:b/>
              </w:rPr>
              <w:t>Gestational Age</w:t>
            </w:r>
          </w:p>
        </w:tc>
        <w:tc>
          <w:tcPr>
            <w:tcW w:type="dxa" w:w="2560"/>
            <w:shd w:val="clear" w:color="auto" w:fill="F1F1F7"/>
          </w:tcPr>
          <w:p>
            <w:r>
              <w:rPr>
                <w:b/>
              </w:rPr>
              <w:t>: 16 Weeks</w:t>
            </w:r>
          </w:p>
        </w:tc>
        <w:tc>
          <w:tcPr>
            <w:tcW w:type="dxa" w:w="2560"/>
            <w:shd w:val="clear" w:color="auto" w:fill="F1F1F7"/>
          </w:tcPr>
          <w:p>
            <w:r>
              <w:rPr>
                <w:b/>
              </w:rPr>
              <w:t>Sample Number</w:t>
            </w:r>
          </w:p>
        </w:tc>
        <w:tc>
          <w:tcPr>
            <w:tcW w:type="dxa" w:w="2560"/>
            <w:shd w:val="clear" w:color="auto" w:fill="F1F1F7"/>
          </w:tcPr>
          <w:p>
            <w:r>
              <w:rPr>
                <w:b/>
              </w:rPr>
              <w:t>: 260552798</w:t>
            </w:r>
          </w:p>
        </w:tc>
      </w:tr>
      <w:tr>
        <w:tc>
          <w:tcPr>
            <w:tcW w:type="dxa" w:w="2560"/>
            <w:shd w:val="clear" w:color="auto" w:fill="F1F1F7"/>
          </w:tcPr>
          <w:p>
            <w:r>
              <w:rPr>
                <w:b/>
              </w:rPr>
              <w:t>Pregnancy Type; status</w:t>
            </w:r>
          </w:p>
        </w:tc>
        <w:tc>
          <w:tcPr>
            <w:tcW w:type="dxa" w:w="2560"/>
            <w:shd w:val="clear" w:color="auto" w:fill="F1F1F7"/>
          </w:tcPr>
          <w:p>
            <w:r>
              <w:rPr>
                <w:b/>
              </w:rPr>
              <w:t>: Natural Pregnancy; Singleton</w:t>
            </w:r>
          </w:p>
        </w:tc>
        <w:tc>
          <w:tcPr>
            <w:tcW w:type="dxa" w:w="2560"/>
            <w:shd w:val="clear" w:color="auto" w:fill="F1F1F7"/>
          </w:tcPr>
          <w:p>
            <w:r>
              <w:rPr>
                <w:b/>
              </w:rPr>
              <w:t>Sample collection date</w:t>
            </w:r>
          </w:p>
        </w:tc>
        <w:tc>
          <w:tcPr>
            <w:tcW w:type="dxa" w:w="2560"/>
            <w:shd w:val="clear" w:color="auto" w:fill="F1F1F7"/>
          </w:tcPr>
          <w:p>
            <w:r>
              <w:rPr>
                <w:b/>
              </w:rPr>
              <w:t>: 12-05-2026</w:t>
            </w:r>
          </w:p>
        </w:tc>
      </w:tr>
      <w:tr>
        <w:tc>
          <w:tcPr>
            <w:tcW w:type="dxa" w:w="2560"/>
            <w:shd w:val="clear" w:color="auto" w:fill="F1F1F7"/>
          </w:tcPr>
          <w:p>
            <w:r>
              <w:rPr>
                <w:b/>
              </w:rPr>
              <w:t>Referring Clinician</w:t>
            </w:r>
          </w:p>
        </w:tc>
        <w:tc>
          <w:tcPr>
            <w:tcW w:type="dxa" w:w="2560"/>
            <w:shd w:val="clear" w:color="auto" w:fill="F1F1F7"/>
          </w:tcPr>
          <w:p>
            <w:r>
              <w:rPr>
                <w:b/>
              </w:rPr>
              <w:t>: Dr. Ashwini</w:t>
            </w:r>
          </w:p>
        </w:tc>
        <w:tc>
          <w:tcPr>
            <w:tcW w:type="dxa" w:w="2560"/>
            <w:shd w:val="clear" w:color="auto" w:fill="F1F1F7"/>
          </w:tcPr>
          <w:p>
            <w:r>
              <w:rPr>
                <w:b/>
              </w:rPr>
              <w:t>Sample received date</w:t>
            </w:r>
          </w:p>
        </w:tc>
        <w:tc>
          <w:tcPr>
            <w:tcW w:type="dxa" w:w="2560"/>
            <w:shd w:val="clear" w:color="auto" w:fill="F1F1F7"/>
          </w:tcPr>
          <w:p>
            <w:r>
              <w:rPr>
                <w:b/>
              </w:rPr>
              <w:t>: 13-05-2026</w:t>
            </w:r>
          </w:p>
        </w:tc>
      </w:tr>
      <w:tr>
        <w:tc>
          <w:tcPr>
            <w:tcW w:type="dxa" w:w="2560"/>
            <w:shd w:val="clear" w:color="auto" w:fill="F1F1F7"/>
          </w:tcPr>
          <w:p>
            <w:r>
              <w:rPr>
                <w:b/>
              </w:rPr>
              <w:t>Hospital/Clinic</w:t>
            </w:r>
          </w:p>
        </w:tc>
        <w:tc>
          <w:tcPr>
            <w:tcW w:type="dxa" w:w="2560"/>
            <w:shd w:val="clear" w:color="auto" w:fill="F1F1F7"/>
          </w:tcPr>
          <w:p>
            <w:r>
              <w:rPr>
                <w:b/>
              </w:rPr>
              <w:t>: Tma Pai Hospital - Udupi</w:t>
            </w:r>
          </w:p>
        </w:tc>
        <w:tc>
          <w:tcPr>
            <w:tcW w:type="dxa" w:w="2560"/>
            <w:shd w:val="clear" w:color="auto" w:fill="F1F1F7"/>
          </w:tcPr>
          <w:p>
            <w:r>
              <w:rPr>
                <w:b/>
              </w:rPr>
              <w:t>Report date</w:t>
            </w:r>
          </w:p>
        </w:tc>
        <w:tc>
          <w:tcPr>
            <w:tcW w:type="dxa" w:w="2560"/>
            <w:shd w:val="clear" w:color="auto" w:fill="F1F1F7"/>
          </w:tcPr>
          <w:p>
            <w:r>
              <w:rPr>
                <w:b/>
              </w:rPr>
              <w:t>: 02-06-2026</w:t>
            </w:r>
          </w:p>
        </w:tc>
      </w:tr>
    </w:tbl>
    <w:p>
      <w:pPr>
        <w:jc w:val="center"/>
        <w:shd w:val="clear" w:fill="F2F2F2"/>
      </w:pPr>
      <w:r>
        <w:rPr>
          <w:b/>
          <w:i/>
        </w:rPr>
        <w:t>This test does not reveal sex of the fetus &amp; confers to PNDT act, 1994</w:t>
      </w:r>
    </w:p>
    <w:p>
      <w:pPr>
        <w:pBdr>
          <w:bottom w:val="single" w:sz="8" w:space="128" w:color="1F497D"/>
        </w:pBdr>
      </w:pPr>
      <w:r>
        <w:rPr>
          <w:rFonts w:ascii="Gill Sans MT Bold" w:hAnsi="Gill Sans MT Bold"/>
          <w:color w:val="1F497D"/>
          <w:sz w:val="30"/>
        </w:rPr>
        <w:t>Test Indication</w:t>
      </w:r>
    </w:p>
    <w:p>
      <w:r>
        <w:t>Maternal serum marker risk</w:t>
      </w:r>
    </w:p>
    <w:p>
      <w:pPr>
        <w:pBdr>
          <w:bottom w:val="single" w:sz="8" w:space="128" w:color="1F497D"/>
        </w:pBdr>
      </w:pPr>
      <w:r>
        <w:rPr>
          <w:rFonts w:ascii="Gill Sans MT Bold" w:hAnsi="Gill Sans MT Bold"/>
          <w:color w:val="1F497D"/>
          <w:sz w:val="30"/>
        </w:rPr>
        <w:t>Test Performed</w:t>
      </w:r>
    </w:p>
    <w:p>
      <w:r>
        <w:t>NIPS for 23 pairs of chromosomes (including sex chromosomal aneuploidies)</w:t>
      </w:r>
    </w:p>
    <w:p>
      <w:pPr>
        <w:pBdr>
          <w:bottom w:val="single" w:sz="8" w:space="128" w:color="1F497D"/>
        </w:pBdr>
      </w:pPr>
      <w:r>
        <w:rPr>
          <w:rFonts w:ascii="Gill Sans MT Bold" w:hAnsi="Gill Sans MT Bold"/>
          <w:color w:val="1F497D"/>
          <w:sz w:val="30"/>
        </w:rPr>
        <w:t>Result Summary</w:t>
      </w:r>
    </w:p>
    <w:tbl>
      <w:tblPr>
        <w:tblW w:type="auto" w:w="0"/>
        <w:tblLayout w:type="fixed"/>
        <w:tblLook w:firstColumn="1" w:firstRow="1" w:lastColumn="0" w:lastRow="0" w:noHBand="0" w:noVBand="1" w:val="04A0"/>
      </w:tblPr>
      <w:tblGrid>
        <w:gridCol w:w="4680"/>
        <w:gridCol w:w="4680"/>
      </w:tblGrid>
      <w:tr>
        <w:trPr>
          <w:trHeight w:val="576"/>
        </w:trPr>
        <w:tc>
          <w:tcPr>
            <w:tcW w:type="dxa" w:w="5120"/>
            <w:shd w:val="clear" w:color="auto" w:fill="F1F1F7"/>
          </w:tcPr>
          <w:p>
            <w:pPr>
              <w:jc w:val="center"/>
            </w:pPr>
            <w:r>
              <w:rPr>
                <w:b/>
              </w:rPr>
              <w:t xml:space="preserve">Screen result: </w:t>
            </w:r>
            <w:r>
              <w:rPr>
                <w:b/>
                <w:color w:val="15803D"/>
              </w:rPr>
              <w:t>Low risk</w:t>
            </w:r>
          </w:p>
        </w:tc>
        <w:tc>
          <w:tcPr>
            <w:tcW w:type="dxa" w:w="5120"/>
            <w:shd w:val="clear" w:color="auto" w:fill="F1F1F7"/>
          </w:tcPr>
          <w:p>
            <w:pPr>
              <w:jc w:val="center"/>
            </w:pPr>
            <w:r>
              <w:rPr>
                <w:b/>
              </w:rPr>
              <w:t>Fetal fraction: 12.87%</w:t>
            </w:r>
          </w:p>
        </w:tc>
      </w:tr>
    </w:tbl>
    <w:tbl>
      <w:tblPr>
        <w:tblStyle w:val="TableGrid"/>
        <w:tblW w:type="auto" w:w="0"/>
        <w:tblLook w:firstColumn="1" w:firstRow="1" w:lastColumn="0" w:lastRow="0" w:noHBand="0" w:noVBand="1" w:val="04A0"/>
      </w:tblPr>
      <w:tblGrid>
        <w:gridCol w:w="5120"/>
        <w:gridCol w:w="5120"/>
      </w:tblGrid>
      <w:tr>
        <w:tc>
          <w:tcPr>
            <w:tcW w:type="dxa" w:w="5120"/>
            <w:shd w:val="clear" w:color="auto" w:fill="F9BE8F"/>
          </w:tcPr>
          <w:p>
            <w:pPr>
              <w:jc w:val="center"/>
            </w:pPr>
            <w:r>
              <w:rPr>
                <w:b/>
              </w:rPr>
              <w:t>Aneuploidies</w:t>
            </w:r>
          </w:p>
        </w:tc>
        <w:tc>
          <w:tcPr>
            <w:tcW w:type="dxa" w:w="5120"/>
            <w:shd w:val="clear" w:color="auto" w:fill="F9BE8F"/>
          </w:tcPr>
          <w:p>
            <w:pPr>
              <w:jc w:val="center"/>
            </w:pPr>
            <w:r>
              <w:rPr>
                <w:b/>
              </w:rPr>
              <w:t>Results</w:t>
            </w:r>
          </w:p>
        </w:tc>
      </w:tr>
      <w:tr>
        <w:trPr>
          <w:trHeight w:val="432"/>
        </w:trPr>
        <w:tc>
          <w:tcPr>
            <w:tcW w:type="dxa" w:w="5120"/>
            <w:vAlign w:val="center"/>
            <w:shd w:val="clear" w:color="auto" w:fill="F2F2F2"/>
          </w:tcPr>
          <w:p>
            <w:pPr>
              <w:jc w:val="center"/>
            </w:pPr>
            <w:r>
              <w:t>Chromosome 21</w:t>
            </w:r>
          </w:p>
        </w:tc>
        <w:tc>
          <w:tcPr>
            <w:tcW w:type="dxa" w:w="5120"/>
            <w:vAlign w:val="center"/>
            <w:shd w:val="clear" w:color="auto" w:fill="F2F2F2"/>
          </w:tcPr>
          <w:p>
            <w:pPr>
              <w:jc w:val="center"/>
            </w:pPr>
            <w:r>
              <w:rPr>
                <w:b/>
                <w:color w:val="15803D"/>
              </w:rPr>
              <w:t>Low risk</w:t>
            </w:r>
          </w:p>
        </w:tc>
      </w:tr>
      <w:tr>
        <w:trPr>
          <w:trHeight w:val="432"/>
        </w:trPr>
        <w:tc>
          <w:tcPr>
            <w:tcW w:type="dxa" w:w="5120"/>
            <w:vAlign w:val="center"/>
            <w:shd w:val="clear" w:color="auto" w:fill="F2F2F2"/>
          </w:tcPr>
          <w:p>
            <w:pPr>
              <w:jc w:val="center"/>
            </w:pPr>
            <w:r>
              <w:t>Chromosome 18</w:t>
            </w:r>
          </w:p>
        </w:tc>
        <w:tc>
          <w:tcPr>
            <w:tcW w:type="dxa" w:w="5120"/>
            <w:vAlign w:val="center"/>
            <w:shd w:val="clear" w:color="auto" w:fill="F2F2F2"/>
          </w:tcPr>
          <w:p>
            <w:pPr>
              <w:jc w:val="center"/>
            </w:pPr>
            <w:r>
              <w:rPr>
                <w:b/>
                <w:color w:val="15803D"/>
              </w:rPr>
              <w:t>Low risk</w:t>
            </w:r>
          </w:p>
        </w:tc>
      </w:tr>
      <w:tr>
        <w:trPr>
          <w:trHeight w:val="432"/>
        </w:trPr>
        <w:tc>
          <w:tcPr>
            <w:tcW w:type="dxa" w:w="5120"/>
            <w:vAlign w:val="center"/>
            <w:shd w:val="clear" w:color="auto" w:fill="F2F2F2"/>
          </w:tcPr>
          <w:p>
            <w:pPr>
              <w:jc w:val="center"/>
            </w:pPr>
            <w:r>
              <w:t>Chromosome 13</w:t>
            </w:r>
          </w:p>
        </w:tc>
        <w:tc>
          <w:tcPr>
            <w:tcW w:type="dxa" w:w="5120"/>
            <w:vAlign w:val="center"/>
            <w:shd w:val="clear" w:color="auto" w:fill="F2F2F2"/>
          </w:tcPr>
          <w:p>
            <w:pPr>
              <w:jc w:val="center"/>
            </w:pPr>
            <w:r>
              <w:rPr>
                <w:b/>
                <w:color w:val="15803D"/>
              </w:rPr>
              <w:t>Low risk</w:t>
            </w:r>
          </w:p>
        </w:tc>
      </w:tr>
      <w:tr>
        <w:trPr>
          <w:trHeight w:val="432"/>
        </w:trPr>
        <w:tc>
          <w:tcPr>
            <w:tcW w:type="dxa" w:w="5120"/>
            <w:vAlign w:val="center"/>
            <w:shd w:val="clear" w:color="auto" w:fill="F2F2F2"/>
          </w:tcPr>
          <w:p>
            <w:pPr>
              <w:jc w:val="center"/>
            </w:pPr>
            <w:r>
              <w:t>Sex Chromosomes*</w:t>
            </w:r>
          </w:p>
        </w:tc>
        <w:tc>
          <w:tcPr>
            <w:tcW w:type="dxa" w:w="5120"/>
            <w:vAlign w:val="center"/>
            <w:shd w:val="clear" w:color="auto" w:fill="F2F2F2"/>
          </w:tcPr>
          <w:p>
            <w:pPr>
              <w:jc w:val="center"/>
            </w:pPr>
            <w:r>
              <w:rPr>
                <w:b/>
                <w:color w:val="15803D"/>
              </w:rPr>
              <w:t>Low risk</w:t>
            </w:r>
          </w:p>
        </w:tc>
      </w:tr>
      <w:tr>
        <w:trPr>
          <w:trHeight w:val="432"/>
        </w:trPr>
        <w:tc>
          <w:tcPr>
            <w:tcW w:type="dxa" w:w="5120"/>
            <w:vAlign w:val="center"/>
            <w:shd w:val="clear" w:color="auto" w:fill="F2F2F2"/>
          </w:tcPr>
          <w:p>
            <w:pPr>
              <w:jc w:val="center"/>
            </w:pPr>
            <w:r>
              <w:t>Other Autosomes</w:t>
            </w:r>
          </w:p>
        </w:tc>
        <w:tc>
          <w:tcPr>
            <w:tcW w:type="dxa" w:w="5120"/>
            <w:vAlign w:val="center"/>
            <w:shd w:val="clear" w:color="auto" w:fill="F2F2F2"/>
          </w:tcPr>
          <w:p>
            <w:pPr>
              <w:jc w:val="center"/>
            </w:pPr>
            <w:r>
              <w:rPr>
                <w:b/>
                <w:color w:val="15803D"/>
              </w:rPr>
              <w:t>Low risk</w:t>
            </w:r>
          </w:p>
        </w:tc>
      </w:tr>
    </w:tbl>
    <w:p>
      <w:r>
        <w:br w:type="page"/>
      </w:r>
    </w:p>
    <w:p>
      <w:pPr>
        <w:jc w:val="center"/>
      </w:pPr>
      <w:r>
        <w:drawing>
          <wp:inline xmlns:a="http://schemas.openxmlformats.org/drawingml/2006/main" xmlns:pic="http://schemas.openxmlformats.org/drawingml/2006/picture">
            <wp:extent cx="5943600" cy="1051560"/>
            <wp:docPr id="2" name="Picture 2"/>
            <wp:cNvGraphicFramePr>
              <a:graphicFrameLocks noChangeAspect="1"/>
            </wp:cNvGraphicFramePr>
            <a:graphic>
              <a:graphicData uri="http://schemas.openxmlformats.org/drawingml/2006/picture">
                <pic:pic>
                  <pic:nvPicPr>
                    <pic:cNvPr id="0" name="tmpirm5iig0.png"/>
                    <pic:cNvPicPr/>
                  </pic:nvPicPr>
                  <pic:blipFill>
                    <a:blip r:embed="rId10"/>
                    <a:stretch>
                      <a:fillRect/>
                    </a:stretch>
                  </pic:blipFill>
                  <pic:spPr>
                    <a:xfrm>
                      <a:off x="0" y="0"/>
                      <a:ext cx="5943600" cy="1051560"/>
                    </a:xfrm>
                    <a:prstGeom prst="rect"/>
                  </pic:spPr>
                </pic:pic>
              </a:graphicData>
            </a:graphic>
          </wp:inline>
        </w:drawing>
      </w:r>
    </w:p>
    <w:p/>
    <w:tbl>
      <w:tblPr>
        <w:tblStyle w:val="TableGrid"/>
        <w:tblW w:type="auto" w:w="0"/>
        <w:tblLook w:firstColumn="1" w:firstRow="1" w:lastColumn="0" w:lastRow="0" w:noHBand="0" w:noVBand="1" w:val="04A0"/>
      </w:tblPr>
      <w:tblGrid>
        <w:gridCol w:w="2560"/>
        <w:gridCol w:w="2560"/>
        <w:gridCol w:w="2560"/>
        <w:gridCol w:w="2560"/>
      </w:tblGrid>
      <w:tr>
        <w:tc>
          <w:tcPr>
            <w:tcW w:type="dxa" w:w="2560"/>
            <w:shd w:val="clear" w:color="auto" w:fill="F9BE8F"/>
          </w:tcPr>
          <w:p>
            <w:pPr>
              <w:jc w:val="center"/>
            </w:pPr>
            <w:r>
              <w:rPr>
                <w:b/>
                <w:color w:val="1F497D"/>
              </w:rPr>
              <w:t>Chromosome tested</w:t>
            </w:r>
          </w:p>
        </w:tc>
        <w:tc>
          <w:tcPr>
            <w:tcW w:type="dxa" w:w="2560"/>
            <w:shd w:val="clear" w:color="auto" w:fill="F9BE8F"/>
          </w:tcPr>
          <w:p>
            <w:pPr>
              <w:jc w:val="center"/>
            </w:pPr>
            <w:r>
              <w:rPr>
                <w:b/>
                <w:color w:val="1F497D"/>
              </w:rPr>
              <w:t>Z Score</w:t>
            </w:r>
          </w:p>
        </w:tc>
        <w:tc>
          <w:tcPr>
            <w:tcW w:type="dxa" w:w="2560"/>
            <w:shd w:val="clear" w:color="auto" w:fill="F9BE8F"/>
          </w:tcPr>
          <w:p>
            <w:pPr>
              <w:jc w:val="center"/>
            </w:pPr>
            <w:r>
              <w:rPr>
                <w:b/>
                <w:color w:val="1F497D"/>
              </w:rPr>
              <w:t>Test result</w:t>
            </w:r>
          </w:p>
        </w:tc>
        <w:tc>
          <w:tcPr>
            <w:tcW w:type="dxa" w:w="2560"/>
            <w:shd w:val="clear" w:color="auto" w:fill="F9BE8F"/>
          </w:tcPr>
          <w:p>
            <w:pPr>
              <w:jc w:val="center"/>
            </w:pPr>
            <w:r>
              <w:rPr>
                <w:b/>
                <w:color w:val="1F497D"/>
              </w:rPr>
              <w:t>Reference interval</w:t>
            </w:r>
          </w:p>
        </w:tc>
      </w:tr>
      <w:tr>
        <w:tc>
          <w:tcPr>
            <w:tcW w:type="dxa" w:w="2560"/>
            <w:shd w:val="clear" w:color="auto" w:fill="F2F2F2"/>
            <w:vAlign w:val="center"/>
          </w:tcPr>
          <w:p>
            <w:pPr>
              <w:jc w:val="left"/>
            </w:pPr>
            <w:r>
              <w:t xml:space="preserve">  Chromosome 1</w:t>
            </w:r>
          </w:p>
        </w:tc>
        <w:tc>
          <w:tcPr>
            <w:tcW w:type="dxa" w:w="2560"/>
            <w:shd w:val="clear" w:color="auto" w:fill="F2F2F2"/>
            <w:vAlign w:val="center"/>
          </w:tcPr>
          <w:p>
            <w:pPr>
              <w:jc w:val="center"/>
            </w:pPr>
            <w:r>
              <w:t>-1.06</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2</w:t>
            </w:r>
          </w:p>
        </w:tc>
        <w:tc>
          <w:tcPr>
            <w:tcW w:type="dxa" w:w="2560"/>
            <w:shd w:val="clear" w:color="auto" w:fill="F2F2F2"/>
            <w:vAlign w:val="center"/>
          </w:tcPr>
          <w:p>
            <w:pPr>
              <w:jc w:val="center"/>
            </w:pPr>
            <w:r>
              <w:t>-2.06</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3</w:t>
            </w:r>
          </w:p>
        </w:tc>
        <w:tc>
          <w:tcPr>
            <w:tcW w:type="dxa" w:w="2560"/>
            <w:shd w:val="clear" w:color="auto" w:fill="F2F2F2"/>
            <w:vAlign w:val="center"/>
          </w:tcPr>
          <w:p>
            <w:pPr>
              <w:jc w:val="center"/>
            </w:pPr>
            <w:r>
              <w:t>0.45</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4</w:t>
            </w:r>
          </w:p>
        </w:tc>
        <w:tc>
          <w:tcPr>
            <w:tcW w:type="dxa" w:w="2560"/>
            <w:shd w:val="clear" w:color="auto" w:fill="F2F2F2"/>
            <w:vAlign w:val="center"/>
          </w:tcPr>
          <w:p>
            <w:pPr>
              <w:jc w:val="center"/>
            </w:pPr>
            <w:r>
              <w:t>-1.67</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5</w:t>
            </w:r>
          </w:p>
        </w:tc>
        <w:tc>
          <w:tcPr>
            <w:tcW w:type="dxa" w:w="2560"/>
            <w:shd w:val="clear" w:color="auto" w:fill="F2F2F2"/>
            <w:vAlign w:val="center"/>
          </w:tcPr>
          <w:p>
            <w:pPr>
              <w:jc w:val="center"/>
            </w:pPr>
            <w:r>
              <w:t>-1.36</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6</w:t>
            </w:r>
          </w:p>
        </w:tc>
        <w:tc>
          <w:tcPr>
            <w:tcW w:type="dxa" w:w="2560"/>
            <w:shd w:val="clear" w:color="auto" w:fill="F2F2F2"/>
            <w:vAlign w:val="center"/>
          </w:tcPr>
          <w:p>
            <w:pPr>
              <w:jc w:val="center"/>
            </w:pPr>
            <w:r>
              <w:t>1.44</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7</w:t>
            </w:r>
          </w:p>
        </w:tc>
        <w:tc>
          <w:tcPr>
            <w:tcW w:type="dxa" w:w="2560"/>
            <w:shd w:val="clear" w:color="auto" w:fill="F2F2F2"/>
            <w:vAlign w:val="center"/>
          </w:tcPr>
          <w:p>
            <w:pPr>
              <w:jc w:val="center"/>
            </w:pPr>
            <w:r>
              <w:t>-2.69</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8</w:t>
            </w:r>
          </w:p>
        </w:tc>
        <w:tc>
          <w:tcPr>
            <w:tcW w:type="dxa" w:w="2560"/>
            <w:shd w:val="clear" w:color="auto" w:fill="F2F2F2"/>
            <w:vAlign w:val="center"/>
          </w:tcPr>
          <w:p>
            <w:pPr>
              <w:jc w:val="center"/>
            </w:pPr>
            <w:r>
              <w:t>0.53</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9</w:t>
            </w:r>
          </w:p>
        </w:tc>
        <w:tc>
          <w:tcPr>
            <w:tcW w:type="dxa" w:w="2560"/>
            <w:shd w:val="clear" w:color="auto" w:fill="F2F2F2"/>
            <w:vAlign w:val="center"/>
          </w:tcPr>
          <w:p>
            <w:pPr>
              <w:jc w:val="center"/>
            </w:pPr>
            <w:r>
              <w:t>1.46</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10</w:t>
            </w:r>
          </w:p>
        </w:tc>
        <w:tc>
          <w:tcPr>
            <w:tcW w:type="dxa" w:w="2560"/>
            <w:shd w:val="clear" w:color="auto" w:fill="F2F2F2"/>
            <w:vAlign w:val="center"/>
          </w:tcPr>
          <w:p>
            <w:pPr>
              <w:jc w:val="center"/>
            </w:pPr>
            <w:r>
              <w:t>-0.60</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11</w:t>
            </w:r>
          </w:p>
        </w:tc>
        <w:tc>
          <w:tcPr>
            <w:tcW w:type="dxa" w:w="2560"/>
            <w:shd w:val="clear" w:color="auto" w:fill="F2F2F2"/>
            <w:vAlign w:val="center"/>
          </w:tcPr>
          <w:p>
            <w:pPr>
              <w:jc w:val="center"/>
            </w:pPr>
            <w:r>
              <w:t>1.37</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12</w:t>
            </w:r>
          </w:p>
        </w:tc>
        <w:tc>
          <w:tcPr>
            <w:tcW w:type="dxa" w:w="2560"/>
            <w:shd w:val="clear" w:color="auto" w:fill="F2F2F2"/>
            <w:vAlign w:val="center"/>
          </w:tcPr>
          <w:p>
            <w:pPr>
              <w:jc w:val="center"/>
            </w:pPr>
            <w:r>
              <w:t>-0.83</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13</w:t>
            </w:r>
          </w:p>
        </w:tc>
        <w:tc>
          <w:tcPr>
            <w:tcW w:type="dxa" w:w="2560"/>
            <w:shd w:val="clear" w:color="auto" w:fill="F2F2F2"/>
            <w:vAlign w:val="center"/>
          </w:tcPr>
          <w:p>
            <w:pPr>
              <w:jc w:val="center"/>
            </w:pPr>
            <w:r>
              <w:t>0.04</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score&lt;2.8</w:t>
            </w:r>
          </w:p>
        </w:tc>
      </w:tr>
      <w:tr>
        <w:tc>
          <w:tcPr>
            <w:tcW w:type="dxa" w:w="2560"/>
            <w:shd w:val="clear" w:color="auto" w:fill="F2F2F2"/>
            <w:vAlign w:val="center"/>
          </w:tcPr>
          <w:p>
            <w:pPr>
              <w:jc w:val="left"/>
            </w:pPr>
            <w:r>
              <w:t xml:space="preserve">  Chromosome 14</w:t>
            </w:r>
          </w:p>
        </w:tc>
        <w:tc>
          <w:tcPr>
            <w:tcW w:type="dxa" w:w="2560"/>
            <w:shd w:val="clear" w:color="auto" w:fill="F2F2F2"/>
            <w:vAlign w:val="center"/>
          </w:tcPr>
          <w:p>
            <w:pPr>
              <w:jc w:val="center"/>
            </w:pPr>
            <w:r>
              <w:t>-0.68</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15</w:t>
            </w:r>
          </w:p>
        </w:tc>
        <w:tc>
          <w:tcPr>
            <w:tcW w:type="dxa" w:w="2560"/>
            <w:shd w:val="clear" w:color="auto" w:fill="F2F2F2"/>
            <w:vAlign w:val="center"/>
          </w:tcPr>
          <w:p>
            <w:pPr>
              <w:jc w:val="center"/>
            </w:pPr>
            <w:r>
              <w:t>1.27</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16</w:t>
            </w:r>
          </w:p>
        </w:tc>
        <w:tc>
          <w:tcPr>
            <w:tcW w:type="dxa" w:w="2560"/>
            <w:shd w:val="clear" w:color="auto" w:fill="F2F2F2"/>
            <w:vAlign w:val="center"/>
          </w:tcPr>
          <w:p>
            <w:pPr>
              <w:jc w:val="center"/>
            </w:pPr>
            <w:r>
              <w:t>1.66</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17</w:t>
            </w:r>
          </w:p>
        </w:tc>
        <w:tc>
          <w:tcPr>
            <w:tcW w:type="dxa" w:w="2560"/>
            <w:shd w:val="clear" w:color="auto" w:fill="F2F2F2"/>
            <w:vAlign w:val="center"/>
          </w:tcPr>
          <w:p>
            <w:pPr>
              <w:jc w:val="center"/>
            </w:pPr>
            <w:r>
              <w:t>-1.39</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18</w:t>
            </w:r>
          </w:p>
        </w:tc>
        <w:tc>
          <w:tcPr>
            <w:tcW w:type="dxa" w:w="2560"/>
            <w:shd w:val="clear" w:color="auto" w:fill="F2F2F2"/>
            <w:vAlign w:val="center"/>
          </w:tcPr>
          <w:p>
            <w:pPr>
              <w:jc w:val="center"/>
            </w:pPr>
            <w:r>
              <w:t>0.94</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score&lt;2.8</w:t>
            </w:r>
          </w:p>
        </w:tc>
      </w:tr>
      <w:tr>
        <w:tc>
          <w:tcPr>
            <w:tcW w:type="dxa" w:w="2560"/>
            <w:shd w:val="clear" w:color="auto" w:fill="F2F2F2"/>
            <w:vAlign w:val="center"/>
          </w:tcPr>
          <w:p>
            <w:pPr>
              <w:jc w:val="left"/>
            </w:pPr>
            <w:r>
              <w:t xml:space="preserve">  Chromosome 19</w:t>
            </w:r>
          </w:p>
        </w:tc>
        <w:tc>
          <w:tcPr>
            <w:tcW w:type="dxa" w:w="2560"/>
            <w:shd w:val="clear" w:color="auto" w:fill="F2F2F2"/>
            <w:vAlign w:val="center"/>
          </w:tcPr>
          <w:p>
            <w:pPr>
              <w:jc w:val="center"/>
            </w:pPr>
            <w:r>
              <w:t>-0.70</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20</w:t>
            </w:r>
          </w:p>
        </w:tc>
        <w:tc>
          <w:tcPr>
            <w:tcW w:type="dxa" w:w="2560"/>
            <w:shd w:val="clear" w:color="auto" w:fill="F2F2F2"/>
            <w:vAlign w:val="center"/>
          </w:tcPr>
          <w:p>
            <w:pPr>
              <w:jc w:val="center"/>
            </w:pPr>
            <w:r>
              <w:t>1.61</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r>
        <w:tc>
          <w:tcPr>
            <w:tcW w:type="dxa" w:w="2560"/>
            <w:shd w:val="clear" w:color="auto" w:fill="F2F2F2"/>
            <w:vAlign w:val="center"/>
          </w:tcPr>
          <w:p>
            <w:pPr>
              <w:jc w:val="left"/>
            </w:pPr>
            <w:r>
              <w:t xml:space="preserve">  Chromosome 21</w:t>
            </w:r>
          </w:p>
        </w:tc>
        <w:tc>
          <w:tcPr>
            <w:tcW w:type="dxa" w:w="2560"/>
            <w:shd w:val="clear" w:color="auto" w:fill="F2F2F2"/>
            <w:vAlign w:val="center"/>
          </w:tcPr>
          <w:p>
            <w:pPr>
              <w:jc w:val="center"/>
            </w:pPr>
            <w:r>
              <w:t>-0.21</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score&lt;2.8</w:t>
            </w:r>
          </w:p>
        </w:tc>
      </w:tr>
      <w:tr>
        <w:tc>
          <w:tcPr>
            <w:tcW w:type="dxa" w:w="2560"/>
            <w:shd w:val="clear" w:color="auto" w:fill="F2F2F2"/>
            <w:vAlign w:val="center"/>
          </w:tcPr>
          <w:p>
            <w:pPr>
              <w:jc w:val="left"/>
            </w:pPr>
            <w:r>
              <w:t xml:space="preserve">  Chromosome 22</w:t>
            </w:r>
          </w:p>
        </w:tc>
        <w:tc>
          <w:tcPr>
            <w:tcW w:type="dxa" w:w="2560"/>
            <w:shd w:val="clear" w:color="auto" w:fill="F2F2F2"/>
            <w:vAlign w:val="center"/>
          </w:tcPr>
          <w:p>
            <w:pPr>
              <w:jc w:val="center"/>
            </w:pPr>
            <w:r>
              <w:t>1.58</w:t>
            </w:r>
          </w:p>
        </w:tc>
        <w:tc>
          <w:tcPr>
            <w:tcW w:type="dxa" w:w="2560"/>
            <w:shd w:val="clear" w:color="auto" w:fill="F2F2F2"/>
            <w:vAlign w:val="center"/>
          </w:tcPr>
          <w:p>
            <w:pPr>
              <w:jc w:val="center"/>
            </w:pPr>
            <w:r>
              <w:t>Low risk</w:t>
            </w:r>
          </w:p>
        </w:tc>
        <w:tc>
          <w:tcPr>
            <w:tcW w:type="dxa" w:w="2560"/>
            <w:shd w:val="clear" w:color="auto" w:fill="F2F2F2"/>
            <w:vAlign w:val="center"/>
          </w:tcPr>
          <w:p>
            <w:pPr>
              <w:jc w:val="center"/>
            </w:pPr>
            <w:r>
              <w:t>-6&lt;Z score&lt;6</w:t>
            </w:r>
          </w:p>
        </w:tc>
      </w:tr>
    </w:tbl>
    <w:p>
      <w:r>
        <w:rPr>
          <w:b/>
        </w:rPr>
        <w:t>*As per PCPNDT act, the reference Z scores for sex chromosomal aneuploidies will not be provided.</w:t>
      </w:r>
    </w:p>
    <w:p>
      <w:r>
        <w:br w:type="page"/>
      </w:r>
    </w:p>
    <w:p>
      <w:pPr>
        <w:jc w:val="center"/>
      </w:pPr>
      <w:r>
        <w:drawing>
          <wp:inline xmlns:a="http://schemas.openxmlformats.org/drawingml/2006/main" xmlns:pic="http://schemas.openxmlformats.org/drawingml/2006/picture">
            <wp:extent cx="5943600" cy="1051560"/>
            <wp:docPr id="3" name="Picture 3"/>
            <wp:cNvGraphicFramePr>
              <a:graphicFrameLocks noChangeAspect="1"/>
            </wp:cNvGraphicFramePr>
            <a:graphic>
              <a:graphicData uri="http://schemas.openxmlformats.org/drawingml/2006/picture">
                <pic:pic>
                  <pic:nvPicPr>
                    <pic:cNvPr id="0" name="tmpirm5iig0.png"/>
                    <pic:cNvPicPr/>
                  </pic:nvPicPr>
                  <pic:blipFill>
                    <a:blip r:embed="rId10"/>
                    <a:stretch>
                      <a:fillRect/>
                    </a:stretch>
                  </pic:blipFill>
                  <pic:spPr>
                    <a:xfrm>
                      <a:off x="0" y="0"/>
                      <a:ext cx="5943600" cy="1051560"/>
                    </a:xfrm>
                    <a:prstGeom prst="rect"/>
                  </pic:spPr>
                </pic:pic>
              </a:graphicData>
            </a:graphic>
          </wp:inline>
        </w:drawing>
      </w:r>
    </w:p>
    <w:p>
      <w:pPr>
        <w:pBdr>
          <w:bottom w:val="single" w:sz="8" w:space="128" w:color="1F497D"/>
        </w:pBdr>
      </w:pPr>
      <w:r>
        <w:rPr>
          <w:rFonts w:ascii="Gill Sans MT Bold" w:hAnsi="Gill Sans MT Bold"/>
          <w:color w:val="1F497D"/>
          <w:sz w:val="30"/>
        </w:rPr>
        <w:t>Interpretation and follow-up</w:t>
      </w:r>
    </w:p>
    <w:p>
      <w:r>
        <w:t>• The results show low risk for all the autosomes and sex chromosomes.</w:t>
      </w:r>
    </w:p>
    <w:p>
      <w:r>
        <w:t>• The fetal fraction was sufficient for analysis.</w:t>
      </w:r>
    </w:p>
    <w:p>
      <w:r>
        <w:t>• A low risk result means that the baby has a low probability of having the condition listed in the report. The results should be communicated by the clinician with appropriate counseling.</w:t>
      </w:r>
    </w:p>
    <w:p>
      <w:r>
        <w:t>• A low-risk result does not eliminate the possibility of aneuploidy or other genetic disorders.</w:t>
      </w:r>
    </w:p>
    <w:p>
      <w:r>
        <w:t>• All results must be correlated with clinical findings, ultrasound, and maternal risk factors.</w:t>
      </w:r>
    </w:p>
    <w:p>
      <w:r>
        <w:t>Diagnostic confirmation is strongly recommended if any of the below are:</w:t>
      </w:r>
    </w:p>
    <w:p>
      <w:r>
        <w:t xml:space="preserve">        Positive/high-risk NIPT</w:t>
      </w:r>
    </w:p>
    <w:p>
      <w:r>
        <w:t xml:space="preserve">        Ultrasound abnormalities</w:t>
      </w:r>
    </w:p>
    <w:p>
      <w:r>
        <w:t xml:space="preserve">        High-risk maternal age or prior affected pregnancy</w:t>
      </w:r>
    </w:p>
    <w:p>
      <w:r>
        <w:t xml:space="preserve">        No-call/low fetal fraction samples</w:t>
      </w:r>
    </w:p>
    <w:p>
      <w:pPr>
        <w:pBdr>
          <w:bottom w:val="single" w:sz="8" w:space="128" w:color="1F497D"/>
        </w:pBdr>
      </w:pPr>
      <w:r>
        <w:rPr>
          <w:rFonts w:ascii="Gill Sans MT Bold" w:hAnsi="Gill Sans MT Bold"/>
          <w:color w:val="1F497D"/>
          <w:sz w:val="30"/>
        </w:rPr>
        <w:t>Recommendation</w:t>
      </w:r>
    </w:p>
    <w:p>
      <w:r>
        <w:t>• Genetic counseling is recommended.</w:t>
      </w:r>
    </w:p>
    <w:p>
      <w:r>
        <w:t>• If ultrasound/NT scan shows any abnormality or serum markers indicate high risk, invasive testing by amniocentesis with chromosomal microarray is mandated even if NIPS is low risk.</w:t>
      </w:r>
    </w:p>
    <w:p>
      <w:pPr>
        <w:pBdr>
          <w:bottom w:val="single" w:sz="8" w:space="128" w:color="1F497D"/>
        </w:pBdr>
      </w:pPr>
      <w:r>
        <w:rPr>
          <w:rFonts w:ascii="Gill Sans MT Bold" w:hAnsi="Gill Sans MT Bold"/>
          <w:color w:val="1F497D"/>
          <w:sz w:val="30"/>
        </w:rPr>
        <w:t>Test Method</w:t>
      </w:r>
    </w:p>
    <w:p>
      <w:r>
        <w:t>Maternal whole blood sample was taken from the pregnant mother after 10-week gestation with no risk to the fetus. The circulating cell-free placental DNA was isolated and purified, which was then converted into genomic DNA library using Yourgene cfDNA Library prep kit. This was followed by automated size selection of fragment lengths by QS250 for enriching fetal fraction. The enriched sample pool was subjected to high throughput sequencing using Ion GeneStudio S5 Plus™ System. Finally, analysis was performed using Sage Link V2.</w:t>
      </w:r>
    </w:p>
    <w:p>
      <w:pPr>
        <w:pBdr>
          <w:bottom w:val="single" w:sz="8" w:space="128" w:color="1F497D"/>
        </w:pBdr>
      </w:pPr>
      <w:r>
        <w:rPr>
          <w:rFonts w:ascii="Gill Sans MT Bold" w:hAnsi="Gill Sans MT Bold"/>
          <w:color w:val="1F497D"/>
          <w:sz w:val="30"/>
        </w:rPr>
        <w:t>Test Limitations</w:t>
      </w:r>
    </w:p>
    <w:p>
      <w:r>
        <w:t>Test performance is valid only for full chromosomal aneuploidies involving all the autosomes and sex chromosomes with an accuracy of up to 99% for aneuploidies pertaining to chromosomes 13, 18 and 21. The method is intended for use in pregnant women who are at least 10+ weeks pregnant. The method is suitable for both singleton and twin pregnancies. The accuracy may be slightly lower in twin pregnancies due to multiple sources of fetal DNA. Patients with malignancy or a history of malignancy, patients with bone marrow or organ transplant, patients pregnant with more than 2 fetuses are not eligible for the test.</w:t>
      </w:r>
    </w:p>
    <w:p>
      <w:r/>
      <w:r>
        <w:rPr>
          <w:b/>
        </w:rPr>
        <w:t>For vanishing twins, sampling must be performed 8 weeks after vanishing event.</w:t>
      </w:r>
      <w:r>
        <w:t xml:space="preserve"> The test is not intended and not validated for mosaicism, triploidy, partial trisomy/monosomy, uniparental disomy or translocations. Other genomic abnormalities not covered by this assay may impact the phenotype.</w:t>
      </w:r>
    </w:p>
    <w:p>
      <w:r>
        <w:br w:type="page"/>
      </w:r>
    </w:p>
    <w:p>
      <w:pPr>
        <w:jc w:val="center"/>
      </w:pPr>
      <w:r>
        <w:drawing>
          <wp:inline xmlns:a="http://schemas.openxmlformats.org/drawingml/2006/main" xmlns:pic="http://schemas.openxmlformats.org/drawingml/2006/picture">
            <wp:extent cx="5943600" cy="1051560"/>
            <wp:docPr id="4" name="Picture 4"/>
            <wp:cNvGraphicFramePr>
              <a:graphicFrameLocks noChangeAspect="1"/>
            </wp:cNvGraphicFramePr>
            <a:graphic>
              <a:graphicData uri="http://schemas.openxmlformats.org/drawingml/2006/picture">
                <pic:pic>
                  <pic:nvPicPr>
                    <pic:cNvPr id="0" name="tmpirm5iig0.png"/>
                    <pic:cNvPicPr/>
                  </pic:nvPicPr>
                  <pic:blipFill>
                    <a:blip r:embed="rId10"/>
                    <a:stretch>
                      <a:fillRect/>
                    </a:stretch>
                  </pic:blipFill>
                  <pic:spPr>
                    <a:xfrm>
                      <a:off x="0" y="0"/>
                      <a:ext cx="5943600" cy="1051560"/>
                    </a:xfrm>
                    <a:prstGeom prst="rect"/>
                  </pic:spPr>
                </pic:pic>
              </a:graphicData>
            </a:graphic>
          </wp:inline>
        </w:drawing>
      </w:r>
    </w:p>
    <w:p>
      <w:r>
        <w:t>A high risk result for twin pregnancies indicates high probability for the presence of at least one affected fetus.</w:t>
      </w:r>
    </w:p>
    <w:p>
      <w:r/>
      <w:r>
        <w:rPr>
          <w:b/>
        </w:rPr>
        <w:t>Pregnant women with a low risk test result do not ensure an unaffected pregnancy as this is a screening test.</w:t>
      </w:r>
      <w:r>
        <w:t xml:space="preserve"> Although this test is accurate, there is still a small possibility for false positive or false negative results. This may be caused by technical and/or biological limitations, including but not limited to confined placental mosaicism (CPM) or other types of mosaicism, maternal constitutional or somatic chromosomal abnormalities, residual cfDNA from a vanished twin or other rare molecular events.</w:t>
      </w:r>
    </w:p>
    <w:p>
      <w:r/>
      <w:r>
        <w:rPr>
          <w:b/>
        </w:rPr>
        <w:t>This test is not a diagnostic but a screening test and results should be considered in the context of other clinical criteria.</w:t>
      </w:r>
      <w:r>
        <w:t xml:space="preserve"> Clinical correlation with ultrasound findings, and other clinical data and tests is recommended.</w:t>
      </w:r>
    </w:p>
    <w:p>
      <w:r/>
      <w:r>
        <w:rPr>
          <w:b/>
        </w:rPr>
        <w:t>If definitive diagnosis is desired, invasive prenatal testing by chorionic villus biopsy (CVS) or amniocentesis is necessary.</w:t>
      </w:r>
      <w:r>
        <w:t xml:space="preserve"> The referral clinician is responsible for counselling before and after the test including the provision of advice regarding the need for additional invasive genetic testing.</w:t>
      </w:r>
    </w:p>
    <w:p>
      <w:pPr>
        <w:pBdr>
          <w:bottom w:val="single" w:sz="8" w:space="128" w:color="1F497D"/>
        </w:pBdr>
      </w:pPr>
      <w:r>
        <w:rPr>
          <w:rFonts w:ascii="Gill Sans MT Bold" w:hAnsi="Gill Sans MT Bold"/>
          <w:color w:val="1F497D"/>
          <w:sz w:val="30"/>
        </w:rPr>
        <w:t>Regulatory &amp; Validation Notes</w:t>
      </w:r>
    </w:p>
    <w:p>
      <w:r>
        <w:t>Test performance is based on laboratory-validated parameters; results may vary across populations and platforms. Not intended for use in multi-fetal reduction, mosaic embryo transfer, or post-transplant pregnancies.</w:t>
      </w:r>
    </w:p>
    <w:p>
      <w:pPr>
        <w:pBdr>
          <w:bottom w:val="single" w:sz="8" w:space="128" w:color="1F497D"/>
        </w:pBdr>
      </w:pPr>
      <w:r>
        <w:rPr>
          <w:rFonts w:ascii="Gill Sans MT Bold" w:hAnsi="Gill Sans MT Bold"/>
          <w:color w:val="1F497D"/>
          <w:sz w:val="30"/>
        </w:rPr>
        <w:t>Disclaimer</w:t>
      </w:r>
    </w:p>
    <w:p>
      <w:r>
        <w:t>No irreversible actions should be taken based solely upon the results of this screening test. The manner in which this information is used to guide patient care is the responsibility of the health care provider, including advising for the need for genetic counseling or diagnostic testing. Any test should be interpreted in the context of all available clinical findings. As with any screening test, any positive result should be confirmed with diagnostic testing.</w:t>
      </w:r>
    </w:p>
    <w:p>
      <w:r>
        <w:br w:type="page"/>
      </w:r>
    </w:p>
    <w:p>
      <w:pPr>
        <w:jc w:val="center"/>
      </w:pPr>
      <w:r>
        <w:drawing>
          <wp:inline xmlns:a="http://schemas.openxmlformats.org/drawingml/2006/main" xmlns:pic="http://schemas.openxmlformats.org/drawingml/2006/picture">
            <wp:extent cx="5943600" cy="1051560"/>
            <wp:docPr id="5" name="Picture 5"/>
            <wp:cNvGraphicFramePr>
              <a:graphicFrameLocks noChangeAspect="1"/>
            </wp:cNvGraphicFramePr>
            <a:graphic>
              <a:graphicData uri="http://schemas.openxmlformats.org/drawingml/2006/picture">
                <pic:pic>
                  <pic:nvPicPr>
                    <pic:cNvPr id="0" name="tmpirm5iig0.png"/>
                    <pic:cNvPicPr/>
                  </pic:nvPicPr>
                  <pic:blipFill>
                    <a:blip r:embed="rId10"/>
                    <a:stretch>
                      <a:fillRect/>
                    </a:stretch>
                  </pic:blipFill>
                  <pic:spPr>
                    <a:xfrm>
                      <a:off x="0" y="0"/>
                      <a:ext cx="5943600" cy="1051560"/>
                    </a:xfrm>
                    <a:prstGeom prst="rect"/>
                  </pic:spPr>
                </pic:pic>
              </a:graphicData>
            </a:graphic>
          </wp:inline>
        </w:drawing>
      </w:r>
    </w:p>
    <w:p>
      <w:pPr>
        <w:pBdr>
          <w:bottom w:val="single" w:sz="8" w:space="128" w:color="1F497D"/>
        </w:pBdr>
      </w:pPr>
      <w:r>
        <w:rPr>
          <w:rFonts w:ascii="Gill Sans MT Bold" w:hAnsi="Gill Sans MT Bold"/>
          <w:color w:val="1F497D"/>
          <w:sz w:val="30"/>
        </w:rPr>
        <w:t>Test specifications</w:t>
      </w:r>
    </w:p>
    <w:p>
      <w:r>
        <w:rPr>
          <w:b/>
        </w:rPr>
        <w:t>Table 1: Performance of Sage 32 NIPT workflow in singleton pregnancies</w:t>
      </w:r>
    </w:p>
    <w:tbl>
      <w:tblPr>
        <w:tblStyle w:val="TableGrid"/>
        <w:tblW w:type="auto" w:w="0"/>
        <w:tblLook w:firstColumn="1" w:firstRow="1" w:lastColumn="0" w:lastRow="0" w:noHBand="0" w:noVBand="1" w:val="04A0"/>
      </w:tblPr>
      <w:tblGrid>
        <w:gridCol w:w="1463"/>
        <w:gridCol w:w="1463"/>
        <w:gridCol w:w="1463"/>
        <w:gridCol w:w="1463"/>
        <w:gridCol w:w="1463"/>
        <w:gridCol w:w="1463"/>
        <w:gridCol w:w="1463"/>
      </w:tblGrid>
      <w:tr>
        <w:trPr>
          <w:trHeight w:val="576"/>
        </w:trPr>
        <w:tc>
          <w:tcPr>
            <w:tcW w:type="dxa" w:w="1463"/>
            <w:shd w:val="clear" w:color="auto" w:fill="F9BE8F"/>
            <w:vAlign w:val="center"/>
          </w:tcPr>
          <w:p>
            <w:pPr>
              <w:jc w:val="center"/>
            </w:pPr>
            <w:r>
              <w:rPr>
                <w:b/>
              </w:rPr>
              <w:t>Condition</w:t>
            </w:r>
          </w:p>
        </w:tc>
        <w:tc>
          <w:tcPr>
            <w:tcW w:type="dxa" w:w="1463"/>
            <w:shd w:val="clear" w:color="auto" w:fill="F9BE8F"/>
            <w:vAlign w:val="center"/>
          </w:tcPr>
          <w:p>
            <w:pPr>
              <w:jc w:val="center"/>
            </w:pPr>
            <w:r>
              <w:rPr>
                <w:b/>
              </w:rPr>
              <w:t>Sensitivity</w:t>
            </w:r>
          </w:p>
        </w:tc>
        <w:tc>
          <w:tcPr>
            <w:tcW w:type="dxa" w:w="1463"/>
            <w:shd w:val="clear" w:color="auto" w:fill="F9BE8F"/>
            <w:vAlign w:val="center"/>
          </w:tcPr>
          <w:p>
            <w:pPr>
              <w:jc w:val="center"/>
            </w:pPr>
            <w:r>
              <w:rPr>
                <w:b/>
              </w:rPr>
              <w:t>Specificity</w:t>
            </w:r>
          </w:p>
        </w:tc>
        <w:tc>
          <w:tcPr>
            <w:tcW w:type="dxa" w:w="1463"/>
            <w:shd w:val="clear" w:color="auto" w:fill="F9BE8F"/>
            <w:vAlign w:val="center"/>
          </w:tcPr>
          <w:p>
            <w:pPr>
              <w:jc w:val="center"/>
            </w:pPr>
            <w:r>
              <w:rPr>
                <w:b/>
              </w:rPr>
              <w:t>PPV</w:t>
            </w:r>
          </w:p>
        </w:tc>
        <w:tc>
          <w:tcPr>
            <w:tcW w:type="dxa" w:w="1463"/>
            <w:shd w:val="clear" w:color="auto" w:fill="F9BE8F"/>
            <w:vAlign w:val="center"/>
          </w:tcPr>
          <w:p>
            <w:pPr>
              <w:jc w:val="center"/>
            </w:pPr>
            <w:r>
              <w:rPr>
                <w:b/>
              </w:rPr>
              <w:t>NPV</w:t>
            </w:r>
          </w:p>
        </w:tc>
        <w:tc>
          <w:tcPr>
            <w:tcW w:type="dxa" w:w="1463"/>
            <w:shd w:val="clear" w:color="auto" w:fill="F9BE8F"/>
            <w:vAlign w:val="center"/>
          </w:tcPr>
          <w:p>
            <w:pPr>
              <w:jc w:val="center"/>
            </w:pPr>
            <w:r>
              <w:rPr>
                <w:b/>
              </w:rPr>
              <w:t>FPR</w:t>
            </w:r>
          </w:p>
        </w:tc>
        <w:tc>
          <w:tcPr>
            <w:tcW w:type="dxa" w:w="1463"/>
            <w:shd w:val="clear" w:color="auto" w:fill="F9BE8F"/>
            <w:vAlign w:val="center"/>
          </w:tcPr>
          <w:p>
            <w:pPr>
              <w:jc w:val="center"/>
            </w:pPr>
            <w:r>
              <w:rPr>
                <w:b/>
              </w:rPr>
              <w:t>FNR</w:t>
            </w:r>
          </w:p>
        </w:tc>
      </w:tr>
      <w:tr>
        <w:tc>
          <w:tcPr>
            <w:tcW w:type="dxa" w:w="1463"/>
            <w:shd w:val="clear" w:color="auto" w:fill="E2E2E2"/>
            <w:vAlign w:val="center"/>
          </w:tcPr>
          <w:p>
            <w:pPr>
              <w:jc w:val="center"/>
            </w:pPr>
            <w:r>
              <w:t>Trisomy 21</w:t>
            </w:r>
          </w:p>
        </w:tc>
        <w:tc>
          <w:tcPr>
            <w:tcW w:type="dxa" w:w="1463"/>
            <w:shd w:val="clear" w:color="auto" w:fill="F2F2F2"/>
            <w:vAlign w:val="center"/>
          </w:tcPr>
          <w:p>
            <w:pPr>
              <w:jc w:val="center"/>
            </w:pPr>
            <w:r>
              <w:t xml:space="preserve">99% </w:t>
            </w:r>
            <w:r>
              <w:rPr>
                <w:sz w:val="11"/>
              </w:rPr>
              <w:t>95%CI:99.49-100%</w:t>
            </w:r>
          </w:p>
        </w:tc>
        <w:tc>
          <w:tcPr>
            <w:tcW w:type="dxa" w:w="1463"/>
            <w:shd w:val="clear" w:color="auto" w:fill="F2F2F2"/>
            <w:vAlign w:val="center"/>
          </w:tcPr>
          <w:p>
            <w:pPr>
              <w:jc w:val="center"/>
            </w:pPr>
            <w:r>
              <w:t xml:space="preserve">&gt;99% </w:t>
            </w:r>
            <w:r>
              <w:rPr>
                <w:sz w:val="11"/>
              </w:rPr>
              <w:t>95%CI:99.99-100%</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99.99%</w:t>
            </w:r>
          </w:p>
        </w:tc>
        <w:tc>
          <w:tcPr>
            <w:tcW w:type="dxa" w:w="1463"/>
            <w:shd w:val="clear" w:color="auto" w:fill="F2F2F2"/>
            <w:vAlign w:val="center"/>
          </w:tcPr>
          <w:p>
            <w:pPr>
              <w:jc w:val="center"/>
            </w:pPr>
            <w:r>
              <w:t>&lt;0.1%</w:t>
            </w:r>
          </w:p>
        </w:tc>
        <w:tc>
          <w:tcPr>
            <w:tcW w:type="dxa" w:w="1463"/>
            <w:shd w:val="clear" w:color="auto" w:fill="F2F2F2"/>
            <w:vAlign w:val="center"/>
          </w:tcPr>
          <w:p>
            <w:pPr>
              <w:jc w:val="center"/>
            </w:pPr>
            <w:r>
              <w:t>0.1%</w:t>
            </w:r>
          </w:p>
        </w:tc>
      </w:tr>
      <w:tr>
        <w:tc>
          <w:tcPr>
            <w:tcW w:type="dxa" w:w="1463"/>
            <w:shd w:val="clear" w:color="auto" w:fill="E2E2E2"/>
            <w:vAlign w:val="center"/>
          </w:tcPr>
          <w:p>
            <w:pPr>
              <w:jc w:val="center"/>
            </w:pPr>
            <w:r>
              <w:t>Trisomy 18</w:t>
            </w:r>
          </w:p>
        </w:tc>
        <w:tc>
          <w:tcPr>
            <w:tcW w:type="dxa" w:w="1463"/>
            <w:shd w:val="clear" w:color="auto" w:fill="F2F2F2"/>
            <w:vAlign w:val="center"/>
          </w:tcPr>
          <w:p>
            <w:pPr>
              <w:jc w:val="center"/>
            </w:pPr>
            <w:r>
              <w:t xml:space="preserve">99% </w:t>
            </w:r>
            <w:r>
              <w:rPr>
                <w:sz w:val="11"/>
              </w:rPr>
              <w:t>95%CI:96.82-99.99%</w:t>
            </w:r>
          </w:p>
        </w:tc>
        <w:tc>
          <w:tcPr>
            <w:tcW w:type="dxa" w:w="1463"/>
            <w:shd w:val="clear" w:color="auto" w:fill="F2F2F2"/>
            <w:vAlign w:val="center"/>
          </w:tcPr>
          <w:p>
            <w:pPr>
              <w:jc w:val="center"/>
            </w:pPr>
            <w:r>
              <w:t xml:space="preserve">&gt;99% </w:t>
            </w:r>
            <w:r>
              <w:rPr>
                <w:sz w:val="11"/>
              </w:rPr>
              <w:t>95%CI:99.99-100%</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99.99%</w:t>
            </w:r>
          </w:p>
        </w:tc>
        <w:tc>
          <w:tcPr>
            <w:tcW w:type="dxa" w:w="1463"/>
            <w:shd w:val="clear" w:color="auto" w:fill="F2F2F2"/>
            <w:vAlign w:val="center"/>
          </w:tcPr>
          <w:p>
            <w:pPr>
              <w:jc w:val="center"/>
            </w:pPr>
            <w:r>
              <w:t>&lt;0.1%</w:t>
            </w:r>
          </w:p>
        </w:tc>
        <w:tc>
          <w:tcPr>
            <w:tcW w:type="dxa" w:w="1463"/>
            <w:shd w:val="clear" w:color="auto" w:fill="F2F2F2"/>
            <w:vAlign w:val="center"/>
          </w:tcPr>
          <w:p>
            <w:pPr>
              <w:jc w:val="center"/>
            </w:pPr>
            <w:r>
              <w:t>0.58%</w:t>
            </w:r>
          </w:p>
        </w:tc>
      </w:tr>
      <w:tr>
        <w:tc>
          <w:tcPr>
            <w:tcW w:type="dxa" w:w="1463"/>
            <w:shd w:val="clear" w:color="auto" w:fill="E2E2E2"/>
            <w:vAlign w:val="center"/>
          </w:tcPr>
          <w:p>
            <w:pPr>
              <w:jc w:val="center"/>
            </w:pPr>
            <w:r>
              <w:t>Trisomy 13</w:t>
            </w:r>
          </w:p>
        </w:tc>
        <w:tc>
          <w:tcPr>
            <w:tcW w:type="dxa" w:w="1463"/>
            <w:shd w:val="clear" w:color="auto" w:fill="F2F2F2"/>
            <w:vAlign w:val="center"/>
          </w:tcPr>
          <w:p>
            <w:pPr>
              <w:jc w:val="center"/>
            </w:pPr>
            <w:r>
              <w:t xml:space="preserve">&gt;99% </w:t>
            </w:r>
            <w:r>
              <w:rPr>
                <w:sz w:val="11"/>
              </w:rPr>
              <w:t>95%CI:96.87-100%</w:t>
            </w:r>
          </w:p>
        </w:tc>
        <w:tc>
          <w:tcPr>
            <w:tcW w:type="dxa" w:w="1463"/>
            <w:shd w:val="clear" w:color="auto" w:fill="F2F2F2"/>
            <w:vAlign w:val="center"/>
          </w:tcPr>
          <w:p>
            <w:pPr>
              <w:jc w:val="center"/>
            </w:pPr>
            <w:r>
              <w:t xml:space="preserve">&gt;99% </w:t>
            </w:r>
            <w:r>
              <w:rPr>
                <w:sz w:val="11"/>
              </w:rPr>
              <w:t>95%CI:99.99-100%</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&lt;0.1%</w:t>
            </w:r>
          </w:p>
        </w:tc>
        <w:tc>
          <w:tcPr>
            <w:tcW w:type="dxa" w:w="1463"/>
            <w:shd w:val="clear" w:color="auto" w:fill="F2F2F2"/>
            <w:vAlign w:val="center"/>
          </w:tcPr>
          <w:p>
            <w:pPr>
              <w:jc w:val="center"/>
            </w:pPr>
            <w:r>
              <w:t>&lt;0.1%</w:t>
            </w:r>
          </w:p>
        </w:tc>
      </w:tr>
      <w:tr>
        <w:tc>
          <w:tcPr>
            <w:tcW w:type="dxa" w:w="1463"/>
            <w:shd w:val="clear" w:color="auto" w:fill="E2E2E2"/>
            <w:vAlign w:val="center"/>
          </w:tcPr>
          <w:p>
            <w:pPr>
              <w:jc w:val="center"/>
            </w:pPr>
            <w:r>
              <w:t xml:space="preserve">Sex chromosomal </w:t>
            </w:r>
            <w:r>
              <w:rPr>
                <w:sz w:val="11"/>
              </w:rPr>
              <w:t>aneuploidies</w:t>
            </w:r>
          </w:p>
        </w:tc>
        <w:tc>
          <w:tcPr>
            <w:tcW w:type="dxa" w:w="1463"/>
            <w:shd w:val="clear" w:color="auto" w:fill="F2F2F2"/>
            <w:vAlign w:val="center"/>
          </w:tcPr>
          <w:p>
            <w:pPr>
              <w:jc w:val="center"/>
            </w:pPr>
            <w:r>
              <w:t xml:space="preserve">&gt;98 % </w:t>
            </w:r>
            <w:r>
              <w:rPr>
                <w:sz w:val="11"/>
              </w:rPr>
              <w:t>95%CI:99.31-100%</w:t>
            </w:r>
          </w:p>
        </w:tc>
        <w:tc>
          <w:tcPr>
            <w:tcW w:type="dxa" w:w="1463"/>
            <w:shd w:val="clear" w:color="auto" w:fill="F2F2F2"/>
            <w:vAlign w:val="center"/>
          </w:tcPr>
          <w:p>
            <w:pPr>
              <w:jc w:val="center"/>
            </w:pPr>
            <w:r>
              <w:t xml:space="preserve">&gt;98% </w:t>
            </w:r>
            <w:r>
              <w:rPr>
                <w:sz w:val="11"/>
              </w:rPr>
              <w:t>95%CI:99.99-100%</w:t>
            </w:r>
          </w:p>
        </w:tc>
        <w:tc>
          <w:tcPr>
            <w:tcW w:type="dxa" w:w="1463"/>
            <w:shd w:val="clear" w:color="auto" w:fill="F2F2F2"/>
            <w:vAlign w:val="center"/>
          </w:tcPr>
          <w:p>
            <w:pPr>
              <w:jc w:val="center"/>
            </w:pPr>
            <w:r>
              <w:t>99.81%</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0.0014%</w:t>
            </w:r>
          </w:p>
        </w:tc>
        <w:tc>
          <w:tcPr>
            <w:tcW w:type="dxa" w:w="1463"/>
            <w:shd w:val="clear" w:color="auto" w:fill="F2F2F2"/>
            <w:vAlign w:val="center"/>
          </w:tcPr>
          <w:p>
            <w:pPr>
              <w:jc w:val="center"/>
            </w:pPr>
            <w:r>
              <w:t>&lt;0.01%</w:t>
            </w:r>
          </w:p>
        </w:tc>
      </w:tr>
      <w:tr>
        <w:tc>
          <w:tcPr>
            <w:tcW w:type="dxa" w:w="1463"/>
            <w:shd w:val="clear" w:color="auto" w:fill="E2E2E2"/>
            <w:vAlign w:val="center"/>
          </w:tcPr>
          <w:p>
            <w:pPr>
              <w:jc w:val="center"/>
            </w:pPr>
            <w:r>
              <w:t xml:space="preserve">Other autosomal </w:t>
            </w:r>
            <w:r>
              <w:rPr>
                <w:sz w:val="11"/>
              </w:rPr>
              <w:t>aneuploidies</w:t>
            </w:r>
          </w:p>
        </w:tc>
        <w:tc>
          <w:tcPr>
            <w:tcW w:type="dxa" w:w="1463"/>
            <w:shd w:val="clear" w:color="auto" w:fill="F2F2F2"/>
            <w:vAlign w:val="center"/>
          </w:tcPr>
          <w:p>
            <w:pPr>
              <w:jc w:val="center"/>
            </w:pPr>
            <w:r>
              <w:t xml:space="preserve">&gt;90% </w:t>
            </w:r>
            <w:r>
              <w:rPr>
                <w:sz w:val="11"/>
              </w:rPr>
              <w:t>95%CI:98.03-100%</w:t>
            </w:r>
          </w:p>
        </w:tc>
        <w:tc>
          <w:tcPr>
            <w:tcW w:type="dxa" w:w="1463"/>
            <w:shd w:val="clear" w:color="auto" w:fill="F2F2F2"/>
            <w:vAlign w:val="center"/>
          </w:tcPr>
          <w:p>
            <w:pPr>
              <w:jc w:val="center"/>
            </w:pPr>
            <w:r>
              <w:t xml:space="preserve">&gt;90% </w:t>
            </w:r>
            <w:r>
              <w:rPr>
                <w:sz w:val="11"/>
              </w:rPr>
              <w:t>95%CI:99.99-100%</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&lt;0.01%</w:t>
            </w:r>
          </w:p>
        </w:tc>
        <w:tc>
          <w:tcPr>
            <w:tcW w:type="dxa" w:w="1463"/>
            <w:shd w:val="clear" w:color="auto" w:fill="F2F2F2"/>
            <w:vAlign w:val="center"/>
          </w:tcPr>
          <w:p>
            <w:pPr>
              <w:jc w:val="center"/>
            </w:pPr>
            <w:r>
              <w:t>&lt;0.01%</w:t>
            </w:r>
          </w:p>
        </w:tc>
      </w:tr>
    </w:tbl>
    <w:p/>
    <w:p>
      <w:pPr>
        <w:jc w:val="center"/>
      </w:pPr>
      <w:r>
        <w:t>PPV – Positive predictive value; NPV – Negative predictive value; FPR – False positive rate; FNR – False negative rate</w:t>
      </w:r>
    </w:p>
    <w:p/>
    <w:p>
      <w:r>
        <w:rPr>
          <w:b/>
        </w:rPr>
        <w:t>Table 2: Performance of Sage 32 NIPT workflow in twin pregnancies</w:t>
      </w:r>
    </w:p>
    <w:tbl>
      <w:tblPr>
        <w:tblStyle w:val="TableGrid"/>
        <w:tblW w:type="auto" w:w="0"/>
        <w:tblLook w:firstColumn="1" w:firstRow="1" w:lastColumn="0" w:lastRow="0" w:noHBand="0" w:noVBand="1" w:val="04A0"/>
      </w:tblPr>
      <w:tblGrid>
        <w:gridCol w:w="1463"/>
        <w:gridCol w:w="1463"/>
        <w:gridCol w:w="1463"/>
        <w:gridCol w:w="1463"/>
        <w:gridCol w:w="1463"/>
        <w:gridCol w:w="1463"/>
        <w:gridCol w:w="1463"/>
      </w:tblGrid>
      <w:tr>
        <w:trPr>
          <w:trHeight w:val="576"/>
        </w:trPr>
        <w:tc>
          <w:tcPr>
            <w:tcW w:type="dxa" w:w="1463"/>
            <w:shd w:val="clear" w:color="auto" w:fill="F9BE8F"/>
            <w:vAlign w:val="center"/>
          </w:tcPr>
          <w:p>
            <w:pPr>
              <w:jc w:val="center"/>
            </w:pPr>
            <w:r>
              <w:rPr>
                <w:b/>
              </w:rPr>
              <w:t>Condition</w:t>
            </w:r>
          </w:p>
        </w:tc>
        <w:tc>
          <w:tcPr>
            <w:tcW w:type="dxa" w:w="1463"/>
            <w:shd w:val="clear" w:color="auto" w:fill="F9BE8F"/>
            <w:vAlign w:val="center"/>
          </w:tcPr>
          <w:p>
            <w:pPr>
              <w:jc w:val="center"/>
            </w:pPr>
            <w:r>
              <w:rPr>
                <w:b/>
              </w:rPr>
              <w:t>Sensitivity</w:t>
            </w:r>
          </w:p>
        </w:tc>
        <w:tc>
          <w:tcPr>
            <w:tcW w:type="dxa" w:w="1463"/>
            <w:shd w:val="clear" w:color="auto" w:fill="F9BE8F"/>
            <w:vAlign w:val="center"/>
          </w:tcPr>
          <w:p>
            <w:pPr>
              <w:jc w:val="center"/>
            </w:pPr>
            <w:r>
              <w:rPr>
                <w:b/>
              </w:rPr>
              <w:t>Specificity</w:t>
            </w:r>
          </w:p>
        </w:tc>
        <w:tc>
          <w:tcPr>
            <w:tcW w:type="dxa" w:w="1463"/>
            <w:shd w:val="clear" w:color="auto" w:fill="F9BE8F"/>
            <w:vAlign w:val="center"/>
          </w:tcPr>
          <w:p>
            <w:pPr>
              <w:jc w:val="center"/>
            </w:pPr>
            <w:r>
              <w:rPr>
                <w:b/>
              </w:rPr>
              <w:t>PPV</w:t>
            </w:r>
          </w:p>
        </w:tc>
        <w:tc>
          <w:tcPr>
            <w:tcW w:type="dxa" w:w="1463"/>
            <w:shd w:val="clear" w:color="auto" w:fill="F9BE8F"/>
            <w:vAlign w:val="center"/>
          </w:tcPr>
          <w:p>
            <w:pPr>
              <w:jc w:val="center"/>
            </w:pPr>
            <w:r>
              <w:rPr>
                <w:b/>
              </w:rPr>
              <w:t>NPV</w:t>
            </w:r>
          </w:p>
        </w:tc>
        <w:tc>
          <w:tcPr>
            <w:tcW w:type="dxa" w:w="1463"/>
            <w:shd w:val="clear" w:color="auto" w:fill="F9BE8F"/>
            <w:vAlign w:val="center"/>
          </w:tcPr>
          <w:p>
            <w:pPr>
              <w:jc w:val="center"/>
            </w:pPr>
            <w:r>
              <w:rPr>
                <w:b/>
              </w:rPr>
              <w:t>FPR</w:t>
            </w:r>
          </w:p>
        </w:tc>
        <w:tc>
          <w:tcPr>
            <w:tcW w:type="dxa" w:w="1463"/>
            <w:shd w:val="clear" w:color="auto" w:fill="F9BE8F"/>
            <w:vAlign w:val="center"/>
          </w:tcPr>
          <w:p>
            <w:pPr>
              <w:jc w:val="center"/>
            </w:pPr>
            <w:r>
              <w:rPr>
                <w:b/>
              </w:rPr>
              <w:t>FNR</w:t>
            </w:r>
          </w:p>
        </w:tc>
      </w:tr>
      <w:tr>
        <w:tc>
          <w:tcPr>
            <w:tcW w:type="dxa" w:w="1463"/>
            <w:shd w:val="clear" w:color="auto" w:fill="E2E2E2"/>
            <w:vAlign w:val="center"/>
          </w:tcPr>
          <w:p>
            <w:pPr>
              <w:jc w:val="center"/>
            </w:pPr>
            <w:r>
              <w:t>Trisomy 21</w:t>
            </w:r>
          </w:p>
        </w:tc>
        <w:tc>
          <w:tcPr>
            <w:tcW w:type="dxa" w:w="1463"/>
            <w:shd w:val="clear" w:color="auto" w:fill="F2F2F2"/>
            <w:vAlign w:val="center"/>
          </w:tcPr>
          <w:p>
            <w:pPr>
              <w:jc w:val="center"/>
            </w:pPr>
            <w:r>
              <w:t>&gt;98%</w:t>
            </w:r>
          </w:p>
        </w:tc>
        <w:tc>
          <w:tcPr>
            <w:tcW w:type="dxa" w:w="1463"/>
            <w:shd w:val="clear" w:color="auto" w:fill="F2F2F2"/>
            <w:vAlign w:val="center"/>
          </w:tcPr>
          <w:p>
            <w:pPr>
              <w:jc w:val="center"/>
            </w:pPr>
            <w:r>
              <w:t>&gt;98%</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&lt;0.01%</w:t>
            </w:r>
          </w:p>
        </w:tc>
        <w:tc>
          <w:tcPr>
            <w:tcW w:type="dxa" w:w="1463"/>
            <w:shd w:val="clear" w:color="auto" w:fill="F2F2F2"/>
            <w:vAlign w:val="center"/>
          </w:tcPr>
          <w:p>
            <w:pPr>
              <w:jc w:val="center"/>
            </w:pPr>
            <w:r>
              <w:t>&lt;0.01%</w:t>
            </w:r>
          </w:p>
        </w:tc>
      </w:tr>
      <w:tr>
        <w:tc>
          <w:tcPr>
            <w:tcW w:type="dxa" w:w="1463"/>
            <w:shd w:val="clear" w:color="auto" w:fill="E2E2E2"/>
            <w:vAlign w:val="center"/>
          </w:tcPr>
          <w:p>
            <w:pPr>
              <w:jc w:val="center"/>
            </w:pPr>
            <w:r>
              <w:t>Trisomy 18</w:t>
            </w:r>
          </w:p>
        </w:tc>
        <w:tc>
          <w:tcPr>
            <w:tcW w:type="dxa" w:w="1463"/>
            <w:shd w:val="clear" w:color="auto" w:fill="F2F2F2"/>
            <w:vAlign w:val="center"/>
          </w:tcPr>
          <w:p>
            <w:pPr>
              <w:jc w:val="center"/>
            </w:pPr>
            <w:r>
              <w:t>&gt;98%</w:t>
            </w:r>
          </w:p>
        </w:tc>
        <w:tc>
          <w:tcPr>
            <w:tcW w:type="dxa" w:w="1463"/>
            <w:shd w:val="clear" w:color="auto" w:fill="F2F2F2"/>
            <w:vAlign w:val="center"/>
          </w:tcPr>
          <w:p>
            <w:pPr>
              <w:jc w:val="center"/>
            </w:pPr>
            <w:r>
              <w:t>&gt;98%</w:t>
            </w:r>
          </w:p>
        </w:tc>
        <w:tc>
          <w:tcPr>
            <w:tcW w:type="dxa" w:w="1463"/>
            <w:shd w:val="clear" w:color="auto" w:fill="F2F2F2"/>
            <w:vAlign w:val="center"/>
          </w:tcPr>
          <w:p>
            <w:pPr>
              <w:jc w:val="center"/>
            </w:pPr>
            <w:r>
              <w:t>&gt;98%</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&lt;0.01%</w:t>
            </w:r>
          </w:p>
        </w:tc>
        <w:tc>
          <w:tcPr>
            <w:tcW w:type="dxa" w:w="1463"/>
            <w:shd w:val="clear" w:color="auto" w:fill="F2F2F2"/>
            <w:vAlign w:val="center"/>
          </w:tcPr>
          <w:p>
            <w:pPr>
              <w:jc w:val="center"/>
            </w:pPr>
            <w:r>
              <w:t>&lt;0.01%</w:t>
            </w:r>
          </w:p>
        </w:tc>
      </w:tr>
      <w:tr>
        <w:tc>
          <w:tcPr>
            <w:tcW w:type="dxa" w:w="1463"/>
            <w:shd w:val="clear" w:color="auto" w:fill="E2E2E2"/>
            <w:vAlign w:val="center"/>
          </w:tcPr>
          <w:p>
            <w:pPr>
              <w:jc w:val="center"/>
            </w:pPr>
            <w:r>
              <w:t>Trisomy 13</w:t>
            </w:r>
          </w:p>
        </w:tc>
        <w:tc>
          <w:tcPr>
            <w:tcW w:type="dxa" w:w="1463"/>
            <w:shd w:val="clear" w:color="auto" w:fill="F2F2F2"/>
            <w:vAlign w:val="center"/>
          </w:tcPr>
          <w:p>
            <w:pPr>
              <w:jc w:val="center"/>
            </w:pPr>
            <w:r>
              <w:t>&gt;98%</w:t>
            </w:r>
          </w:p>
        </w:tc>
        <w:tc>
          <w:tcPr>
            <w:tcW w:type="dxa" w:w="1463"/>
            <w:shd w:val="clear" w:color="auto" w:fill="F2F2F2"/>
            <w:vAlign w:val="center"/>
          </w:tcPr>
          <w:p>
            <w:pPr>
              <w:jc w:val="center"/>
            </w:pPr>
            <w:r>
              <w:t>&gt;98%</w:t>
            </w:r>
          </w:p>
        </w:tc>
        <w:tc>
          <w:tcPr>
            <w:tcW w:type="dxa" w:w="1463"/>
            <w:shd w:val="clear" w:color="auto" w:fill="F2F2F2"/>
            <w:vAlign w:val="center"/>
          </w:tcPr>
          <w:p>
            <w:pPr>
              <w:jc w:val="center"/>
            </w:pPr>
            <w:r>
              <w:t>&gt;98%</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&lt;0.01%</w:t>
            </w:r>
          </w:p>
        </w:tc>
        <w:tc>
          <w:tcPr>
            <w:tcW w:type="dxa" w:w="1463"/>
            <w:shd w:val="clear" w:color="auto" w:fill="F2F2F2"/>
            <w:vAlign w:val="center"/>
          </w:tcPr>
          <w:p>
            <w:pPr>
              <w:jc w:val="center"/>
            </w:pPr>
            <w:r>
              <w:t>&lt;0.01%</w:t>
            </w:r>
          </w:p>
        </w:tc>
      </w:tr>
      <w:tr>
        <w:tc>
          <w:tcPr>
            <w:tcW w:type="dxa" w:w="1463"/>
            <w:shd w:val="clear" w:color="auto" w:fill="E2E2E2"/>
            <w:vAlign w:val="center"/>
          </w:tcPr>
          <w:p>
            <w:pPr>
              <w:jc w:val="center"/>
            </w:pPr>
            <w:r>
              <w:t>Sex chromosomal</w:t>
              <w:br/>
              <w:t>aneuploidies</w:t>
            </w:r>
          </w:p>
        </w:tc>
        <w:tc>
          <w:tcPr>
            <w:tcW w:type="dxa" w:w="1463"/>
            <w:shd w:val="clear" w:color="auto" w:fill="F2F2F2"/>
            <w:vAlign w:val="center"/>
          </w:tcPr>
          <w:p>
            <w:pPr>
              <w:jc w:val="center"/>
            </w:pPr>
            <w:r>
              <w:t>&gt;97%</w:t>
            </w:r>
          </w:p>
        </w:tc>
        <w:tc>
          <w:tcPr>
            <w:tcW w:type="dxa" w:w="1463"/>
            <w:shd w:val="clear" w:color="auto" w:fill="F2F2F2"/>
            <w:vAlign w:val="center"/>
          </w:tcPr>
          <w:p>
            <w:pPr>
              <w:jc w:val="center"/>
            </w:pPr>
            <w:r>
              <w:t>&gt;97%</w:t>
            </w:r>
          </w:p>
        </w:tc>
        <w:tc>
          <w:tcPr>
            <w:tcW w:type="dxa" w:w="1463"/>
            <w:shd w:val="clear" w:color="auto" w:fill="F2F2F2"/>
            <w:vAlign w:val="center"/>
          </w:tcPr>
          <w:p>
            <w:pPr>
              <w:jc w:val="center"/>
            </w:pPr>
            <w:r>
              <w:t>&gt;97%</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0.0014%</w:t>
            </w:r>
          </w:p>
        </w:tc>
        <w:tc>
          <w:tcPr>
            <w:tcW w:type="dxa" w:w="1463"/>
            <w:shd w:val="clear" w:color="auto" w:fill="F2F2F2"/>
            <w:vAlign w:val="center"/>
          </w:tcPr>
          <w:p>
            <w:pPr>
              <w:jc w:val="center"/>
            </w:pPr>
            <w:r>
              <w:t>&lt;0.01%</w:t>
            </w:r>
          </w:p>
        </w:tc>
      </w:tr>
      <w:tr>
        <w:tc>
          <w:tcPr>
            <w:tcW w:type="dxa" w:w="1463"/>
            <w:shd w:val="clear" w:color="auto" w:fill="E2E2E2"/>
            <w:vAlign w:val="center"/>
          </w:tcPr>
          <w:p>
            <w:pPr>
              <w:jc w:val="center"/>
            </w:pPr>
            <w:r>
              <w:t>Other autosomal</w:t>
              <w:br/>
              <w:t>aneuploidies</w:t>
            </w:r>
          </w:p>
        </w:tc>
        <w:tc>
          <w:tcPr>
            <w:tcW w:type="dxa" w:w="1463"/>
            <w:shd w:val="clear" w:color="auto" w:fill="F2F2F2"/>
            <w:vAlign w:val="center"/>
          </w:tcPr>
          <w:p>
            <w:pPr>
              <w:jc w:val="center"/>
            </w:pPr>
            <w:r>
              <w:t>&gt;95%</w:t>
            </w:r>
          </w:p>
        </w:tc>
        <w:tc>
          <w:tcPr>
            <w:tcW w:type="dxa" w:w="1463"/>
            <w:shd w:val="clear" w:color="auto" w:fill="F2F2F2"/>
            <w:vAlign w:val="center"/>
          </w:tcPr>
          <w:p>
            <w:pPr>
              <w:jc w:val="center"/>
            </w:pPr>
            <w:r>
              <w:t>&gt;95%</w:t>
            </w:r>
          </w:p>
        </w:tc>
        <w:tc>
          <w:tcPr>
            <w:tcW w:type="dxa" w:w="1463"/>
            <w:shd w:val="clear" w:color="auto" w:fill="F2F2F2"/>
            <w:vAlign w:val="center"/>
          </w:tcPr>
          <w:p>
            <w:pPr>
              <w:jc w:val="center"/>
            </w:pPr>
            <w:r>
              <w:t>&gt;95%</w:t>
            </w:r>
          </w:p>
        </w:tc>
        <w:tc>
          <w:tcPr>
            <w:tcW w:type="dxa" w:w="1463"/>
            <w:shd w:val="clear" w:color="auto" w:fill="F2F2F2"/>
            <w:vAlign w:val="center"/>
          </w:tcPr>
          <w:p>
            <w:pPr>
              <w:jc w:val="center"/>
            </w:pPr>
            <w:r>
              <w:t>&gt;99.99%</w:t>
            </w:r>
          </w:p>
        </w:tc>
        <w:tc>
          <w:tcPr>
            <w:tcW w:type="dxa" w:w="1463"/>
            <w:shd w:val="clear" w:color="auto" w:fill="F2F2F2"/>
            <w:vAlign w:val="center"/>
          </w:tcPr>
          <w:p>
            <w:pPr>
              <w:jc w:val="center"/>
            </w:pPr>
            <w:r>
              <w:t>&lt;0.01%</w:t>
            </w:r>
          </w:p>
        </w:tc>
        <w:tc>
          <w:tcPr>
            <w:tcW w:type="dxa" w:w="1463"/>
            <w:shd w:val="clear" w:color="auto" w:fill="F2F2F2"/>
            <w:vAlign w:val="center"/>
          </w:tcPr>
          <w:p>
            <w:pPr>
              <w:jc w:val="center"/>
            </w:pPr>
            <w:r>
              <w:t>&lt;0.01%</w:t>
            </w:r>
          </w:p>
        </w:tc>
      </w:tr>
    </w:tbl>
    <w:p/>
    <w:p>
      <w:pPr>
        <w:jc w:val="center"/>
      </w:pPr>
      <w:r>
        <w:t>PPV – Positive predictive value; NPV – Negative predictive value; FPR – False positive rate; FNR – False negative rate</w:t>
      </w:r>
    </w:p>
    <w:p>
      <w:r>
        <w:br w:type="page"/>
      </w:r>
    </w:p>
    <w:p>
      <w:pPr>
        <w:jc w:val="center"/>
      </w:pPr>
      <w:r>
        <w:drawing>
          <wp:inline xmlns:a="http://schemas.openxmlformats.org/drawingml/2006/main" xmlns:pic="http://schemas.openxmlformats.org/drawingml/2006/picture">
            <wp:extent cx="5943600" cy="1051560"/>
            <wp:docPr id="6" name="Picture 6"/>
            <wp:cNvGraphicFramePr>
              <a:graphicFrameLocks noChangeAspect="1"/>
            </wp:cNvGraphicFramePr>
            <a:graphic>
              <a:graphicData uri="http://schemas.openxmlformats.org/drawingml/2006/picture">
                <pic:pic>
                  <pic:nvPicPr>
                    <pic:cNvPr id="0" name="tmpirm5iig0.png"/>
                    <pic:cNvPicPr/>
                  </pic:nvPicPr>
                  <pic:blipFill>
                    <a:blip r:embed="rId10"/>
                    <a:stretch>
                      <a:fillRect/>
                    </a:stretch>
                  </pic:blipFill>
                  <pic:spPr>
                    <a:xfrm>
                      <a:off x="0" y="0"/>
                      <a:ext cx="5943600" cy="1051560"/>
                    </a:xfrm>
                    <a:prstGeom prst="rect"/>
                  </pic:spPr>
                </pic:pic>
              </a:graphicData>
            </a:graphic>
          </wp:inline>
        </w:drawing>
      </w:r>
    </w:p>
    <w:p>
      <w:pPr>
        <w:pBdr>
          <w:bottom w:val="single" w:sz="8" w:space="128" w:color="1F497D"/>
        </w:pBdr>
      </w:pPr>
      <w:r>
        <w:rPr>
          <w:rFonts w:ascii="Gill Sans MT Bold" w:hAnsi="Gill Sans MT Bold"/>
          <w:color w:val="1F497D"/>
          <w:sz w:val="30"/>
        </w:rPr>
        <w:t>Prenatal Testing Algorithm</w:t>
      </w:r>
    </w:p>
    <w:p>
      <w:pPr>
        <w:jc w:val="center"/>
      </w:pPr>
      <w:r>
        <w:drawing>
          <wp:inline xmlns:a="http://schemas.openxmlformats.org/drawingml/2006/main" xmlns:pic="http://schemas.openxmlformats.org/drawingml/2006/picture">
            <wp:extent cx="5943600" cy="2743200"/>
            <wp:docPr id="7" name="Picture 7"/>
            <wp:cNvGraphicFramePr>
              <a:graphicFrameLocks noChangeAspect="1"/>
            </wp:cNvGraphicFramePr>
            <a:graphic>
              <a:graphicData uri="http://schemas.openxmlformats.org/drawingml/2006/picture">
                <pic:pic>
                  <pic:nvPicPr>
                    <pic:cNvPr id="0" name="tmpny4rgdce.png"/>
                    <pic:cNvPicPr/>
                  </pic:nvPicPr>
                  <pic:blipFill>
                    <a:blip r:embed="rId11"/>
                    <a:stretch>
                      <a:fillRect/>
                    </a:stretch>
                  </pic:blipFill>
                  <pic:spPr>
                    <a:xfrm>
                      <a:off x="0" y="0"/>
                      <a:ext cx="5943600" cy="2743200"/>
                    </a:xfrm>
                    <a:prstGeom prst="rect"/>
                  </pic:spPr>
                </pic:pic>
              </a:graphicData>
            </a:graphic>
          </wp:inline>
        </w:drawing>
      </w:r>
    </w:p>
    <w:p>
      <w:pPr>
        <w:pBdr>
          <w:bottom w:val="single" w:sz="8" w:space="128" w:color="1F497D"/>
        </w:pBdr>
      </w:pPr>
      <w:r>
        <w:rPr>
          <w:rFonts w:ascii="Gill Sans MT Bold" w:hAnsi="Gill Sans MT Bold"/>
          <w:color w:val="1F497D"/>
          <w:sz w:val="30"/>
        </w:rPr>
        <w:t>References</w:t>
      </w:r>
    </w:p>
    <w:p>
      <w:r>
        <w:t xml:space="preserve">1. </w:t>
      </w:r>
      <w:r>
        <w:t xml:space="preserve">Bianchi DW, Platt LD, Goldberg JD, Abuhamad AZ, Sehnert AJ, Rava RP. Genome-wide fetal aneuploidy detection by maternal plasma DNA sequencing. </w:t>
      </w:r>
      <w:r>
        <w:rPr>
          <w:i/>
        </w:rPr>
        <w:t>Obstetrics &amp; Gynecology</w:t>
      </w:r>
      <w:r>
        <w:t>. 2012 May 1;119(5):890-901.</w:t>
      </w:r>
    </w:p>
    <w:p>
      <w:r>
        <w:t xml:space="preserve">2. </w:t>
      </w:r>
      <w:r>
        <w:t xml:space="preserve">Chiu RW, Akolekar R, Zheng YW, Leung TY, Sun H, Chan KA, Lun FM, Go AT, Lau ET, To WW, Leung WC. Non-invasive prenatal assessment of trisomy 21 by multiplexed maternal plasma DNA sequencing: large scale validity study. </w:t>
      </w:r>
      <w:r>
        <w:rPr>
          <w:i/>
        </w:rPr>
        <w:t>Bmj</w:t>
      </w:r>
      <w:r>
        <w:t>. 2011 Jan 11;342:c7401.</w:t>
      </w:r>
    </w:p>
    <w:p>
      <w:r>
        <w:t xml:space="preserve">3. </w:t>
      </w:r>
      <w:r>
        <w:t xml:space="preserve">Chiu RW, Lo YM. Noninvasive prenatal diagnosis empowered by high‐throughput sequencing. </w:t>
      </w:r>
      <w:r>
        <w:rPr>
          <w:i/>
        </w:rPr>
        <w:t>Prenatal diagnosis</w:t>
      </w:r>
      <w:r>
        <w:t>. 2012 Apr 1;32(4):401-6.</w:t>
      </w:r>
    </w:p>
    <w:p>
      <w:r>
        <w:t xml:space="preserve">4. </w:t>
      </w:r>
      <w:r>
        <w:t xml:space="preserve">Dugoff L. Cell-Free DNA Screening for Fetal Aneuploidy. </w:t>
      </w:r>
      <w:r>
        <w:rPr>
          <w:i/>
        </w:rPr>
        <w:t>Topics in Obstetrics &amp; Gynecology</w:t>
      </w:r>
      <w:r>
        <w:t>. 2017 Jan 15;37(1):1-7.</w:t>
      </w:r>
    </w:p>
    <w:p>
      <w:r>
        <w:rPr>
          <w:b/>
          <w:color w:val="1F497D"/>
        </w:rPr>
        <w:t>This report has been reviewed and approved by:</w:t>
      </w:r>
    </w:p>
    <w:tbl>
      <w:tblPr>
        <w:tblW w:type="auto" w:w="0"/>
        <w:tblLook w:firstColumn="1" w:firstRow="1" w:lastColumn="0" w:lastRow="0" w:noHBand="0" w:noVBand="1" w:val="04A0"/>
      </w:tblPr>
      <w:tblGrid>
        <w:gridCol w:w="5120"/>
        <w:gridCol w:w="5120"/>
      </w:tblGrid>
      <w:tr>
        <w:tc>
          <w:tcPr>
            <w:tcW w:type="dxa" w:w="5120"/>
          </w:tcPr>
          <w:p>
            <w:r>
              <w:drawing>
                <wp:inline xmlns:a="http://schemas.openxmlformats.org/drawingml/2006/main" xmlns:pic="http://schemas.openxmlformats.org/drawingml/2006/picture">
                  <wp:extent cx="1371600" cy="570953"/>
                  <wp:docPr id="8" name="Picture 8"/>
                  <wp:cNvGraphicFramePr>
                    <a:graphicFrameLocks noChangeAspect="1"/>
                  </wp:cNvGraphicFramePr>
                  <a:graphic>
                    <a:graphicData uri="http://schemas.openxmlformats.org/drawingml/2006/picture">
                      <pic:pic>
                        <pic:nvPicPr>
                          <pic:cNvPr id="0" name="tmpjyday5a_.png"/>
                          <pic:cNvPicPr/>
                        </pic:nvPicPr>
                        <pic:blipFill>
                          <a:blip r:embed="rId12"/>
                          <a:stretch>
                            <a:fillRect/>
                          </a:stretch>
                        </pic:blipFill>
                        <pic:spPr>
                          <a:xfrm>
                            <a:off x="0" y="0"/>
                            <a:ext cx="1371600" cy="570953"/>
                          </a:xfrm>
                          <a:prstGeom prst="rect"/>
                        </pic:spPr>
                      </pic:pic>
                    </a:graphicData>
                  </a:graphic>
                </wp:inline>
              </w:drawing>
            </w:r>
          </w:p>
        </w:tc>
        <w:tc>
          <w:tcPr>
            <w:tcW w:type="dxa" w:w="5120"/>
          </w:tcPr>
          <w:p>
            <w:r>
              <w:drawing>
                <wp:inline xmlns:a="http://schemas.openxmlformats.org/drawingml/2006/main" xmlns:pic="http://schemas.openxmlformats.org/drawingml/2006/picture">
                  <wp:extent cx="1371600" cy="637953"/>
                  <wp:docPr id="9" name="Picture 9"/>
                  <wp:cNvGraphicFramePr>
                    <a:graphicFrameLocks noChangeAspect="1"/>
                  </wp:cNvGraphicFramePr>
                  <a:graphic>
                    <a:graphicData uri="http://schemas.openxmlformats.org/drawingml/2006/picture">
                      <pic:pic>
                        <pic:nvPicPr>
                          <pic:cNvPr id="0" name="tmp4eurqpg2.png"/>
                          <pic:cNvPicPr/>
                        </pic:nvPicPr>
                        <pic:blipFill>
                          <a:blip r:embed="rId13"/>
                          <a:stretch>
                            <a:fillRect/>
                          </a:stretch>
                        </pic:blipFill>
                        <pic:spPr>
                          <a:xfrm>
                            <a:off x="0" y="0"/>
                            <a:ext cx="1371600" cy="637953"/>
                          </a:xfrm>
                          <a:prstGeom prst="rect"/>
                        </pic:spPr>
                      </pic:pic>
                    </a:graphicData>
                  </a:graphic>
                </wp:inline>
              </w:drawing>
            </w:r>
          </w:p>
        </w:tc>
      </w:tr>
      <w:tr>
        <w:tc>
          <w:tcPr>
            <w:tcW w:type="dxa" w:w="5120"/>
          </w:tcPr>
          <w:p>
            <w:pPr>
              <w:jc w:val="center"/>
            </w:pPr>
            <w:r>
              <w:t>Dr. Sachin D. Honguntikar</w:t>
            </w:r>
          </w:p>
        </w:tc>
        <w:tc>
          <w:tcPr>
            <w:tcW w:type="dxa" w:w="5120"/>
          </w:tcPr>
          <w:p>
            <w:pPr>
              <w:jc w:val="center"/>
            </w:pPr>
            <w:r>
              <w:t>Dr. Suriyakumar.G</w:t>
            </w:r>
          </w:p>
        </w:tc>
      </w:tr>
      <w:tr>
        <w:tc>
          <w:tcPr>
            <w:tcW w:type="dxa" w:w="5120"/>
          </w:tcPr>
          <w:p>
            <w:pPr>
              <w:jc w:val="center"/>
            </w:pPr>
            <w:r>
              <w:t>Head – Anderson Clinical Genetics</w:t>
            </w:r>
          </w:p>
        </w:tc>
        <w:tc>
          <w:tcPr>
            <w:tcW w:type="dxa" w:w="5120"/>
          </w:tcPr>
          <w:p>
            <w:pPr>
              <w:jc w:val="center"/>
            </w:pPr>
            <w:r>
              <w:t>Director</w:t>
            </w:r>
          </w:p>
        </w:tc>
      </w:tr>
    </w:tbl>
    <w:sectPr w:rsidR="00FC693F" w:rsidRPr="0006063C" w:rsidSect="00034616">
      <w:footerReference w:type="default" r:id="rId9"/>
      <w:pgSz w:w="12240" w:h="15840"/>
      <w:pgMar w:top="800" w:right="1000" w:bottom="1000" w:left="1000" w:header="720" w:footer="10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ill Sans MT" w:hAnsi="Gill Sans MT"/>
        <w:sz w:val="22"/>
      </w:rPr>
      <w:t xml:space="preserve">Page </w:t>
    </w:r>
    <w:fldChar w:fldCharType="begin"/>
    <w:instrText xml:space="preserve">PAGE</w:instrText>
    <w:fldChar w:fldCharType="separate"/>
    <w:fldChar w:fldCharType="end"/>
    <w:r>
      <w:rPr>
        <w:rFonts w:ascii="Gill Sans MT" w:hAnsi="Gill Sans MT"/>
        <w:sz w:val="22"/>
      </w:rPr>
      <w:t xml:space="preserve"> of 6</w:t>
      <w:br/>
    </w:r>
    <w:r>
      <w:drawing>
        <wp:inline xmlns:a="http://schemas.openxmlformats.org/drawingml/2006/main" xmlns:pic="http://schemas.openxmlformats.org/drawingml/2006/picture">
          <wp:extent cx="5943600" cy="832745"/>
          <wp:docPr id="1" name="Picture 1"/>
          <wp:cNvGraphicFramePr>
            <a:graphicFrameLocks noChangeAspect="1"/>
          </wp:cNvGraphicFramePr>
          <a:graphic>
            <a:graphicData uri="http://schemas.openxmlformats.org/drawingml/2006/picture">
              <pic:pic>
                <pic:nvPicPr>
                  <pic:cNvPr id="0" name="tmpnvubfiti.png"/>
                  <pic:cNvPicPr/>
                </pic:nvPicPr>
                <pic:blipFill>
                  <a:blip r:embed="rId1"/>
                  <a:stretch>
                    <a:fillRect/>
                  </a:stretch>
                </pic:blipFill>
                <pic:spPr>
                  <a:xfrm>
                    <a:off x="0" y="0"/>
                    <a:ext cx="5943600" cy="83274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