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40"/>
          <w:szCs w:val="40"/>
        </w:rPr>
        <w:t xml:space="preserve">INFORME DETALLADO</w:t>
      </w:r>
    </w:p>
    <w:p>
      <w:pPr>
        <w:spacing w:after="400"/>
        <w:jc w:val="center"/>
      </w:pPr>
      <w:r>
        <w:rPr>
          <w:rFonts w:ascii="Arial" w:cs="Arial" w:eastAsia="Arial" w:hAnsi="Arial"/>
          <w:b/>
          <w:bCs/>
          <w:color w:val="2E75B6"/>
          <w:sz w:val="32"/>
          <w:szCs w:val="32"/>
        </w:rPr>
        <w:t xml:space="preserve">Servicios Digitales y Almacenamiento en la Nube</w:t>
      </w:r>
    </w:p>
    <w:p>
      <w:pPr>
        <w:pBdr>
          <w:bottom w:val="single" w:color="5B9BD5" w:sz="12" w:space="1"/>
        </w:pBdr>
        <w:spacing w:after="200"/>
        <w:jc w:val="center"/>
      </w:pPr>
    </w:p>
    <w:p>
      <w:pPr>
        <w:spacing w:after="100" w:before="400"/>
        <w:jc w:val="center"/>
      </w:pPr>
      <w:r>
        <w:rPr>
          <w:rFonts w:ascii="Arial" w:cs="Arial" w:eastAsia="Arial" w:hAnsi="Arial"/>
          <w:color w:val="595959"/>
          <w:sz w:val="22"/>
          <w:szCs w:val="22"/>
        </w:rPr>
        <w:t xml:space="preserve">Análisis completo de conceptos, modelos, proveedores,</w:t>
      </w:r>
    </w:p>
    <w:p>
      <w:pPr>
        <w:spacing w:after="100"/>
        <w:jc w:val="center"/>
      </w:pPr>
      <w:r>
        <w:rPr>
          <w:rFonts w:ascii="Arial" w:cs="Arial" w:eastAsia="Arial" w:hAnsi="Arial"/>
          <w:color w:val="595959"/>
          <w:sz w:val="22"/>
          <w:szCs w:val="22"/>
        </w:rPr>
        <w:t xml:space="preserve">comparativas, seguridad y tendencias 2026</w:t>
      </w:r>
    </w:p>
    <w:p>
      <w:pPr>
        <w:spacing w:before="800"/>
        <w:jc w:val="center"/>
      </w:pPr>
      <w:r>
        <w:rPr>
          <w:rFonts w:ascii="Arial" w:cs="Arial" w:eastAsia="Arial" w:hAnsi="Arial"/>
          <w:color w:val="1A1A1A"/>
          <w:sz w:val="24"/>
          <w:szCs w:val="24"/>
        </w:rPr>
        <w:t xml:space="preserve">Octubre 2026</w:t>
      </w:r>
    </w:p>
    <w:p>
      <w:pPr>
        <w:spacing w:before="100"/>
        <w:jc w:val="center"/>
      </w:pPr>
      <w:r>
        <w:rPr>
          <w:rFonts w:ascii="Arial" w:cs="Arial" w:eastAsia="Arial" w:hAnsi="Arial"/>
          <w:i/>
          <w:iCs/>
          <w:color w:val="595959"/>
          <w:sz w:val="20"/>
          <w:szCs w:val="20"/>
        </w:rPr>
        <w:t xml:space="preserve">Documento técnico de referencia</w:t>
      </w:r>
    </w:p>
    <w:p>
      <w:pPr>
        <w:pageBreakBefore/>
      </w:pPr>
    </w:p>
    <w:p>
      <w:pPr>
        <w:pStyle w:val="Heading1"/>
      </w:pPr>
      <w:r>
        <w:rPr>
          <w:b/>
          <w:bCs/>
        </w:rPr>
        <w:t xml:space="preserve">1. Introducción</w:t>
      </w:r>
    </w:p>
    <w:p>
      <w:pPr>
        <w:spacing w:after="160"/>
      </w:pPr>
      <w:r>
        <w:rPr>
          <w:sz w:val="22"/>
          <w:szCs w:val="22"/>
        </w:rPr>
        <w:t xml:space="preserve">Los servicios digitales se han convertido en el eje central de la economía y la vida cotidiana en 2026. Un servicio digital es cualquier prestación que se ofrece, consume o gestiona a través de internet u otras redes digitales. Son intangibles, accesibles desde cualquier dispositivo con conexión, altamente automatizados y generan valor sin necesidad de presencia física.</w:t>
      </w:r>
    </w:p>
    <w:p>
      <w:pPr>
        <w:spacing w:after="160"/>
      </w:pPr>
      <w:r>
        <w:rPr>
          <w:sz w:val="22"/>
          <w:szCs w:val="22"/>
        </w:rPr>
        <w:t xml:space="preserve">Dentro de este ecosistema, el almacenamiento en la nube (cloud storage) ocupa un lugar privilegiado: permite guardar, sincronizar, compartir y respaldar archivos en servidores remotos gestionados por un proveedor, eliminando la dependencia exclusiva de dispositivos locales. Forma parte del modelo más amplio de computación en la nube (cloud computing).</w:t>
      </w:r>
    </w:p>
    <w:p>
      <w:pPr>
        <w:spacing w:after="160"/>
      </w:pPr>
      <w:r>
        <w:rPr>
          <w:sz w:val="22"/>
          <w:szCs w:val="22"/>
        </w:rPr>
        <w:t xml:space="preserve">Este informe ofrece una visión completa y actualizada de ambos conceptos: definiciones, tipologías, modelos de servicio (IaaS, PaaS, SaaS), comparativa de los principales proveedores de almacenamiento, aspectos de seguridad, tendencias de mercado y recomendaciones prácticas.</w:t>
      </w:r>
    </w:p>
    <w:p>
      <w:pPr>
        <w:pStyle w:val="Heading1"/>
      </w:pPr>
      <w:r>
        <w:rPr>
          <w:b/>
          <w:bCs/>
        </w:rPr>
        <w:t xml:space="preserve">2. ¿Qué son los Servicios Digitales?</w:t>
      </w:r>
    </w:p>
    <w:p>
      <w:pPr>
        <w:spacing w:after="160"/>
      </w:pPr>
      <w:r>
        <w:rPr>
          <w:sz w:val="22"/>
          <w:szCs w:val="22"/>
        </w:rPr>
        <w:t xml:space="preserve">Según definiciones del sector público y privado, un servicio digital se presta total o parcialmente a través de internet, es no presencial, utiliza intensivamente tecnologías digitales y genera valor para el usuario (ciudadano, consumidor o empresa). A diferencia de los productos físicos, estos servicios son escalables, actualizables de forma continua y accesibles 24/7.</w:t>
      </w:r>
    </w:p>
    <w:p>
      <w:pPr>
        <w:pStyle w:val="Heading2"/>
      </w:pPr>
      <w:r>
        <w:rPr>
          <w:b/>
          <w:bCs/>
        </w:rPr>
        <w:t xml:space="preserve">2.1 Tipos principales de servicios digitales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Tipo de Servicio</w:t>
            </w:r>
          </w:p>
        </w:tc>
        <w:tc>
          <w:tcPr>
            <w:tcW w:type="dxa" w:w="384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Descripción</w:t>
            </w:r>
          </w:p>
        </w:tc>
        <w:tc>
          <w:tcPr>
            <w:tcW w:type="dxa" w:w="384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Ejemplos</w:t>
            </w:r>
          </w:p>
        </w:tc>
      </w:tr>
      <w:tr>
        <w:tc>
          <w:tcPr>
            <w:tcW w:type="dxa" w:w="24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Comunicación</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Interacción e intercambio de información en tiempo real o asíncrono</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Email, WhatsApp, Zoom, Slack, Microsoft Teams</w:t>
            </w:r>
          </w:p>
        </w:tc>
      </w:tr>
      <w:tr>
        <w:tc>
          <w:tcPr>
            <w:tcW w:type="dxa" w:w="24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Entretenimiento</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Contenido multimedia bajo demanda</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Netflix, Spotify, YouTube, Disney+, videojuegos en línea</w:t>
            </w:r>
          </w:p>
        </w:tc>
      </w:tr>
      <w:tr>
        <w:tc>
          <w:tcPr>
            <w:tcW w:type="dxa" w:w="24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Financieros</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Gestión de dinero y transacciones digitales</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Banca móvil, PayPal, fintechs, apps de inversión</w:t>
            </w:r>
          </w:p>
        </w:tc>
      </w:tr>
      <w:tr>
        <w:tc>
          <w:tcPr>
            <w:tcW w:type="dxa" w:w="24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Productividad</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Herramientas para trabajo y organización personal</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Google Workspace, Microsoft 365, Notion, Trello</w:t>
            </w:r>
          </w:p>
        </w:tc>
      </w:tr>
      <w:tr>
        <w:tc>
          <w:tcPr>
            <w:tcW w:type="dxa" w:w="24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Gubernamentales</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Trámites y servicios públicos digitales</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Portales de gobierno, SAT digital, citas médicas online</w:t>
            </w:r>
          </w:p>
        </w:tc>
      </w:tr>
      <w:tr>
        <w:tc>
          <w:tcPr>
            <w:tcW w:type="dxa" w:w="24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E-commerce</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Compra y venta de productos y servicios en línea</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Amazon, Mercado Libre, Shopify, plataformas de delivery</w:t>
            </w:r>
          </w:p>
        </w:tc>
      </w:tr>
      <w:tr>
        <w:tc>
          <w:tcPr>
            <w:tcW w:type="dxa" w:w="24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Educación</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Aprendizaje a distancia y recursos formativos</w:t>
            </w:r>
          </w:p>
        </w:tc>
        <w:tc>
          <w:tcPr>
            <w:tcW w:type="dxa" w:w="384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Coursera, Google Classroom, Moodle, plataformas de e-learning</w:t>
            </w:r>
          </w:p>
        </w:tc>
      </w:tr>
      <w:tr>
        <w:tc>
          <w:tcPr>
            <w:tcW w:type="dxa" w:w="24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Almacenamiento</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Guardado y sincronización de archivos remotos</w:t>
            </w:r>
          </w:p>
        </w:tc>
        <w:tc>
          <w:tcPr>
            <w:tcW w:type="dxa" w:w="384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Google Drive, Dropbox, OneDrive, pCloud, MEGA</w:t>
            </w:r>
          </w:p>
        </w:tc>
      </w:tr>
    </w:tbl>
    <w:p>
      <w:pPr>
        <w:pStyle w:val="Heading2"/>
      </w:pPr>
      <w:r>
        <w:rPr>
          <w:b/>
          <w:bCs/>
        </w:rPr>
        <w:t xml:space="preserve">2.2 Beneficios clave de los servicios digitales</w:t>
      </w:r>
    </w:p>
    <w:p>
      <w:pPr>
        <w:pStyle w:val="ListParagraph"/>
        <w:numPr>
          <w:ilvl w:val="0"/>
          <w:numId w:val="2"/>
        </w:numPr>
      </w:pPr>
      <w:r>
        <w:rPr>
          <w:sz w:val="22"/>
          <w:szCs w:val="22"/>
        </w:rPr>
        <w:t xml:space="preserve">Accesibilidad: disponibles desde cualquier lugar y dispositivo con internet.</w:t>
      </w:r>
    </w:p>
    <w:p>
      <w:pPr>
        <w:pStyle w:val="ListParagraph"/>
        <w:numPr>
          <w:ilvl w:val="0"/>
          <w:numId w:val="2"/>
        </w:numPr>
      </w:pPr>
      <w:r>
        <w:rPr>
          <w:sz w:val="22"/>
          <w:szCs w:val="22"/>
        </w:rPr>
        <w:t xml:space="preserve">Escalabilidad: se adaptan fácilmente al crecimiento de usuarios o demanda.</w:t>
      </w:r>
    </w:p>
    <w:p>
      <w:pPr>
        <w:pStyle w:val="ListParagraph"/>
        <w:numPr>
          <w:ilvl w:val="0"/>
          <w:numId w:val="2"/>
        </w:numPr>
      </w:pPr>
      <w:r>
        <w:rPr>
          <w:sz w:val="22"/>
          <w:szCs w:val="22"/>
        </w:rPr>
        <w:t xml:space="preserve">Reducción de costos: eliminan o minimizan gastos de infraestructura física.</w:t>
      </w:r>
    </w:p>
    <w:p>
      <w:pPr>
        <w:pStyle w:val="ListParagraph"/>
        <w:numPr>
          <w:ilvl w:val="0"/>
          <w:numId w:val="2"/>
        </w:numPr>
      </w:pPr>
      <w:r>
        <w:rPr>
          <w:sz w:val="22"/>
          <w:szCs w:val="22"/>
        </w:rPr>
        <w:t xml:space="preserve">Actualización continua: el proveedor se encarga de mejoras y seguridad.</w:t>
      </w:r>
    </w:p>
    <w:p>
      <w:pPr>
        <w:pStyle w:val="ListParagraph"/>
        <w:numPr>
          <w:ilvl w:val="0"/>
          <w:numId w:val="2"/>
        </w:numPr>
      </w:pPr>
      <w:r>
        <w:rPr>
          <w:sz w:val="22"/>
          <w:szCs w:val="22"/>
        </w:rPr>
        <w:t xml:space="preserve">Colaboración en tiempo real: permiten trabajo simultáneo entre equipos dispersos.</w:t>
      </w:r>
    </w:p>
    <w:p>
      <w:pPr>
        <w:pStyle w:val="ListParagraph"/>
        <w:numPr>
          <w:ilvl w:val="0"/>
          <w:numId w:val="2"/>
        </w:numPr>
        <w:spacing w:after="160"/>
      </w:pPr>
      <w:r>
        <w:rPr>
          <w:sz w:val="22"/>
          <w:szCs w:val="22"/>
        </w:rPr>
        <w:t xml:space="preserve">Automatización e IA: integran cada vez más capacidades inteligentes (recomendaciones, chatbots, análisis predictivo).</w:t>
      </w:r>
    </w:p>
    <w:p>
      <w:pPr>
        <w:pStyle w:val="Heading1"/>
      </w:pPr>
      <w:r>
        <w:rPr>
          <w:b/>
          <w:bCs/>
        </w:rPr>
        <w:t xml:space="preserve">3. Modelos de Servicios en la Nube (Cloud Computing)</w:t>
      </w:r>
    </w:p>
    <w:p>
      <w:pPr>
        <w:spacing w:after="160"/>
      </w:pPr>
      <w:r>
        <w:rPr>
          <w:sz w:val="22"/>
          <w:szCs w:val="22"/>
        </w:rPr>
        <w:t xml:space="preserve">La computación en la nube se estructura en tres modelos principales de servicio, que difieren en el nivel de control y responsabilidad que asume el usuario frente al proveedor:</w:t>
      </w:r>
    </w:p>
    <w:p>
      <w:pPr>
        <w:pStyle w:val="Heading2"/>
      </w:pPr>
      <w:r>
        <w:rPr>
          <w:b/>
          <w:bCs/>
        </w:rPr>
        <w:t xml:space="preserve">3.1 IaaS – Infraestructura como Servicio</w:t>
      </w:r>
    </w:p>
    <w:p>
      <w:pPr>
        <w:spacing w:after="120"/>
      </w:pPr>
      <w:r>
        <w:rPr>
          <w:sz w:val="22"/>
          <w:szCs w:val="22"/>
        </w:rPr>
        <w:t xml:space="preserve">Proporciona recursos informáticos básicos virtualizados: servidores, almacenamiento, redes y virtualización. El cliente gestiona el sistema operativo, middleware, aplicaciones y datos. Es ideal para empresas que necesitan control y flexibilidad.</w:t>
      </w:r>
    </w:p>
    <w:p>
      <w:pPr>
        <w:spacing w:after="80"/>
      </w:pPr>
      <w:r>
        <w:rPr>
          <w:b/>
          <w:bCs/>
          <w:sz w:val="22"/>
          <w:szCs w:val="22"/>
        </w:rPr>
        <w:t xml:space="preserve">Ejemplos principales: </w:t>
      </w:r>
      <w:r>
        <w:rPr>
          <w:sz w:val="22"/>
          <w:szCs w:val="22"/>
        </w:rPr>
        <w:t xml:space="preserve">Amazon Web Services (EC2, S3), Microsoft Azure (Virtual Machines), Google Cloud (Compute Engine), DigitalOcean, OVHcloud.</w:t>
      </w:r>
    </w:p>
    <w:p>
      <w:pPr>
        <w:spacing w:after="160"/>
      </w:pPr>
      <w:r>
        <w:rPr>
          <w:sz w:val="22"/>
          <w:szCs w:val="22"/>
        </w:rPr>
        <w:t xml:space="preserve">Casos de uso: alojamiento de sitios web complejos, entornos de desarrollo y prueba, big data, machine learning, disaster recovery.</w:t>
      </w:r>
    </w:p>
    <w:p>
      <w:pPr>
        <w:pStyle w:val="Heading2"/>
      </w:pPr>
      <w:r>
        <w:rPr>
          <w:b/>
          <w:bCs/>
        </w:rPr>
        <w:t xml:space="preserve">3.2 PaaS – Plataforma como Servicio</w:t>
      </w:r>
    </w:p>
    <w:p>
      <w:pPr>
        <w:spacing w:after="120"/>
      </w:pPr>
      <w:r>
        <w:rPr>
          <w:sz w:val="22"/>
          <w:szCs w:val="22"/>
        </w:rPr>
        <w:t xml:space="preserve">Ofrece un entorno completo para desarrollar, desplegar y gestionar aplicaciones sin preocuparse por la infraestructura subyacente ni el sistema operativo. El proveedor gestiona hardware, SO y middleware; el cliente se centra en el código y los datos.</w:t>
      </w:r>
    </w:p>
    <w:p>
      <w:pPr>
        <w:spacing w:after="80"/>
      </w:pPr>
      <w:r>
        <w:rPr>
          <w:b/>
          <w:bCs/>
          <w:sz w:val="22"/>
          <w:szCs w:val="22"/>
        </w:rPr>
        <w:t xml:space="preserve">Ejemplos principales: </w:t>
      </w:r>
      <w:r>
        <w:rPr>
          <w:sz w:val="22"/>
          <w:szCs w:val="22"/>
        </w:rPr>
        <w:t xml:space="preserve">Google App Engine, Heroku, AWS Elastic Beanstalk, Microsoft Azure App Service, Red Hat OpenShift.</w:t>
      </w:r>
    </w:p>
    <w:p>
      <w:pPr>
        <w:spacing w:after="160"/>
      </w:pPr>
      <w:r>
        <w:rPr>
          <w:sz w:val="22"/>
          <w:szCs w:val="22"/>
        </w:rPr>
        <w:t xml:space="preserve">Casos de uso: desarrollo ágil de aplicaciones, CI/CD, microservicios, prototipado rápido.</w:t>
      </w:r>
    </w:p>
    <w:p>
      <w:pPr>
        <w:pStyle w:val="Heading2"/>
      </w:pPr>
      <w:r>
        <w:rPr>
          <w:b/>
          <w:bCs/>
        </w:rPr>
        <w:t xml:space="preserve">3.3 SaaS – Software como Servicio</w:t>
      </w:r>
    </w:p>
    <w:p>
      <w:pPr>
        <w:spacing w:after="120"/>
      </w:pPr>
      <w:r>
        <w:rPr>
          <w:sz w:val="22"/>
          <w:szCs w:val="22"/>
        </w:rPr>
        <w:t xml:space="preserve">Proporciona aplicaciones completas listas para usar a través de internet. El usuario solo gestiona sus datos y la configuración; el proveedor se encarga de todo lo demás (infraestructura, plataforma, actualizaciones y seguridad de la aplicación).</w:t>
      </w:r>
    </w:p>
    <w:p>
      <w:pPr>
        <w:spacing w:after="80"/>
      </w:pPr>
      <w:r>
        <w:rPr>
          <w:b/>
          <w:bCs/>
          <w:sz w:val="22"/>
          <w:szCs w:val="22"/>
        </w:rPr>
        <w:t xml:space="preserve">Ejemplos principales: </w:t>
      </w:r>
      <w:r>
        <w:rPr>
          <w:sz w:val="22"/>
          <w:szCs w:val="22"/>
        </w:rPr>
        <w:t xml:space="preserve">Google Workspace, Microsoft 365, Salesforce, Dropbox, Slack, Zoom, Netflix, Spotify, Notion.</w:t>
      </w:r>
    </w:p>
    <w:p>
      <w:pPr>
        <w:spacing w:after="160"/>
      </w:pPr>
      <w:r>
        <w:rPr>
          <w:sz w:val="22"/>
          <w:szCs w:val="22"/>
        </w:rPr>
        <w:t xml:space="preserve">Casos de uso: ofimática, CRM, colaboración, entretenimiento, almacenamiento de archivos personales y empresariales.</w:t>
      </w:r>
    </w:p>
    <w:p>
      <w:pPr>
        <w:pStyle w:val="Heading3"/>
      </w:pPr>
      <w:r>
        <w:rPr>
          <w:b/>
          <w:bCs/>
        </w:rPr>
        <w:t xml:space="preserve">Comparativa rápida de modelos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800"/>
        <w:gridCol w:w="2800"/>
        <w:gridCol w:w="2800"/>
      </w:tblGrid>
      <w:tr>
        <w:tc>
          <w:tcPr>
            <w:tcW w:type="dxa" w:w="168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Aspecto</w:t>
            </w:r>
          </w:p>
        </w:tc>
        <w:tc>
          <w:tcPr>
            <w:tcW w:type="dxa" w:w="2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IaaS</w:t>
            </w:r>
          </w:p>
        </w:tc>
        <w:tc>
          <w:tcPr>
            <w:tcW w:type="dxa" w:w="2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PaaS</w:t>
            </w:r>
          </w:p>
        </w:tc>
        <w:tc>
          <w:tcPr>
            <w:tcW w:type="dxa" w:w="2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SaaS</w:t>
            </w:r>
          </w:p>
        </w:tc>
      </w:tr>
      <w:tr>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Control del usuario</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Alto</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Medio</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Bajo</w:t>
            </w:r>
          </w:p>
        </w:tc>
      </w:tr>
      <w:tr>
        <w:tc>
          <w:tcPr>
            <w:tcW w:type="dxa" w:w="168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Gestiona el proveedor</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Hardware y virtualización</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Hardware + SO + middleware</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Todo (infra + plataforma + app)</w:t>
            </w:r>
          </w:p>
        </w:tc>
      </w:tr>
      <w:tr>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Gestiona el cliente</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SO, middleware, apps y datos</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Aplicaciones y datos</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Solo datos y configuración</w:t>
            </w:r>
          </w:p>
        </w:tc>
      </w:tr>
      <w:tr>
        <w:tc>
          <w:tcPr>
            <w:tcW w:type="dxa" w:w="168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Perfil típico</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Equipos de TI avanzados</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Desarrolladores</w:t>
            </w:r>
          </w:p>
        </w:tc>
        <w:tc>
          <w:tcPr>
            <w:tcW w:type="dxa" w:w="2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Usuarios finales / negocio</w:t>
            </w:r>
          </w:p>
        </w:tc>
      </w:tr>
      <w:tr>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Ejemplos</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AWS EC2, Azure VMs</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Heroku, App Engine</w:t>
            </w:r>
          </w:p>
        </w:tc>
        <w:tc>
          <w:tcPr>
            <w:tcW w:type="dxa" w:w="2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Gmail, Drive, Salesforce</w:t>
            </w:r>
          </w:p>
        </w:tc>
      </w:tr>
    </w:tbl>
    <w:p>
      <w:pPr>
        <w:pStyle w:val="Heading1"/>
      </w:pPr>
      <w:r>
        <w:rPr>
          <w:b/>
          <w:bCs/>
        </w:rPr>
        <w:t xml:space="preserve">4. Almacenamiento en la Nube: Análisis Detallado</w:t>
      </w:r>
    </w:p>
    <w:p>
      <w:pPr>
        <w:spacing w:after="160"/>
      </w:pPr>
      <w:r>
        <w:rPr>
          <w:sz w:val="22"/>
          <w:szCs w:val="22"/>
        </w:rPr>
        <w:t xml:space="preserve">El almacenamiento en la nube es un servicio SaaS (y también IaaS en el caso de object storage empresarial) que permite guardar archivos en servidores remotos. Ofrece sincronización multiplataforma, compartición controlada, versionado de archivos y copias de seguridad automáticas.</w:t>
      </w:r>
    </w:p>
    <w:p>
      <w:pPr>
        <w:pStyle w:val="Heading2"/>
      </w:pPr>
      <w:r>
        <w:rPr>
          <w:b/>
          <w:bCs/>
        </w:rPr>
        <w:t xml:space="preserve">4.1 Tipos de almacenamiento en la nube</w:t>
      </w:r>
    </w:p>
    <w:p>
      <w:pPr>
        <w:pStyle w:val="ListParagraph"/>
        <w:numPr>
          <w:ilvl w:val="0"/>
          <w:numId w:val="2"/>
        </w:numPr>
      </w:pPr>
      <w:r>
        <w:rPr>
          <w:sz w:val="22"/>
          <w:szCs w:val="22"/>
        </w:rPr>
        <w:t xml:space="preserve">Object Storage: ideal para datos no estructurados (fotos, vídeos, backups, logs). Ejemplos: Amazon S3, Google Cloud Storage, Azure Blob Storage.</w:t>
      </w:r>
    </w:p>
    <w:p>
      <w:pPr>
        <w:pStyle w:val="ListParagraph"/>
        <w:numPr>
          <w:ilvl w:val="0"/>
          <w:numId w:val="2"/>
        </w:numPr>
      </w:pPr>
      <w:r>
        <w:rPr>
          <w:sz w:val="22"/>
          <w:szCs w:val="22"/>
        </w:rPr>
        <w:t xml:space="preserve">File Storage: sistemas de archivos compartidos (tipo NFS). Útil para aplicaciones legacy.</w:t>
      </w:r>
    </w:p>
    <w:p>
      <w:pPr>
        <w:pStyle w:val="ListParagraph"/>
        <w:numPr>
          <w:ilvl w:val="0"/>
          <w:numId w:val="2"/>
        </w:numPr>
      </w:pPr>
      <w:r>
        <w:rPr>
          <w:sz w:val="22"/>
          <w:szCs w:val="22"/>
        </w:rPr>
        <w:t xml:space="preserve">Block Storage: volúmenes de alto rendimiento para bases de datos y máquinas virtuales (Amazon EBS, Google Persistent Disk).</w:t>
      </w:r>
    </w:p>
    <w:p>
      <w:pPr>
        <w:pStyle w:val="ListParagraph"/>
        <w:numPr>
          <w:ilvl w:val="0"/>
          <w:numId w:val="2"/>
        </w:numPr>
        <w:spacing w:after="160"/>
      </w:pPr>
      <w:r>
        <w:rPr>
          <w:sz w:val="22"/>
          <w:szCs w:val="22"/>
        </w:rPr>
        <w:t xml:space="preserve">Almacenamiento de consumo (consumer cloud storage): Google Drive, OneDrive, Dropbox, pCloud, etc., orientado a usuarios finales y equipos pequeños.</w:t>
      </w:r>
    </w:p>
    <w:p>
      <w:pPr>
        <w:pStyle w:val="Heading2"/>
      </w:pPr>
      <w:r>
        <w:rPr>
          <w:b/>
          <w:bCs/>
        </w:rPr>
        <w:t xml:space="preserve">4.2 Comparativa de los principales servicios de consumo (2026)</w:t>
      </w:r>
    </w:p>
    <w:p>
      <w:pPr>
        <w:spacing w:after="120"/>
      </w:pPr>
      <w:r>
        <w:rPr>
          <w:sz w:val="22"/>
          <w:szCs w:val="22"/>
        </w:rPr>
        <w:t xml:space="preserve">La siguiente tabla resume las características más relevantes de los proveedores más utilizados en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80"/>
        <w:gridCol w:w="1800"/>
        <w:gridCol w:w="1600"/>
        <w:gridCol w:w="1800"/>
      </w:tblGrid>
      <w:tr>
        <w:tc>
          <w:tcPr>
            <w:tcW w:type="dxa" w:w="1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Servicio</w:t>
            </w:r>
          </w:p>
        </w:tc>
        <w:tc>
          <w:tcPr>
            <w:tcW w:type="dxa" w:w="14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Gratis</w:t>
            </w:r>
          </w:p>
        </w:tc>
        <w:tc>
          <w:tcPr>
            <w:tcW w:type="dxa" w:w="168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Plan ~2 TB</w:t>
            </w:r>
          </w:p>
        </w:tc>
        <w:tc>
          <w:tcPr>
            <w:tcW w:type="dxa" w:w="1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Mejor para</w:t>
            </w:r>
          </w:p>
        </w:tc>
        <w:tc>
          <w:tcPr>
            <w:tcW w:type="dxa" w:w="16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Cifrado E2E</w:t>
            </w:r>
          </w:p>
        </w:tc>
        <w:tc>
          <w:tcPr>
            <w:tcW w:type="dxa" w:w="1800"/>
            <w:tcBorders>
              <w:top w:val="single" w:color="1F4E79" w:sz="4"/>
              <w:left w:val="single" w:color="1F4E79" w:sz="4"/>
              <w:bottom w:val="single" w:color="1F4E79" w:sz="4"/>
              <w:right w:val="single" w:color="1F4E79" w:sz="4"/>
            </w:tcBorders>
            <w:shd w:fill="1F4E79" w:val="clear"/>
            <w:vAlign w:val="center"/>
          </w:tcPr>
          <w:p>
            <w:pPr>
              <w:jc w:val="center"/>
            </w:pPr>
            <w:r>
              <w:rPr>
                <w:rFonts w:ascii="Arial" w:cs="Arial" w:eastAsia="Arial" w:hAnsi="Arial"/>
                <w:b/>
                <w:bCs/>
                <w:color w:val="FFFFFF"/>
                <w:sz w:val="20"/>
                <w:szCs w:val="20"/>
              </w:rPr>
              <w:t xml:space="preserve">Notas clave</w:t>
            </w:r>
          </w:p>
        </w:tc>
      </w:tr>
      <w:tr>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Google Drive / One</w:t>
            </w:r>
          </w:p>
        </w:tc>
        <w:tc>
          <w:tcPr>
            <w:tcW w:type="dxa" w:w="14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15 GB</w:t>
            </w:r>
          </w:p>
        </w:tc>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~100 USD/año</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Uso general y colaboración</w:t>
            </w:r>
          </w:p>
        </w:tc>
        <w:tc>
          <w:tcPr>
            <w:tcW w:type="dxa" w:w="16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No (estándar)</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Integración total con Google</w:t>
            </w:r>
          </w:p>
        </w:tc>
      </w:tr>
      <w:tr>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Microsoft OneDrive</w:t>
            </w:r>
          </w:p>
        </w:tc>
        <w:tc>
          <w:tcPr>
            <w:tcW w:type="dxa" w:w="14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5 GB</w:t>
            </w:r>
          </w:p>
        </w:tc>
        <w:tc>
          <w:tcPr>
            <w:tcW w:type="dxa" w:w="168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Incluido en M365</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Usuarios de Office / Windows</w:t>
            </w:r>
          </w:p>
        </w:tc>
        <w:tc>
          <w:tcPr>
            <w:tcW w:type="dxa" w:w="16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No (estándar)</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1 TB con Microsoft 365</w:t>
            </w:r>
          </w:p>
        </w:tc>
      </w:tr>
      <w:tr>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Dropbox</w:t>
            </w:r>
          </w:p>
        </w:tc>
        <w:tc>
          <w:tcPr>
            <w:tcW w:type="dxa" w:w="14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2 GB</w:t>
            </w:r>
          </w:p>
        </w:tc>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~120 USD/año</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Sincronización fiable</w:t>
            </w:r>
          </w:p>
        </w:tc>
        <w:tc>
          <w:tcPr>
            <w:tcW w:type="dxa" w:w="16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No (estándar)</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Excelente sync multiplataforma</w:t>
            </w:r>
          </w:p>
        </w:tc>
      </w:tr>
      <w:tr>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pCloud</w:t>
            </w:r>
          </w:p>
        </w:tc>
        <w:tc>
          <w:tcPr>
            <w:tcW w:type="dxa" w:w="14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Hasta 10 GB</w:t>
            </w:r>
          </w:p>
        </w:tc>
        <w:tc>
          <w:tcPr>
            <w:tcW w:type="dxa" w:w="168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Lifetime ~499 USD</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Largo plazo / pago único</w:t>
            </w:r>
          </w:p>
        </w:tc>
        <w:tc>
          <w:tcPr>
            <w:tcW w:type="dxa" w:w="16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Opcional (pago)</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Sede en Suiza, planes vitalicios</w:t>
            </w:r>
          </w:p>
        </w:tc>
      </w:tr>
      <w:tr>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MEGA</w:t>
            </w:r>
          </w:p>
        </w:tc>
        <w:tc>
          <w:tcPr>
            <w:tcW w:type="dxa" w:w="14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~20 GB</w:t>
            </w:r>
          </w:p>
        </w:tc>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Competitivo</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Espacio gratuito generoso</w:t>
            </w:r>
          </w:p>
        </w:tc>
        <w:tc>
          <w:tcPr>
            <w:tcW w:type="dxa" w:w="16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Sí (por defecto)</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Cifrado de conocimiento cero</w:t>
            </w:r>
          </w:p>
        </w:tc>
      </w:tr>
      <w:tr>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Internxt</w:t>
            </w:r>
          </w:p>
        </w:tc>
        <w:tc>
          <w:tcPr>
            <w:tcW w:type="dxa" w:w="14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1 GB</w:t>
            </w:r>
          </w:p>
        </w:tc>
        <w:tc>
          <w:tcPr>
            <w:tcW w:type="dxa" w:w="168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Lifetime ~496 USD</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Privacidad máxima</w:t>
            </w:r>
          </w:p>
        </w:tc>
        <w:tc>
          <w:tcPr>
            <w:tcW w:type="dxa" w:w="16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Sí + post-cuántico</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Cifrado avanzado incluido</w:t>
            </w:r>
          </w:p>
        </w:tc>
      </w:tr>
      <w:tr>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Proton Drive</w:t>
            </w:r>
          </w:p>
        </w:tc>
        <w:tc>
          <w:tcPr>
            <w:tcW w:type="dxa" w:w="14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5 GB</w:t>
            </w:r>
          </w:p>
        </w:tc>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Superior</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Privacidad (ecosistema Proton)</w:t>
            </w:r>
          </w:p>
        </w:tc>
        <w:tc>
          <w:tcPr>
            <w:tcW w:type="dxa" w:w="16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Sí</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Enfocado en privacidad</w:t>
            </w:r>
          </w:p>
        </w:tc>
      </w:tr>
      <w:tr>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bCs/>
                <w:color w:val="1A1A1A"/>
                <w:sz w:val="18"/>
                <w:szCs w:val="18"/>
              </w:rPr>
              <w:t xml:space="preserve">iCloud+</w:t>
            </w:r>
          </w:p>
        </w:tc>
        <w:tc>
          <w:tcPr>
            <w:tcW w:type="dxa" w:w="14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5 GB</w:t>
            </w:r>
          </w:p>
        </w:tc>
        <w:tc>
          <w:tcPr>
            <w:tcW w:type="dxa" w:w="168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Variable</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Usuarios Apple</w:t>
            </w:r>
          </w:p>
        </w:tc>
        <w:tc>
          <w:tcPr>
            <w:tcW w:type="dxa" w:w="1600"/>
            <w:tcBorders>
              <w:top w:val="single" w:color="BDD7EE" w:sz="4"/>
              <w:left w:val="single" w:color="BDD7EE" w:sz="4"/>
              <w:bottom w:val="single" w:color="BDD7EE" w:sz="4"/>
              <w:right w:val="single" w:color="BDD7EE" w:sz="4"/>
            </w:tcBorders>
            <w:vAlign w:val="center"/>
          </w:tcPr>
          <w:p>
            <w:pPr>
              <w:spacing w:after="40" w:before="40"/>
              <w:jc w:val="center"/>
            </w:pPr>
            <w:r>
              <w:rPr>
                <w:rFonts w:ascii="Arial" w:cs="Arial" w:eastAsia="Arial" w:hAnsi="Arial"/>
                <w:b w:val="false"/>
                <w:bCs w:val="false"/>
                <w:color w:val="1A1A1A"/>
                <w:sz w:val="18"/>
                <w:szCs w:val="18"/>
              </w:rPr>
              <w:t xml:space="preserve">Avanzado (opcional)</w:t>
            </w:r>
          </w:p>
        </w:tc>
        <w:tc>
          <w:tcPr>
            <w:tcW w:type="dxa" w:w="1800"/>
            <w:tcBorders>
              <w:top w:val="single" w:color="BDD7EE" w:sz="4"/>
              <w:left w:val="single" w:color="BDD7EE" w:sz="4"/>
              <w:bottom w:val="single" w:color="BDD7EE" w:sz="4"/>
              <w:right w:val="single" w:color="BDD7EE" w:sz="4"/>
            </w:tcBorders>
            <w:vAlign w:val="center"/>
          </w:tcPr>
          <w:p>
            <w:pPr>
              <w:spacing w:after="40" w:before="40"/>
              <w:jc w:val="left"/>
            </w:pPr>
            <w:r>
              <w:rPr>
                <w:rFonts w:ascii="Arial" w:cs="Arial" w:eastAsia="Arial" w:hAnsi="Arial"/>
                <w:b w:val="false"/>
                <w:bCs w:val="false"/>
                <w:color w:val="1A1A1A"/>
                <w:sz w:val="18"/>
                <w:szCs w:val="18"/>
              </w:rPr>
              <w:t xml:space="preserve">Integración nativa iOS/macOS</w:t>
            </w:r>
          </w:p>
        </w:tc>
      </w:tr>
      <w:tr>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bCs/>
                <w:color w:val="1A1A1A"/>
                <w:sz w:val="18"/>
                <w:szCs w:val="18"/>
              </w:rPr>
              <w:t xml:space="preserve">Sync.com</w:t>
            </w:r>
          </w:p>
        </w:tc>
        <w:tc>
          <w:tcPr>
            <w:tcW w:type="dxa" w:w="14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5 GB</w:t>
            </w:r>
          </w:p>
        </w:tc>
        <w:tc>
          <w:tcPr>
            <w:tcW w:type="dxa" w:w="168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Competitivo</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Privacidad y equipos</w:t>
            </w:r>
          </w:p>
        </w:tc>
        <w:tc>
          <w:tcPr>
            <w:tcW w:type="dxa" w:w="1600"/>
            <w:tcBorders>
              <w:top w:val="single" w:color="BDD7EE" w:sz="4"/>
              <w:left w:val="single" w:color="BDD7EE" w:sz="4"/>
              <w:bottom w:val="single" w:color="BDD7EE" w:sz="4"/>
              <w:right w:val="single" w:color="BDD7EE" w:sz="4"/>
            </w:tcBorders>
            <w:shd w:fill="D6E3F0" w:val="clear"/>
            <w:vAlign w:val="center"/>
          </w:tcPr>
          <w:p>
            <w:pPr>
              <w:spacing w:after="40" w:before="40"/>
              <w:jc w:val="center"/>
            </w:pPr>
            <w:r>
              <w:rPr>
                <w:rFonts w:ascii="Arial" w:cs="Arial" w:eastAsia="Arial" w:hAnsi="Arial"/>
                <w:b w:val="false"/>
                <w:bCs w:val="false"/>
                <w:color w:val="1A1A1A"/>
                <w:sz w:val="18"/>
                <w:szCs w:val="18"/>
              </w:rPr>
              <w:t xml:space="preserve">Sí</w:t>
            </w:r>
          </w:p>
        </w:tc>
        <w:tc>
          <w:tcPr>
            <w:tcW w:type="dxa" w:w="1800"/>
            <w:tcBorders>
              <w:top w:val="single" w:color="BDD7EE" w:sz="4"/>
              <w:left w:val="single" w:color="BDD7EE" w:sz="4"/>
              <w:bottom w:val="single" w:color="BDD7EE" w:sz="4"/>
              <w:right w:val="single" w:color="BDD7EE" w:sz="4"/>
            </w:tcBorders>
            <w:shd w:fill="D6E3F0" w:val="clear"/>
            <w:vAlign w:val="center"/>
          </w:tcPr>
          <w:p>
            <w:pPr>
              <w:spacing w:after="40" w:before="40"/>
              <w:jc w:val="left"/>
            </w:pPr>
            <w:r>
              <w:rPr>
                <w:rFonts w:ascii="Arial" w:cs="Arial" w:eastAsia="Arial" w:hAnsi="Arial"/>
                <w:b w:val="false"/>
                <w:bCs w:val="false"/>
                <w:color w:val="1A1A1A"/>
                <w:sz w:val="18"/>
                <w:szCs w:val="18"/>
              </w:rPr>
              <w:t xml:space="preserve">Controles de compartición fuertes</w:t>
            </w:r>
          </w:p>
        </w:tc>
      </w:tr>
    </w:tbl>
    <w:p>
      <w:pPr>
        <w:spacing w:after="160" w:before="160"/>
      </w:pPr>
      <w:r>
        <w:rPr>
          <w:b/>
          <w:bCs/>
          <w:i/>
          <w:iCs/>
          <w:sz w:val="20"/>
          <w:szCs w:val="20"/>
        </w:rPr>
        <w:t xml:space="preserve">Nota: </w:t>
      </w:r>
      <w:r>
        <w:rPr>
          <w:i/>
          <w:iCs/>
          <w:color w:val="595959"/>
          <w:sz w:val="20"/>
          <w:szCs w:val="20"/>
        </w:rPr>
        <w:t xml:space="preserve">Los precios son orientativos en dólares estadounidenses y pueden variar según país, promociones y tipo de facturación (mensual/anual/lifetime). Se recomienda verificar siempre en las páginas oficiales.</w:t>
      </w:r>
    </w:p>
    <w:p>
      <w:pPr>
        <w:pStyle w:val="Heading2"/>
      </w:pPr>
      <w:r>
        <w:rPr>
          <w:b/>
          <w:bCs/>
        </w:rPr>
        <w:t xml:space="preserve">4.3 Criterios para elegir un servicio de almacenamiento</w:t>
      </w:r>
    </w:p>
    <w:p>
      <w:pPr>
        <w:pStyle w:val="ListParagraph"/>
        <w:numPr>
          <w:ilvl w:val="0"/>
          <w:numId w:val="3"/>
        </w:numPr>
      </w:pPr>
      <w:r>
        <w:rPr>
          <w:sz w:val="22"/>
          <w:szCs w:val="22"/>
        </w:rPr>
        <w:t xml:space="preserve">Espacio gratuito y precio a largo plazo: Google Drive ofrece más espacio gratis; pCloud e Internxt destacan con planes de pago único (lifetime).</w:t>
      </w:r>
    </w:p>
    <w:p>
      <w:pPr>
        <w:pStyle w:val="ListParagraph"/>
        <w:numPr>
          <w:ilvl w:val="0"/>
          <w:numId w:val="3"/>
        </w:numPr>
      </w:pPr>
      <w:r>
        <w:rPr>
          <w:sz w:val="22"/>
          <w:szCs w:val="22"/>
        </w:rPr>
        <w:t xml:space="preserve">Integración con el ecosistema: OneDrive si usas Microsoft 365; Google Drive si usas Gmail/Android; iCloud si usas dispositivos Apple.</w:t>
      </w:r>
    </w:p>
    <w:p>
      <w:pPr>
        <w:pStyle w:val="ListParagraph"/>
        <w:numPr>
          <w:ilvl w:val="0"/>
          <w:numId w:val="3"/>
        </w:numPr>
      </w:pPr>
      <w:r>
        <w:rPr>
          <w:sz w:val="22"/>
          <w:szCs w:val="22"/>
        </w:rPr>
        <w:t xml:space="preserve">Privacidad y cifrado: Preferir servicios con cifrado de extremo a extremo (E2E) y zero-knowledge (MEGA, Proton Drive, Sync.com, Internxt, pCloud Crypto).</w:t>
      </w:r>
    </w:p>
    <w:p>
      <w:pPr>
        <w:pStyle w:val="ListParagraph"/>
        <w:numPr>
          <w:ilvl w:val="0"/>
          <w:numId w:val="3"/>
        </w:numPr>
      </w:pPr>
      <w:r>
        <w:rPr>
          <w:sz w:val="22"/>
          <w:szCs w:val="22"/>
        </w:rPr>
        <w:t xml:space="preserve">Colaboración y productividad: Google Drive y OneDrive lideran en edición simultánea de documentos.</w:t>
      </w:r>
    </w:p>
    <w:p>
      <w:pPr>
        <w:pStyle w:val="ListParagraph"/>
        <w:numPr>
          <w:ilvl w:val="0"/>
          <w:numId w:val="3"/>
        </w:numPr>
      </w:pPr>
      <w:r>
        <w:rPr>
          <w:sz w:val="22"/>
          <w:szCs w:val="22"/>
        </w:rPr>
        <w:t xml:space="preserve">Sincronización y fiabilidad: Dropbox sigue siendo referencia en sincronización multiplataforma.</w:t>
      </w:r>
    </w:p>
    <w:p>
      <w:pPr>
        <w:pStyle w:val="ListParagraph"/>
        <w:numPr>
          <w:ilvl w:val="0"/>
          <w:numId w:val="3"/>
        </w:numPr>
        <w:spacing w:after="160"/>
      </w:pPr>
      <w:r>
        <w:rPr>
          <w:sz w:val="22"/>
          <w:szCs w:val="22"/>
        </w:rPr>
        <w:t xml:space="preserve">Necesidades empresariales: Box, Tresorit o soluciones IaaS (S3, Azure Blob) para control, cumplimiento y escalabilidad.</w:t>
      </w:r>
    </w:p>
    <w:p>
      <w:pPr>
        <w:pStyle w:val="Heading1"/>
      </w:pPr>
      <w:r>
        <w:rPr>
          <w:b/>
          <w:bCs/>
        </w:rPr>
        <w:t xml:space="preserve">5. Seguridad y Privacidad en el Almacenamiento en la Nube</w:t>
      </w:r>
    </w:p>
    <w:p>
      <w:pPr>
        <w:spacing w:after="160"/>
      </w:pPr>
      <w:r>
        <w:rPr>
          <w:sz w:val="22"/>
          <w:szCs w:val="22"/>
        </w:rPr>
        <w:t xml:space="preserve">La seguridad es uno de los factores más críticos. Los principales aspectos a considerar son:</w:t>
      </w:r>
    </w:p>
    <w:p>
      <w:pPr>
        <w:pStyle w:val="ListParagraph"/>
        <w:numPr>
          <w:ilvl w:val="0"/>
          <w:numId w:val="2"/>
        </w:numPr>
      </w:pPr>
      <w:r>
        <w:rPr>
          <w:sz w:val="22"/>
          <w:szCs w:val="22"/>
        </w:rPr>
        <w:t xml:space="preserve">Cifrado en tránsito (TLS/HTTPS) y en reposo (AES-256): estándar en casi todos los proveedores serios.</w:t>
      </w:r>
    </w:p>
    <w:p>
      <w:pPr>
        <w:pStyle w:val="ListParagraph"/>
        <w:numPr>
          <w:ilvl w:val="0"/>
          <w:numId w:val="2"/>
        </w:numPr>
      </w:pPr>
      <w:r>
        <w:rPr>
          <w:sz w:val="22"/>
          <w:szCs w:val="22"/>
        </w:rPr>
        <w:t xml:space="preserve">Cifrado de extremo a extremo (E2E) y zero-knowledge: solo el usuario tiene las claves. El proveedor no puede leer el contenido. Imprescindible para datos sensibles.</w:t>
      </w:r>
    </w:p>
    <w:p>
      <w:pPr>
        <w:pStyle w:val="ListParagraph"/>
        <w:numPr>
          <w:ilvl w:val="0"/>
          <w:numId w:val="2"/>
        </w:numPr>
      </w:pPr>
      <w:r>
        <w:rPr>
          <w:sz w:val="22"/>
          <w:szCs w:val="22"/>
        </w:rPr>
        <w:t xml:space="preserve">Autenticación multifactor (MFA) y gestión de claves.</w:t>
      </w:r>
    </w:p>
    <w:p>
      <w:pPr>
        <w:pStyle w:val="ListParagraph"/>
        <w:numPr>
          <w:ilvl w:val="0"/>
          <w:numId w:val="2"/>
        </w:numPr>
      </w:pPr>
      <w:r>
        <w:rPr>
          <w:sz w:val="22"/>
          <w:szCs w:val="22"/>
        </w:rPr>
        <w:t xml:space="preserve">Cumplimiento normativo: RGPD (Europa), CCPA, ISO 27001, SOC 2, etc.</w:t>
      </w:r>
    </w:p>
    <w:p>
      <w:pPr>
        <w:pStyle w:val="ListParagraph"/>
        <w:numPr>
          <w:ilvl w:val="0"/>
          <w:numId w:val="2"/>
        </w:numPr>
      </w:pPr>
      <w:r>
        <w:rPr>
          <w:sz w:val="22"/>
          <w:szCs w:val="22"/>
        </w:rPr>
        <w:t xml:space="preserve">Ubicación de los servidores y jurisdicción legal (Suiza, UE, EE.UU. tienen marcos diferentes).</w:t>
      </w:r>
    </w:p>
    <w:p>
      <w:pPr>
        <w:pStyle w:val="ListParagraph"/>
        <w:numPr>
          <w:ilvl w:val="0"/>
          <w:numId w:val="2"/>
        </w:numPr>
        <w:spacing w:after="160"/>
      </w:pPr>
      <w:r>
        <w:rPr>
          <w:sz w:val="22"/>
          <w:szCs w:val="22"/>
        </w:rPr>
        <w:t xml:space="preserve">Versionado y papelera: capacidad de recuperar archivos eliminados o versiones anteriores (protección contra ransomware y errores humanos).</w:t>
      </w:r>
    </w:p>
    <w:p>
      <w:pPr>
        <w:pStyle w:val="Heading1"/>
      </w:pPr>
      <w:r>
        <w:rPr>
          <w:b/>
          <w:bCs/>
        </w:rPr>
        <w:t xml:space="preserve">6. Tendencias del Mercado 2026</w:t>
      </w:r>
    </w:p>
    <w:p>
      <w:pPr>
        <w:spacing w:after="160"/>
      </w:pPr>
      <w:r>
        <w:rPr>
          <w:sz w:val="22"/>
          <w:szCs w:val="22"/>
        </w:rPr>
        <w:t xml:space="preserve">El mercado de almacenamiento y compartición de archivos en la nube continúa creciendo a ritmos superiores al 15 % anual. Algunas tendencias clave en 2026 son:</w:t>
      </w:r>
    </w:p>
    <w:p>
      <w:pPr>
        <w:pStyle w:val="ListParagraph"/>
        <w:numPr>
          <w:ilvl w:val="0"/>
          <w:numId w:val="2"/>
        </w:numPr>
      </w:pPr>
      <w:r>
        <w:rPr>
          <w:sz w:val="22"/>
          <w:szCs w:val="22"/>
        </w:rPr>
        <w:t xml:space="preserve">Integración profunda de IA: búsqueda semántica, organización automática de fotos, resúmenes de documentos y generación de contenido.</w:t>
      </w:r>
    </w:p>
    <w:p>
      <w:pPr>
        <w:pStyle w:val="ListParagraph"/>
        <w:numPr>
          <w:ilvl w:val="0"/>
          <w:numId w:val="2"/>
        </w:numPr>
      </w:pPr>
      <w:r>
        <w:rPr>
          <w:sz w:val="22"/>
          <w:szCs w:val="22"/>
        </w:rPr>
        <w:t xml:space="preserve">Planes de pago único (lifetime): cada vez más populares (pCloud, Internxt) como alternativa a suscripciones perpetuas.</w:t>
      </w:r>
    </w:p>
    <w:p>
      <w:pPr>
        <w:pStyle w:val="ListParagraph"/>
        <w:numPr>
          <w:ilvl w:val="0"/>
          <w:numId w:val="2"/>
        </w:numPr>
      </w:pPr>
      <w:r>
        <w:rPr>
          <w:sz w:val="22"/>
          <w:szCs w:val="22"/>
        </w:rPr>
        <w:t xml:space="preserve">Cifrado post-cuántico: proveedores como Internxt ya lo incorporan para protegerse de amenazas futuras.</w:t>
      </w:r>
    </w:p>
    <w:p>
      <w:pPr>
        <w:pStyle w:val="ListParagraph"/>
        <w:numPr>
          <w:ilvl w:val="0"/>
          <w:numId w:val="2"/>
        </w:numPr>
      </w:pPr>
      <w:r>
        <w:rPr>
          <w:sz w:val="22"/>
          <w:szCs w:val="22"/>
        </w:rPr>
        <w:t xml:space="preserve">Nubes soberanas y multi-cloud: mayor demanda de control sobre la ubicación de los datos y de arquitecturas híbridas.</w:t>
      </w:r>
    </w:p>
    <w:p>
      <w:pPr>
        <w:pStyle w:val="ListParagraph"/>
        <w:numPr>
          <w:ilvl w:val="0"/>
          <w:numId w:val="2"/>
        </w:numPr>
      </w:pPr>
      <w:r>
        <w:rPr>
          <w:sz w:val="22"/>
          <w:szCs w:val="22"/>
        </w:rPr>
        <w:t xml:space="preserve">Crecimiento de object storage empresarial impulsado por IA, big data y contenido multimedia.</w:t>
      </w:r>
    </w:p>
    <w:p>
      <w:pPr>
        <w:pStyle w:val="ListParagraph"/>
        <w:numPr>
          <w:ilvl w:val="0"/>
          <w:numId w:val="2"/>
        </w:numPr>
        <w:spacing w:after="160"/>
      </w:pPr>
      <w:r>
        <w:rPr>
          <w:sz w:val="22"/>
          <w:szCs w:val="22"/>
        </w:rPr>
        <w:t xml:space="preserve">Énfasis en zero-trust y zero-knowledge como diferenciadores de privacidad.</w:t>
      </w:r>
    </w:p>
    <w:p>
      <w:pPr>
        <w:pStyle w:val="Heading1"/>
      </w:pPr>
      <w:r>
        <w:rPr>
          <w:b/>
          <w:bCs/>
        </w:rPr>
        <w:t xml:space="preserve">7. Recomendaciones Prácticas</w:t>
      </w:r>
    </w:p>
    <w:p>
      <w:pPr>
        <w:spacing w:after="120"/>
      </w:pPr>
      <w:r>
        <w:rPr>
          <w:sz w:val="22"/>
          <w:szCs w:val="22"/>
        </w:rPr>
        <w:t xml:space="preserve">Según el perfil de usuario:</w:t>
      </w:r>
    </w:p>
    <w:p>
      <w:pPr>
        <w:pStyle w:val="ListParagraph"/>
        <w:numPr>
          <w:ilvl w:val="0"/>
          <w:numId w:val="4"/>
        </w:numPr>
      </w:pPr>
      <w:r>
        <w:rPr>
          <w:sz w:val="22"/>
          <w:szCs w:val="22"/>
        </w:rPr>
        <w:t xml:space="preserve">Usuario general / estudiante: Google Drive (15 GB gratis + excelente colaboración).</w:t>
      </w:r>
    </w:p>
    <w:p>
      <w:pPr>
        <w:pStyle w:val="ListParagraph"/>
        <w:numPr>
          <w:ilvl w:val="0"/>
          <w:numId w:val="4"/>
        </w:numPr>
      </w:pPr>
      <w:r>
        <w:rPr>
          <w:sz w:val="22"/>
          <w:szCs w:val="22"/>
        </w:rPr>
        <w:t xml:space="preserve">Usuario Microsoft / Windows: OneDrive a través de Microsoft 365 (mejor relación calidad-precio).</w:t>
      </w:r>
    </w:p>
    <w:p>
      <w:pPr>
        <w:pStyle w:val="ListParagraph"/>
        <w:numPr>
          <w:ilvl w:val="0"/>
          <w:numId w:val="4"/>
        </w:numPr>
      </w:pPr>
      <w:r>
        <w:rPr>
          <w:sz w:val="22"/>
          <w:szCs w:val="22"/>
        </w:rPr>
        <w:t xml:space="preserve">Ecosistema Apple: iCloud+.</w:t>
      </w:r>
    </w:p>
    <w:p>
      <w:pPr>
        <w:pStyle w:val="ListParagraph"/>
        <w:numPr>
          <w:ilvl w:val="0"/>
          <w:numId w:val="4"/>
        </w:numPr>
      </w:pPr>
      <w:r>
        <w:rPr>
          <w:sz w:val="22"/>
          <w:szCs w:val="22"/>
        </w:rPr>
        <w:t xml:space="preserve">Máxima privacidad: Proton Drive, Sync.com, Internxt o MEGA.</w:t>
      </w:r>
    </w:p>
    <w:p>
      <w:pPr>
        <w:pStyle w:val="ListParagraph"/>
        <w:numPr>
          <w:ilvl w:val="0"/>
          <w:numId w:val="4"/>
        </w:numPr>
      </w:pPr>
      <w:r>
        <w:rPr>
          <w:sz w:val="22"/>
          <w:szCs w:val="22"/>
        </w:rPr>
        <w:t xml:space="preserve">Almacenamiento a largo plazo con pago único: pCloud o Internxt (planes lifetime).</w:t>
      </w:r>
    </w:p>
    <w:p>
      <w:pPr>
        <w:pStyle w:val="ListParagraph"/>
        <w:numPr>
          <w:ilvl w:val="0"/>
          <w:numId w:val="4"/>
        </w:numPr>
      </w:pPr>
      <w:r>
        <w:rPr>
          <w:sz w:val="22"/>
          <w:szCs w:val="22"/>
        </w:rPr>
        <w:t xml:space="preserve">Sincronización profesional: Dropbox.</w:t>
      </w:r>
    </w:p>
    <w:p>
      <w:pPr>
        <w:pStyle w:val="ListParagraph"/>
        <w:numPr>
          <w:ilvl w:val="0"/>
          <w:numId w:val="4"/>
        </w:numPr>
        <w:spacing w:after="160"/>
      </w:pPr>
      <w:r>
        <w:rPr>
          <w:sz w:val="22"/>
          <w:szCs w:val="22"/>
        </w:rPr>
        <w:t xml:space="preserve">Empresas y desarrolladores: AWS S3, Google Cloud Storage o Azure Blob Storage + soluciones de backup dedicadas (IDrive, etc.).</w:t>
      </w:r>
    </w:p>
    <w:p>
      <w:pPr>
        <w:pStyle w:val="Heading1"/>
      </w:pPr>
      <w:r>
        <w:rPr>
          <w:b/>
          <w:bCs/>
        </w:rPr>
        <w:t xml:space="preserve">8. Conclusión</w:t>
      </w:r>
    </w:p>
    <w:p>
      <w:pPr>
        <w:spacing w:after="160"/>
      </w:pPr>
      <w:r>
        <w:rPr>
          <w:sz w:val="22"/>
          <w:szCs w:val="22"/>
        </w:rPr>
        <w:t xml:space="preserve">Los servicios digitales y el almacenamiento en la nube son ya infraestructuras esenciales de la sociedad digital. No existe una única solución perfecta: la elección depende del ecosistema que ya se utilice, del nivel de privacidad requerido, del presupuesto y del horizonte temporal.</w:t>
      </w:r>
    </w:p>
    <w:p>
      <w:pPr>
        <w:spacing w:after="160"/>
      </w:pPr>
      <w:r>
        <w:rPr>
          <w:sz w:val="22"/>
          <w:szCs w:val="22"/>
        </w:rPr>
        <w:t xml:space="preserve">En 2026, las tendencias apuntan hacia mayor integración de inteligencia artificial, opciones de pago único, cifrado más robusto (incluyendo post-cuántico) y un equilibrio creciente entre comodidad y control de los datos personales.</w:t>
      </w:r>
    </w:p>
    <w:p>
      <w:pPr>
        <w:spacing w:after="160"/>
      </w:pPr>
      <w:r>
        <w:rPr>
          <w:sz w:val="22"/>
          <w:szCs w:val="22"/>
        </w:rPr>
        <w:t xml:space="preserve">Se recomienda combinar al menos dos servicios (uno orientado a productividad y otro a privacidad o backup) y activar siempre la autenticación multifactor. Revisar periódicamente las políticas de privacidad y los precios, ya que el mercado evoluciona rápidamente.</w:t>
      </w:r>
    </w:p>
    <w:p>
      <w:pPr>
        <w:pStyle w:val="Heading1"/>
      </w:pPr>
      <w:r>
        <w:rPr>
          <w:b/>
          <w:bCs/>
        </w:rPr>
        <w:t xml:space="preserve">Fuentes y Referencias</w:t>
      </w:r>
    </w:p>
    <w:p>
      <w:pPr>
        <w:spacing w:after="80"/>
      </w:pPr>
      <w:r>
        <w:rPr>
          <w:color w:val="595959"/>
          <w:sz w:val="20"/>
          <w:szCs w:val="20"/>
        </w:rPr>
        <w:t xml:space="preserve">Este informe se basa en información pública disponible a octubre de 2026 de proveedores oficiales, comparativas independientes y análisis de mercado. Los precios y características pueden cambiar; se aconseja verificar siempre en los sitios oficiales de cada servicio.</w:t>
      </w:r>
    </w:p>
    <w:p>
      <w:pPr>
        <w:spacing w:after="60"/>
      </w:pPr>
      <w:r>
        <w:rPr>
          <w:color w:val="595959"/>
          <w:sz w:val="18"/>
          <w:szCs w:val="18"/>
        </w:rPr>
        <w:t xml:space="preserve">• Comparativas de Gizmodo, LeCloud.info, 01net, RottenWiFi y otras fuentes especializadas (2026).</w:t>
      </w:r>
    </w:p>
    <w:p>
      <w:pPr>
        <w:spacing w:after="60"/>
      </w:pPr>
      <w:r>
        <w:rPr>
          <w:color w:val="595959"/>
          <w:sz w:val="18"/>
          <w:szCs w:val="18"/>
        </w:rPr>
        <w:t xml:space="preserve">• Documentación de modelos IaaS / PaaS / SaaS de proveedores cloud (AWS, Azure, Google Cloud, OVH).</w:t>
      </w:r>
    </w:p>
    <w:p>
      <w:pPr>
        <w:spacing w:after="60"/>
      </w:pPr>
      <w:r>
        <w:rPr>
          <w:color w:val="595959"/>
          <w:sz w:val="18"/>
          <w:szCs w:val="18"/>
        </w:rPr>
        <w:t xml:space="preserve">• Definiciones de servicios digitales de portales gubernamentales y literatura del sector.</w:t>
      </w:r>
    </w:p>
    <w:p>
      <w:pPr>
        <w:spacing w:after="60"/>
      </w:pPr>
      <w:r>
        <w:rPr>
          <w:color w:val="595959"/>
          <w:sz w:val="18"/>
          <w:szCs w:val="18"/>
        </w:rPr>
        <w:t xml:space="preserve">• Informes de mercado sobre cloud storage y file-sharing (proyecciones 2026-2030).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  Octubre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6"/>
        <w:szCs w:val="16"/>
      </w:rPr>
      <w:t xml:space="preserve">Informe: Servicios Digitales y Almacenamiento en la Nube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color w:val="1F4E79"/>
      <w:sz w:val="36"/>
      <w:szCs w:val="36"/>
    </w:rPr>
  </w:style>
  <w:style w:type="paragraph" w:styleId="Heading1">
    <w:name w:val="Heading 1"/>
    <w:basedOn w:val="Normal"/>
    <w:next w:val="Normal"/>
    <w:pPr>
      <w:spacing w:after="160" w:before="360"/>
      <w:outlineLvl w:val="0"/>
    </w:pPr>
    <w:rPr>
      <w:rFonts w:ascii="Arial" w:cs="Arial" w:eastAsia="Arial" w:hAnsi="Arial"/>
      <w:b/>
      <w:bCs/>
      <w:color w:val="1F4E79"/>
      <w:sz w:val="28"/>
      <w:szCs w:val="28"/>
    </w:rPr>
  </w:style>
  <w:style w:type="paragraph" w:styleId="Heading2">
    <w:name w:val="Heading 2"/>
    <w:basedOn w:val="Normal"/>
    <w:next w:val="Normal"/>
    <w:pPr>
      <w:spacing w:after="120" w:before="280"/>
      <w:outlineLvl w:val="1"/>
    </w:pPr>
    <w:rPr>
      <w:rFonts w:ascii="Arial" w:cs="Arial" w:eastAsia="Arial" w:hAnsi="Arial"/>
      <w:b/>
      <w:bCs/>
      <w:color w:val="2E75B6"/>
      <w:sz w:val="24"/>
      <w:szCs w:val="24"/>
    </w:rPr>
  </w:style>
  <w:style w:type="paragraph" w:styleId="Heading3">
    <w:name w:val="Heading 3"/>
    <w:basedOn w:val="Normal"/>
    <w:next w:val="Normal"/>
    <w:pPr>
      <w:spacing w:after="100" w:before="20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2026-10-19T16:59:49.867Z</dcterms:created>
  <dcterms:modified xsi:type="dcterms:W3CDTF">2026-10-19T16:59:49.867Z</dcterms:modified>
</cp:coreProperties>
</file>

<file path=docProps/custom.xml><?xml version="1.0" encoding="utf-8"?>
<Properties xmlns="http://schemas.openxmlformats.org/officeDocument/2006/custom-properties" xmlns:vt="http://schemas.openxmlformats.org/officeDocument/2006/docPropsVTypes"/>
</file>