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6555" w14:textId="77777777" w:rsidR="001126B8" w:rsidRPr="001126B8" w:rsidRDefault="001126B8" w:rsidP="001126B8">
      <w:r w:rsidRPr="001126B8">
        <w:rPr>
          <w:rFonts w:ascii="Segoe UI Emoji" w:hAnsi="Segoe UI Emoji" w:cs="Segoe UI Emoji"/>
        </w:rPr>
        <w:t>📘</w:t>
      </w:r>
      <w:r w:rsidRPr="001126B8">
        <w:t xml:space="preserve"> Lecturas de la semana 1</w:t>
      </w:r>
    </w:p>
    <w:p w14:paraId="65FA48EA" w14:textId="77777777" w:rsidR="001126B8" w:rsidRPr="001126B8" w:rsidRDefault="001126B8" w:rsidP="001126B8">
      <w:r w:rsidRPr="001126B8">
        <w:t> </w:t>
      </w:r>
    </w:p>
    <w:p w14:paraId="4DCC2D72" w14:textId="77777777" w:rsidR="001126B8" w:rsidRPr="001126B8" w:rsidRDefault="001126B8" w:rsidP="001126B8">
      <w:r w:rsidRPr="001126B8">
        <w:rPr>
          <w:rFonts w:ascii="Segoe UI Emoji" w:hAnsi="Segoe UI Emoji" w:cs="Segoe UI Emoji"/>
        </w:rPr>
        <w:t>📘</w:t>
      </w:r>
      <w:r w:rsidRPr="001126B8">
        <w:t xml:space="preserve"> </w:t>
      </w:r>
      <w:r w:rsidRPr="001126B8">
        <w:rPr>
          <w:b/>
          <w:bCs/>
        </w:rPr>
        <w:t>Lecturas SPTI – Gestión de Riesgo Cibernético (EY)</w:t>
      </w:r>
    </w:p>
    <w:p w14:paraId="2CF85298" w14:textId="77777777" w:rsidR="001126B8" w:rsidRPr="001126B8" w:rsidRDefault="001126B8" w:rsidP="001126B8">
      <w:r w:rsidRPr="001126B8">
        <w:t xml:space="preserve">Como parte del módulo de </w:t>
      </w:r>
      <w:r w:rsidRPr="001126B8">
        <w:rPr>
          <w:b/>
          <w:bCs/>
        </w:rPr>
        <w:t>gestión de riesgo y resiliencia cibernética</w:t>
      </w:r>
      <w:r w:rsidRPr="001126B8">
        <w:t xml:space="preserve">, por favor revisen las siguientes lecturas de </w:t>
      </w:r>
      <w:r w:rsidRPr="001126B8">
        <w:rPr>
          <w:b/>
          <w:bCs/>
        </w:rPr>
        <w:t>EY</w:t>
      </w:r>
      <w:r w:rsidRPr="001126B8">
        <w:t xml:space="preserve">, que presentan una </w:t>
      </w:r>
      <w:r w:rsidRPr="001126B8">
        <w:rPr>
          <w:b/>
          <w:bCs/>
        </w:rPr>
        <w:t xml:space="preserve">visión integrada del </w:t>
      </w:r>
      <w:proofErr w:type="spellStart"/>
      <w:r w:rsidRPr="001126B8">
        <w:rPr>
          <w:b/>
          <w:bCs/>
        </w:rPr>
        <w:t>cyber</w:t>
      </w:r>
      <w:proofErr w:type="spellEnd"/>
      <w:r w:rsidRPr="001126B8">
        <w:rPr>
          <w:b/>
          <w:bCs/>
        </w:rPr>
        <w:t xml:space="preserve"> </w:t>
      </w:r>
      <w:proofErr w:type="spellStart"/>
      <w:r w:rsidRPr="001126B8">
        <w:rPr>
          <w:b/>
          <w:bCs/>
        </w:rPr>
        <w:t>risk</w:t>
      </w:r>
      <w:proofErr w:type="spellEnd"/>
      <w:r w:rsidRPr="001126B8">
        <w:t>, alineada a contextos empresariales y sectores altamente regulados:</w:t>
      </w:r>
    </w:p>
    <w:p w14:paraId="4D856570" w14:textId="783A9A8B" w:rsidR="001126B8" w:rsidRPr="001126B8" w:rsidRDefault="001126B8" w:rsidP="001126B8">
      <w:pPr>
        <w:rPr>
          <w:lang w:val="en-US"/>
        </w:rPr>
      </w:pPr>
      <w:r>
        <w:rPr>
          <w:lang w:val="en-US"/>
        </w:rPr>
        <w:t xml:space="preserve">1. </w:t>
      </w:r>
      <w:r w:rsidRPr="001126B8">
        <w:rPr>
          <w:b/>
          <w:bCs/>
          <w:lang w:val="en-US"/>
        </w:rPr>
        <w:t>From cybersecurity to cyber resilience – EY</w:t>
      </w:r>
      <w:r w:rsidRPr="001126B8">
        <w:rPr>
          <w:lang w:val="en-US"/>
        </w:rPr>
        <w:br/>
      </w:r>
      <w:r w:rsidRPr="001126B8">
        <w:rPr>
          <w:rFonts w:ascii="Segoe UI Emoji" w:hAnsi="Segoe UI Emoji" w:cs="Segoe UI Emoji"/>
        </w:rPr>
        <w:t>👉</w:t>
      </w:r>
      <w:r w:rsidRPr="001126B8">
        <w:rPr>
          <w:lang w:val="en-US"/>
        </w:rPr>
        <w:t xml:space="preserve"> </w:t>
      </w:r>
      <w:hyperlink r:id="rId4" w:tgtFrame="_blank" w:tooltip="https://www.ey.com/content/dam/ey-unified-site/ey-com/en-ae/industries/government-public-sector/documents/ey-cyber-resilience-final.pdf" w:history="1">
        <w:r w:rsidRPr="001126B8">
          <w:rPr>
            <w:rStyle w:val="Hyperlink"/>
            <w:lang w:val="en-US"/>
          </w:rPr>
          <w:t>Enlace</w:t>
        </w:r>
      </w:hyperlink>
    </w:p>
    <w:p w14:paraId="119159D3" w14:textId="026C9718" w:rsidR="001126B8" w:rsidRPr="001126B8" w:rsidRDefault="001126B8" w:rsidP="001126B8">
      <w:pPr>
        <w:rPr>
          <w:lang w:val="en-US"/>
        </w:rPr>
      </w:pPr>
      <w:r>
        <w:rPr>
          <w:lang w:val="en-US"/>
        </w:rPr>
        <w:t xml:space="preserve">2. </w:t>
      </w:r>
      <w:r w:rsidRPr="001126B8">
        <w:rPr>
          <w:b/>
          <w:bCs/>
          <w:lang w:val="en-US"/>
        </w:rPr>
        <w:t>Cybersecurity as a business risk – EY Insights</w:t>
      </w:r>
      <w:r w:rsidRPr="001126B8">
        <w:rPr>
          <w:lang w:val="en-US"/>
        </w:rPr>
        <w:br/>
      </w:r>
      <w:r w:rsidRPr="001126B8">
        <w:rPr>
          <w:rFonts w:ascii="Segoe UI Emoji" w:hAnsi="Segoe UI Emoji" w:cs="Segoe UI Emoji"/>
        </w:rPr>
        <w:t>👉</w:t>
      </w:r>
      <w:r w:rsidRPr="001126B8">
        <w:rPr>
          <w:lang w:val="en-US"/>
        </w:rPr>
        <w:t xml:space="preserve"> </w:t>
      </w:r>
      <w:hyperlink r:id="rId5" w:tgtFrame="_blank" w:tooltip="https://www.ey.com/en_us/ciso/how-to-strategically-balance-cybersecurity-investments" w:history="1">
        <w:r w:rsidRPr="001126B8">
          <w:rPr>
            <w:rStyle w:val="Hyperlink"/>
            <w:lang w:val="en-US"/>
          </w:rPr>
          <w:t>Enlace</w:t>
        </w:r>
      </w:hyperlink>
    </w:p>
    <w:p w14:paraId="0B5628EB" w14:textId="10F88AA5" w:rsidR="00F03239" w:rsidRPr="001126B8" w:rsidRDefault="001126B8" w:rsidP="001126B8">
      <w:r w:rsidRPr="001126B8">
        <w:t xml:space="preserve">Estas lecturas serán base para discusión y análisis en clase, con foco en </w:t>
      </w:r>
      <w:r w:rsidRPr="001126B8">
        <w:rPr>
          <w:b/>
          <w:bCs/>
        </w:rPr>
        <w:t>riesgo, negocio, gobierno y resiliencia</w:t>
      </w:r>
      <w:r w:rsidRPr="001126B8">
        <w:t>, más allá de lo puramente técnico. </w:t>
      </w:r>
    </w:p>
    <w:sectPr w:rsidR="00F03239" w:rsidRPr="001126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38"/>
    <w:rsid w:val="001126B8"/>
    <w:rsid w:val="006C7238"/>
    <w:rsid w:val="00926EF9"/>
    <w:rsid w:val="00EA532C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0FE0"/>
  <w15:chartTrackingRefBased/>
  <w15:docId w15:val="{586E77A3-CAF5-49D4-B19B-0782E037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y.com/en_us/ciso/how-to-strategically-balance-cybersecurity-investments" TargetMode="External"/><Relationship Id="rId4" Type="http://schemas.openxmlformats.org/officeDocument/2006/relationships/hyperlink" Target="https://www.ey.com/content/dam/ey-unified-site/ey-com/en-ae/industries/government-public-sector/documents/ey-cyber-resilience-final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485</Characters>
  <Application>Microsoft Office Word</Application>
  <DocSecurity>0</DocSecurity>
  <Lines>12</Lines>
  <Paragraphs>6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3</cp:revision>
  <dcterms:created xsi:type="dcterms:W3CDTF">2026-02-02T00:32:00Z</dcterms:created>
  <dcterms:modified xsi:type="dcterms:W3CDTF">2026-02-02T00:33:00Z</dcterms:modified>
</cp:coreProperties>
</file>