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Folks Atlas — Landing Page Copy</w:t>
      </w:r>
    </w:p>
    <w:p>
      <w:pPr>
        <w:spacing w:after="120"/>
      </w:pPr>
      <w:r>
        <w:rPr>
          <w:i/>
          <w:iCs/>
          <w:color w:val="6B7280"/>
          <w:sz w:val="20"/>
          <w:szCs w:val="20"/>
        </w:rPr>
        <w:t xml:space="preserve">Versione aggiornata. Modifica liberamente il testo qui sotto; rimandami il file e applico le sostituzioni sul sito. Non cambiare le etichette in grigio (servono solo a indicare dove va ogni testo).</w:t>
      </w:r>
    </w:p>
    <w:p>
      <w:pPr>
        <w:pStyle w:val="Heading1"/>
      </w:pPr>
      <w:r>
        <w:t xml:space="preserve">Header / Navigation</w:t>
      </w:r>
    </w:p>
    <w:p>
      <w:pPr>
        <w:spacing w:after="20" w:before="120"/>
      </w:pPr>
      <w:r>
        <w:rPr>
          <w:b/>
          <w:bCs/>
          <w:color w:val="6B7280"/>
          <w:sz w:val="18"/>
          <w:szCs w:val="18"/>
        </w:rPr>
        <w:t xml:space="preserve">Voci menu</w:t>
      </w:r>
    </w:p>
    <w:p>
      <w:pPr>
        <w:pStyle w:val="ListParagraph"/>
        <w:numPr>
          <w:ilvl w:val="0"/>
          <w:numId w:val="2"/>
        </w:numPr>
      </w:pPr>
      <w:r>
        <w:rPr>
          <w:sz w:val="22"/>
          <w:szCs w:val="22"/>
        </w:rPr>
        <w:t xml:space="preserve">Protocol</w:t>
      </w:r>
    </w:p>
    <w:p>
      <w:pPr>
        <w:pStyle w:val="ListParagraph"/>
        <w:numPr>
          <w:ilvl w:val="0"/>
          <w:numId w:val="2"/>
        </w:numPr>
      </w:pPr>
      <w:r>
        <w:rPr>
          <w:sz w:val="22"/>
          <w:szCs w:val="22"/>
        </w:rPr>
        <w:t xml:space="preserve">Why Atlas</w:t>
      </w:r>
    </w:p>
    <w:p>
      <w:pPr>
        <w:pStyle w:val="ListParagraph"/>
        <w:numPr>
          <w:ilvl w:val="0"/>
          <w:numId w:val="2"/>
        </w:numPr>
      </w:pPr>
      <w:r>
        <w:rPr>
          <w:sz w:val="22"/>
          <w:szCs w:val="22"/>
        </w:rPr>
        <w:t xml:space="preserve">Use cases</w:t>
      </w:r>
    </w:p>
    <w:p>
      <w:pPr>
        <w:spacing w:after="20" w:before="120"/>
      </w:pPr>
      <w:r>
        <w:rPr>
          <w:b/>
          <w:bCs/>
          <w:color w:val="6B7280"/>
          <w:sz w:val="18"/>
          <w:szCs w:val="18"/>
        </w:rPr>
        <w:t xml:space="preserve">Bottone CTA (header)</w:t>
      </w:r>
    </w:p>
    <w:p>
      <w:pPr>
        <w:spacing w:after="80"/>
      </w:pPr>
      <w:r>
        <w:rPr>
          <w:sz w:val="22"/>
          <w:szCs w:val="22"/>
        </w:rPr>
        <w:t xml:space="preserve">Get in touch</w:t>
      </w:r>
    </w:p>
    <w:p>
      <w:pPr>
        <w:pStyle w:val="Heading1"/>
      </w:pPr>
      <w:r>
        <w:t xml:space="preserve">Hero</w:t>
      </w:r>
    </w:p>
    <w:p>
      <w:pPr>
        <w:spacing w:after="20" w:before="120"/>
      </w:pPr>
      <w:r>
        <w:rPr>
          <w:b/>
          <w:bCs/>
          <w:color w:val="6B7280"/>
          <w:sz w:val="18"/>
          <w:szCs w:val="18"/>
        </w:rPr>
        <w:t xml:space="preserve">Parole che ruotano (typewriter)</w:t>
      </w:r>
    </w:p>
    <w:p>
      <w:pPr>
        <w:pStyle w:val="ListParagraph"/>
        <w:numPr>
          <w:ilvl w:val="0"/>
          <w:numId w:val="2"/>
        </w:numPr>
      </w:pPr>
      <w:r>
        <w:rPr>
          <w:sz w:val="22"/>
          <w:szCs w:val="22"/>
        </w:rPr>
        <w:t xml:space="preserve">lending</w:t>
      </w:r>
    </w:p>
    <w:p>
      <w:pPr>
        <w:pStyle w:val="ListParagraph"/>
        <w:numPr>
          <w:ilvl w:val="0"/>
          <w:numId w:val="2"/>
        </w:numPr>
      </w:pPr>
      <w:r>
        <w:rPr>
          <w:sz w:val="22"/>
          <w:szCs w:val="22"/>
        </w:rPr>
        <w:t xml:space="preserve">credit</w:t>
      </w:r>
    </w:p>
    <w:p>
      <w:pPr>
        <w:pStyle w:val="ListParagraph"/>
        <w:numPr>
          <w:ilvl w:val="0"/>
          <w:numId w:val="2"/>
        </w:numPr>
      </w:pPr>
      <w:r>
        <w:rPr>
          <w:sz w:val="22"/>
          <w:szCs w:val="22"/>
        </w:rPr>
        <w:t xml:space="preserve">RWA</w:t>
      </w:r>
    </w:p>
    <w:p>
      <w:pPr>
        <w:pStyle w:val="ListParagraph"/>
        <w:numPr>
          <w:ilvl w:val="0"/>
          <w:numId w:val="2"/>
        </w:numPr>
      </w:pPr>
      <w:r>
        <w:rPr>
          <w:sz w:val="22"/>
          <w:szCs w:val="22"/>
        </w:rPr>
        <w:t xml:space="preserve">yield</w:t>
      </w:r>
    </w:p>
    <w:p>
      <w:pPr>
        <w:pStyle w:val="ListParagraph"/>
        <w:numPr>
          <w:ilvl w:val="0"/>
          <w:numId w:val="2"/>
        </w:numPr>
      </w:pPr>
      <w:r>
        <w:rPr>
          <w:sz w:val="22"/>
          <w:szCs w:val="22"/>
        </w:rPr>
        <w:t xml:space="preserve">vault</w:t>
      </w:r>
    </w:p>
    <w:p>
      <w:pPr>
        <w:pStyle w:val="ListParagraph"/>
        <w:numPr>
          <w:ilvl w:val="0"/>
          <w:numId w:val="2"/>
        </w:numPr>
      </w:pPr>
      <w:r>
        <w:rPr>
          <w:sz w:val="22"/>
          <w:szCs w:val="22"/>
        </w:rPr>
        <w:t xml:space="preserve">stablecoin</w:t>
      </w:r>
    </w:p>
    <w:p>
      <w:pPr>
        <w:spacing w:after="20" w:before="120"/>
      </w:pPr>
      <w:r>
        <w:rPr>
          <w:b/>
          <w:bCs/>
          <w:color w:val="6B7280"/>
          <w:sz w:val="18"/>
          <w:szCs w:val="18"/>
        </w:rPr>
        <w:t xml:space="preserve">Titolo</w:t>
      </w:r>
    </w:p>
    <w:p>
      <w:pPr>
        <w:spacing w:after="80"/>
      </w:pPr>
      <w:r>
        <w:rPr>
          <w:sz w:val="22"/>
          <w:szCs w:val="22"/>
        </w:rPr>
        <w:t xml:space="preserve">Launch your [parola] product onchain</w:t>
      </w:r>
    </w:p>
    <w:p>
      <w:pPr>
        <w:spacing w:after="20" w:before="120"/>
      </w:pPr>
      <w:r>
        <w:rPr>
          <w:b/>
          <w:bCs/>
          <w:color w:val="6B7280"/>
          <w:sz w:val="18"/>
          <w:szCs w:val="18"/>
        </w:rPr>
        <w:t xml:space="preserve">Paragrafo</w:t>
      </w:r>
    </w:p>
    <w:p>
      <w:pPr>
        <w:spacing w:after="80"/>
      </w:pPr>
      <w:r>
        <w:rPr>
          <w:sz w:val="22"/>
          <w:szCs w:val="22"/>
        </w:rPr>
        <w:t xml:space="preserve">Folks Atlas enables institutions and builders to deploy fully-configurable lending environments for any type of asset without the need of rebuilding the stack. Speak with our team to explore a tailored integration.</w:t>
      </w:r>
    </w:p>
    <w:p>
      <w:pPr>
        <w:spacing w:after="20" w:before="120"/>
      </w:pPr>
      <w:r>
        <w:rPr>
          <w:b/>
          <w:bCs/>
          <w:color w:val="6B7280"/>
          <w:sz w:val="18"/>
          <w:szCs w:val="18"/>
        </w:rPr>
        <w:t xml:space="preserve">Bottone</w:t>
      </w:r>
    </w:p>
    <w:p>
      <w:pPr>
        <w:spacing w:after="80"/>
      </w:pPr>
      <w:r>
        <w:rPr>
          <w:sz w:val="22"/>
          <w:szCs w:val="22"/>
        </w:rPr>
        <w:t xml:space="preserve">Get in touch</w:t>
      </w:r>
    </w:p>
    <w:p>
      <w:pPr>
        <w:pStyle w:val="Heading1"/>
      </w:pPr>
      <w:r>
        <w:t xml:space="preserve">Diagramma ecosistema (animazione)</w:t>
      </w:r>
    </w:p>
    <w:p>
      <w:pPr>
        <w:spacing w:after="20" w:before="120"/>
      </w:pPr>
      <w:r>
        <w:rPr>
          <w:b/>
          <w:bCs/>
          <w:color w:val="6B7280"/>
          <w:sz w:val="18"/>
          <w:szCs w:val="18"/>
        </w:rPr>
        <w:t xml:space="preserve">Nodo centrale</w:t>
      </w:r>
    </w:p>
    <w:p>
      <w:pPr>
        <w:spacing w:after="80"/>
      </w:pPr>
      <w:r>
        <w:rPr>
          <w:sz w:val="22"/>
          <w:szCs w:val="22"/>
        </w:rPr>
        <w:t xml:space="preserve">ATLAS (logo)</w:t>
      </w:r>
    </w:p>
    <w:p>
      <w:pPr>
        <w:spacing w:after="20" w:before="120"/>
      </w:pPr>
      <w:r>
        <w:rPr>
          <w:b/>
          <w:bCs/>
          <w:color w:val="6B7280"/>
          <w:sz w:val="18"/>
          <w:szCs w:val="18"/>
        </w:rPr>
        <w:t xml:space="preserve">Nodi</w:t>
      </w:r>
    </w:p>
    <w:p>
      <w:pPr>
        <w:pStyle w:val="ListParagraph"/>
        <w:numPr>
          <w:ilvl w:val="0"/>
          <w:numId w:val="2"/>
        </w:numPr>
      </w:pPr>
      <w:r>
        <w:rPr>
          <w:sz w:val="22"/>
          <w:szCs w:val="22"/>
        </w:rPr>
        <w:t xml:space="preserve">Exchanges</w:t>
      </w:r>
    </w:p>
    <w:p>
      <w:pPr>
        <w:pStyle w:val="ListParagraph"/>
        <w:numPr>
          <w:ilvl w:val="0"/>
          <w:numId w:val="2"/>
        </w:numPr>
      </w:pPr>
      <w:r>
        <w:rPr>
          <w:sz w:val="22"/>
          <w:szCs w:val="22"/>
        </w:rPr>
        <w:t xml:space="preserve">Fintechs</w:t>
      </w:r>
    </w:p>
    <w:p>
      <w:pPr>
        <w:pStyle w:val="ListParagraph"/>
        <w:numPr>
          <w:ilvl w:val="0"/>
          <w:numId w:val="2"/>
        </w:numPr>
      </w:pPr>
      <w:r>
        <w:rPr>
          <w:sz w:val="22"/>
          <w:szCs w:val="22"/>
        </w:rPr>
        <w:t xml:space="preserve">Institutions</w:t>
      </w:r>
    </w:p>
    <w:p>
      <w:pPr>
        <w:pStyle w:val="ListParagraph"/>
        <w:numPr>
          <w:ilvl w:val="0"/>
          <w:numId w:val="2"/>
        </w:numPr>
      </w:pPr>
      <w:r>
        <w:rPr>
          <w:sz w:val="22"/>
          <w:szCs w:val="22"/>
        </w:rPr>
        <w:t xml:space="preserve">Banks</w:t>
      </w:r>
    </w:p>
    <w:p>
      <w:pPr>
        <w:pStyle w:val="ListParagraph"/>
        <w:numPr>
          <w:ilvl w:val="0"/>
          <w:numId w:val="2"/>
        </w:numPr>
      </w:pPr>
      <w:r>
        <w:rPr>
          <w:sz w:val="22"/>
          <w:szCs w:val="22"/>
        </w:rPr>
        <w:t xml:space="preserve">Asset Managers</w:t>
      </w:r>
    </w:p>
    <w:p>
      <w:pPr>
        <w:spacing w:after="20" w:before="120"/>
      </w:pPr>
      <w:r>
        <w:rPr>
          <w:b/>
          <w:bCs/>
          <w:color w:val="6B7280"/>
          <w:sz w:val="18"/>
          <w:szCs w:val="18"/>
        </w:rPr>
        <w:t xml:space="preserve">Nodo finale</w:t>
      </w:r>
    </w:p>
    <w:p>
      <w:pPr>
        <w:spacing w:after="80"/>
      </w:pPr>
      <w:r>
        <w:rPr>
          <w:sz w:val="22"/>
          <w:szCs w:val="22"/>
        </w:rPr>
        <w:t xml:space="preserve">Users</w:t>
      </w:r>
    </w:p>
    <w:p>
      <w:pPr>
        <w:pStyle w:val="Heading1"/>
      </w:pPr>
      <w:r>
        <w:t xml:space="preserve">Proven / Stats</w:t>
      </w:r>
    </w:p>
    <w:p>
      <w:pPr>
        <w:spacing w:after="40" w:before="60"/>
      </w:pPr>
      <w:r>
        <w:rPr>
          <w:b/>
          <w:bCs/>
          <w:color w:val="0260ED"/>
          <w:sz w:val="18"/>
          <w:szCs w:val="18"/>
        </w:rPr>
        <w:t xml:space="preserve">PROVEN, NOT EXPERIMENTAL</w:t>
      </w:r>
    </w:p>
    <w:p>
      <w:pPr>
        <w:pStyle w:val="Heading2"/>
      </w:pPr>
      <w:r>
        <w:t xml:space="preserve">Built on battle-tested foundations</w:t>
      </w:r>
    </w:p>
    <w:p>
      <w:pPr>
        <w:spacing w:after="80"/>
      </w:pPr>
      <w:r>
        <w:rPr>
          <w:sz w:val="22"/>
          <w:szCs w:val="22"/>
        </w:rPr>
        <w:t xml:space="preserve">Atlas is the next generation of Folks Finance, opened up for everyone to build on.</w:t>
      </w:r>
    </w:p>
    <w:p>
      <w:pPr>
        <w:spacing w:after="20" w:before="120"/>
      </w:pPr>
      <w:r>
        <w:rPr>
          <w:b/>
          <w:bCs/>
          <w:color w:val="6B7280"/>
          <w:sz w:val="18"/>
          <w:szCs w:val="18"/>
        </w:rPr>
        <w:t xml:space="preserve">Statistiche (numero — didascalia)</w:t>
      </w:r>
    </w:p>
    <w:p>
      <w:pPr>
        <w:pStyle w:val="ListParagraph"/>
        <w:numPr>
          <w:ilvl w:val="0"/>
          <w:numId w:val="2"/>
        </w:numPr>
      </w:pPr>
      <w:r>
        <w:rPr>
          <w:sz w:val="22"/>
          <w:szCs w:val="22"/>
        </w:rPr>
        <w:t xml:space="preserve">5+ — years of uninterrupted mainnet</w:t>
      </w:r>
    </w:p>
    <w:p>
      <w:pPr>
        <w:pStyle w:val="ListParagraph"/>
        <w:numPr>
          <w:ilvl w:val="0"/>
          <w:numId w:val="2"/>
        </w:numPr>
      </w:pPr>
      <w:r>
        <w:rPr>
          <w:sz w:val="22"/>
          <w:szCs w:val="22"/>
        </w:rPr>
        <w:t xml:space="preserve">$13B — deposited</w:t>
      </w:r>
    </w:p>
    <w:p>
      <w:pPr>
        <w:pStyle w:val="ListParagraph"/>
        <w:numPr>
          <w:ilvl w:val="0"/>
          <w:numId w:val="2"/>
        </w:numPr>
      </w:pPr>
      <w:r>
        <w:rPr>
          <w:sz w:val="22"/>
          <w:szCs w:val="22"/>
        </w:rPr>
        <w:t xml:space="preserve">240K+ — total unique users</w:t>
      </w:r>
    </w:p>
    <w:p>
      <w:pPr>
        <w:pStyle w:val="ListParagraph"/>
        <w:numPr>
          <w:ilvl w:val="0"/>
          <w:numId w:val="2"/>
        </w:numPr>
      </w:pPr>
      <w:r>
        <w:rPr>
          <w:sz w:val="22"/>
          <w:szCs w:val="22"/>
        </w:rPr>
        <w:t xml:space="preserve">9 — chains supported</w:t>
      </w:r>
    </w:p>
    <w:p>
      <w:pPr>
        <w:pStyle w:val="Heading1"/>
      </w:pPr>
      <w:r>
        <w:t xml:space="preserve">Spokes</w:t>
      </w:r>
    </w:p>
    <w:p>
      <w:pPr>
        <w:spacing w:after="40" w:before="60"/>
      </w:pPr>
      <w:r>
        <w:rPr>
          <w:b/>
          <w:bCs/>
          <w:color w:val="0260ED"/>
          <w:sz w:val="18"/>
          <w:szCs w:val="18"/>
        </w:rPr>
        <w:t xml:space="preserve">SPOKES</w:t>
      </w:r>
    </w:p>
    <w:p>
      <w:pPr>
        <w:pStyle w:val="Heading2"/>
      </w:pPr>
      <w:r>
        <w:t xml:space="preserve">Build your own lending environment</w:t>
      </w:r>
    </w:p>
    <w:p>
      <w:pPr>
        <w:spacing w:after="80"/>
      </w:pPr>
      <w:r>
        <w:rPr>
          <w:sz w:val="22"/>
          <w:szCs w:val="22"/>
        </w:rPr>
        <w:t xml:space="preserve">A Spoke is an isolated lending environment you fully control. List as many collateral and borrow assets as you need, then configure every parameter to match your strategy and compliance needs.</w:t>
      </w:r>
    </w:p>
    <w:p>
      <w:pPr>
        <w:spacing w:after="20" w:before="120"/>
      </w:pPr>
      <w:r>
        <w:rPr>
          <w:b/>
          <w:bCs/>
          <w:color w:val="6B7280"/>
          <w:sz w:val="18"/>
          <w:szCs w:val="18"/>
        </w:rPr>
        <w:t xml:space="preserve">Didascalia</w:t>
      </w:r>
    </w:p>
    <w:p>
      <w:pPr>
        <w:spacing w:after="80"/>
      </w:pPr>
      <w:r>
        <w:rPr>
          <w:sz w:val="22"/>
          <w:szCs w:val="22"/>
        </w:rPr>
        <w:t xml:space="preserve">Designed for institutions and builders</w:t>
      </w:r>
    </w:p>
    <w:p>
      <w:pPr>
        <w:spacing w:after="20" w:before="120"/>
      </w:pPr>
      <w:r>
        <w:rPr>
          <w:b/>
          <w:bCs/>
          <w:color w:val="6B7280"/>
          <w:sz w:val="18"/>
          <w:szCs w:val="18"/>
        </w:rPr>
        <w:t xml:space="preserve">Moduli (chips)</w:t>
      </w:r>
    </w:p>
    <w:p>
      <w:pPr>
        <w:pStyle w:val="ListParagraph"/>
        <w:numPr>
          <w:ilvl w:val="0"/>
          <w:numId w:val="2"/>
        </w:numPr>
      </w:pPr>
      <w:r>
        <w:rPr>
          <w:sz w:val="22"/>
          <w:szCs w:val="22"/>
        </w:rPr>
        <w:t xml:space="preserve">Multi-collateral &amp; multi-borrow</w:t>
      </w:r>
    </w:p>
    <w:p>
      <w:pPr>
        <w:pStyle w:val="ListParagraph"/>
        <w:numPr>
          <w:ilvl w:val="0"/>
          <w:numId w:val="2"/>
        </w:numPr>
      </w:pPr>
      <w:r>
        <w:rPr>
          <w:sz w:val="22"/>
          <w:szCs w:val="22"/>
        </w:rPr>
        <w:t xml:space="preserve">Custom interest rate models</w:t>
      </w:r>
    </w:p>
    <w:p>
      <w:pPr>
        <w:pStyle w:val="ListParagraph"/>
        <w:numPr>
          <w:ilvl w:val="0"/>
          <w:numId w:val="2"/>
        </w:numPr>
      </w:pPr>
      <w:r>
        <w:rPr>
          <w:sz w:val="22"/>
          <w:szCs w:val="22"/>
        </w:rPr>
        <w:t xml:space="preserve">KYC / AML &amp; whitelists</w:t>
      </w:r>
    </w:p>
    <w:p>
      <w:pPr>
        <w:pStyle w:val="ListParagraph"/>
        <w:numPr>
          <w:ilvl w:val="0"/>
          <w:numId w:val="2"/>
        </w:numPr>
      </w:pPr>
      <w:r>
        <w:rPr>
          <w:sz w:val="22"/>
          <w:szCs w:val="22"/>
        </w:rPr>
        <w:t xml:space="preserve">Configurable liquidation engine</w:t>
      </w:r>
    </w:p>
    <w:p>
      <w:pPr>
        <w:pStyle w:val="ListParagraph"/>
        <w:numPr>
          <w:ilvl w:val="0"/>
          <w:numId w:val="2"/>
        </w:numPr>
      </w:pPr>
      <w:r>
        <w:rPr>
          <w:sz w:val="22"/>
          <w:szCs w:val="22"/>
        </w:rPr>
        <w:t xml:space="preserve">Any oracle (Chainlink, Pyth…)</w:t>
      </w:r>
    </w:p>
    <w:p>
      <w:pPr>
        <w:pStyle w:val="ListParagraph"/>
        <w:numPr>
          <w:ilvl w:val="0"/>
          <w:numId w:val="2"/>
        </w:numPr>
      </w:pPr>
      <w:r>
        <w:rPr>
          <w:sz w:val="22"/>
          <w:szCs w:val="22"/>
        </w:rPr>
        <w:t xml:space="preserve">Privacy module</w:t>
      </w:r>
    </w:p>
    <w:p>
      <w:pPr>
        <w:pStyle w:val="ListParagraph"/>
        <w:numPr>
          <w:ilvl w:val="0"/>
          <w:numId w:val="2"/>
        </w:numPr>
      </w:pPr>
      <w:r>
        <w:rPr>
          <w:sz w:val="22"/>
          <w:szCs w:val="22"/>
        </w:rPr>
        <w:t xml:space="preserve">Insurance &amp; security modules</w:t>
      </w:r>
    </w:p>
    <w:p>
      <w:pPr>
        <w:pStyle w:val="ListParagraph"/>
        <w:numPr>
          <w:ilvl w:val="0"/>
          <w:numId w:val="2"/>
        </w:numPr>
      </w:pPr>
      <w:r>
        <w:rPr>
          <w:sz w:val="22"/>
          <w:szCs w:val="22"/>
        </w:rPr>
        <w:t xml:space="preserve">White-label frontend</w:t>
      </w:r>
    </w:p>
    <w:p>
      <w:pPr>
        <w:pStyle w:val="Heading1"/>
      </w:pPr>
      <w:r>
        <w:t xml:space="preserve">Vaults</w:t>
      </w:r>
    </w:p>
    <w:p>
      <w:pPr>
        <w:spacing w:after="40" w:before="60"/>
      </w:pPr>
      <w:r>
        <w:rPr>
          <w:b/>
          <w:bCs/>
          <w:color w:val="0260ED"/>
          <w:sz w:val="18"/>
          <w:szCs w:val="18"/>
        </w:rPr>
        <w:t xml:space="preserve">VAULTS</w:t>
      </w:r>
    </w:p>
    <w:p>
      <w:pPr>
        <w:pStyle w:val="Heading2"/>
      </w:pPr>
      <w:r>
        <w:t xml:space="preserve">Curated yield, one click away for your users</w:t>
      </w:r>
    </w:p>
    <w:p>
      <w:pPr>
        <w:spacing w:after="80"/>
      </w:pPr>
      <w:r>
        <w:rPr>
          <w:sz w:val="22"/>
          <w:szCs w:val="22"/>
        </w:rPr>
        <w:t xml:space="preserve">Curators can package approved Spokes, allocation targets, and risk controls into a single Vault. Users deposit once and earn yield automatically, while curators manage allocations and rebalancing behind the scenes.</w:t>
      </w:r>
    </w:p>
    <w:p>
      <w:pPr>
        <w:spacing w:after="20" w:before="120"/>
      </w:pPr>
      <w:r>
        <w:rPr>
          <w:b/>
          <w:bCs/>
          <w:color w:val="6B7280"/>
          <w:sz w:val="18"/>
          <w:szCs w:val="18"/>
        </w:rPr>
        <w:t xml:space="preserve">Didascalia</w:t>
      </w:r>
    </w:p>
    <w:p>
      <w:pPr>
        <w:spacing w:after="80"/>
      </w:pPr>
      <w:r>
        <w:rPr>
          <w:sz w:val="22"/>
          <w:szCs w:val="22"/>
        </w:rPr>
        <w:t xml:space="preserve">Designed for curators and asset managers</w:t>
      </w:r>
    </w:p>
    <w:p>
      <w:pPr>
        <w:spacing w:after="20" w:before="120"/>
      </w:pPr>
      <w:r>
        <w:rPr>
          <w:b/>
          <w:bCs/>
          <w:color w:val="6B7280"/>
          <w:sz w:val="18"/>
          <w:szCs w:val="18"/>
        </w:rPr>
        <w:t xml:space="preserve">Etichette diagramma Vault</w:t>
      </w:r>
    </w:p>
    <w:p>
      <w:pPr>
        <w:pStyle w:val="ListParagraph"/>
        <w:numPr>
          <w:ilvl w:val="0"/>
          <w:numId w:val="2"/>
        </w:numPr>
      </w:pPr>
      <w:r>
        <w:rPr>
          <w:sz w:val="22"/>
          <w:szCs w:val="22"/>
        </w:rPr>
        <w:t xml:space="preserve">Vault deposit — USDC</w:t>
      </w:r>
    </w:p>
    <w:p>
      <w:pPr>
        <w:pStyle w:val="ListParagraph"/>
        <w:numPr>
          <w:ilvl w:val="0"/>
          <w:numId w:val="2"/>
        </w:numPr>
      </w:pPr>
      <w:r>
        <w:rPr>
          <w:sz w:val="22"/>
          <w:szCs w:val="22"/>
        </w:rPr>
        <w:t xml:space="preserve">Spoke A / Spoke B / Spoke C</w:t>
      </w:r>
    </w:p>
    <w:p>
      <w:pPr>
        <w:pStyle w:val="Heading1"/>
      </w:pPr>
      <w:r>
        <w:t xml:space="preserve">Why Folks Atlas (Comparison)</w:t>
      </w:r>
    </w:p>
    <w:p>
      <w:pPr>
        <w:spacing w:after="40" w:before="60"/>
      </w:pPr>
      <w:r>
        <w:rPr>
          <w:b/>
          <w:bCs/>
          <w:color w:val="0260ED"/>
          <w:sz w:val="18"/>
          <w:szCs w:val="18"/>
        </w:rPr>
        <w:t xml:space="preserve">WHY FOLKS ATLAS</w:t>
      </w:r>
    </w:p>
    <w:p>
      <w:pPr>
        <w:pStyle w:val="Heading2"/>
      </w:pPr>
      <w:r>
        <w:t xml:space="preserve">Built different, so you can build differently</w:t>
      </w:r>
    </w:p>
    <w:p>
      <w:pPr>
        <w:spacing w:after="80"/>
      </w:pPr>
      <w:r>
        <w:rPr>
          <w:sz w:val="22"/>
          <w:szCs w:val="22"/>
        </w:rPr>
        <w:t xml:space="preserve">Atlas combines the liquidity depth of monolithic lending with the flexibility of modular markets, giving institutions and builders the tools to launch unique lending environments tailored to their assets, users, risk models, and compliance needs.</w:t>
      </w:r>
    </w:p>
    <w:p>
      <w:pPr>
        <w:spacing w:after="20" w:before="120"/>
      </w:pPr>
      <w:r>
        <w:rPr>
          <w:b/>
          <w:bCs/>
          <w:color w:val="6B7280"/>
          <w:sz w:val="18"/>
          <w:szCs w:val="18"/>
        </w:rPr>
        <w:t xml:space="preserve">Tabella comparativa (Yes = Supported, Partial = limitato, No = non disponibile)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60"/>
        <w:gridCol w:w="1800"/>
        <w:gridCol w:w="1800"/>
        <w:gridCol w:w="1800"/>
      </w:tblGrid>
      <w:tr>
        <w:tc>
          <w:tcPr>
            <w:tcW w:type="dxa" w:w="3960"/>
            <w:tcBorders>
              <w:top w:val="single" w:color="CCCCCC" w:sz="1"/>
              <w:left w:val="single" w:color="CCCCCC" w:sz="1"/>
              <w:bottom w:val="single" w:color="CCCCCC" w:sz="1"/>
              <w:right w:val="single" w:color="CCCCCC" w:sz="1"/>
            </w:tcBorders>
            <w:shd w:fill="EAF1FE" w:val="clear"/>
            <w:tcMar>
              <w:top w:type="dxa" w:w="80"/>
              <w:left w:type="dxa" w:w="120"/>
              <w:bottom w:type="dxa" w:w="80"/>
              <w:right w:type="dxa" w:w="120"/>
            </w:tcMar>
          </w:tcPr>
          <w:p>
            <w:r>
              <w:rPr>
                <w:b/>
                <w:bCs/>
                <w:sz w:val="20"/>
                <w:szCs w:val="20"/>
              </w:rPr>
              <w:t xml:space="preserve">Capability</w:t>
            </w:r>
          </w:p>
        </w:tc>
        <w:tc>
          <w:tcPr>
            <w:tcW w:type="dxa" w:w="1800"/>
            <w:tcBorders>
              <w:top w:val="single" w:color="CCCCCC" w:sz="1"/>
              <w:left w:val="single" w:color="CCCCCC" w:sz="1"/>
              <w:bottom w:val="single" w:color="CCCCCC" w:sz="1"/>
              <w:right w:val="single" w:color="CCCCCC" w:sz="1"/>
            </w:tcBorders>
            <w:shd w:fill="EAF1FE" w:val="clear"/>
            <w:tcMar>
              <w:top w:type="dxa" w:w="80"/>
              <w:left w:type="dxa" w:w="120"/>
              <w:bottom w:type="dxa" w:w="80"/>
              <w:right w:type="dxa" w:w="120"/>
            </w:tcMar>
          </w:tcPr>
          <w:p>
            <w:r>
              <w:rPr>
                <w:b/>
                <w:bCs/>
                <w:color w:val="0260ED"/>
                <w:sz w:val="20"/>
                <w:szCs w:val="20"/>
              </w:rPr>
              <w:t xml:space="preserve">Folks Atlas</w:t>
            </w:r>
          </w:p>
        </w:tc>
        <w:tc>
          <w:tcPr>
            <w:tcW w:type="dxa" w:w="1800"/>
            <w:tcBorders>
              <w:top w:val="single" w:color="CCCCCC" w:sz="1"/>
              <w:left w:val="single" w:color="CCCCCC" w:sz="1"/>
              <w:bottom w:val="single" w:color="CCCCCC" w:sz="1"/>
              <w:right w:val="single" w:color="CCCCCC" w:sz="1"/>
            </w:tcBorders>
            <w:shd w:fill="EAF1FE" w:val="clear"/>
            <w:tcMar>
              <w:top w:type="dxa" w:w="80"/>
              <w:left w:type="dxa" w:w="120"/>
              <w:bottom w:type="dxa" w:w="80"/>
              <w:right w:type="dxa" w:w="120"/>
            </w:tcMar>
          </w:tcPr>
          <w:p>
            <w:r>
              <w:rPr>
                <w:b/>
                <w:bCs/>
                <w:sz w:val="20"/>
                <w:szCs w:val="20"/>
              </w:rPr>
              <w:t xml:space="preserve">Aave</w:t>
            </w:r>
          </w:p>
        </w:tc>
        <w:tc>
          <w:tcPr>
            <w:tcW w:type="dxa" w:w="1800"/>
            <w:tcBorders>
              <w:top w:val="single" w:color="CCCCCC" w:sz="1"/>
              <w:left w:val="single" w:color="CCCCCC" w:sz="1"/>
              <w:bottom w:val="single" w:color="CCCCCC" w:sz="1"/>
              <w:right w:val="single" w:color="CCCCCC" w:sz="1"/>
            </w:tcBorders>
            <w:shd w:fill="EAF1FE" w:val="clear"/>
            <w:tcMar>
              <w:top w:type="dxa" w:w="80"/>
              <w:left w:type="dxa" w:w="120"/>
              <w:bottom w:type="dxa" w:w="80"/>
              <w:right w:type="dxa" w:w="120"/>
            </w:tcMar>
          </w:tcPr>
          <w:p>
            <w:r>
              <w:rPr>
                <w:b/>
                <w:bCs/>
                <w:sz w:val="20"/>
                <w:szCs w:val="20"/>
              </w:rPr>
              <w:t xml:space="preserve">Morpho</w:t>
            </w:r>
          </w:p>
        </w:tc>
      </w:tr>
      <w:tr>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sz w:val="20"/>
                <w:szCs w:val="20"/>
              </w:rPr>
              <w:t xml:space="preserve">Launch your own lending environment</w:t>
            </w:r>
          </w:p>
        </w:tc>
        <w:tc>
          <w:tcPr>
            <w:tcW w:type="dxa" w:w="1800"/>
            <w:tcBorders>
              <w:top w:val="single" w:color="CCCCCC" w:sz="1"/>
              <w:left w:val="single" w:color="CCCCCC" w:sz="1"/>
              <w:bottom w:val="single" w:color="CCCCCC" w:sz="1"/>
              <w:right w:val="single" w:color="CCCCCC" w:sz="1"/>
            </w:tcBorders>
            <w:shd w:fill="F4F8FF" w:val="clear"/>
            <w:tcMar>
              <w:top w:type="dxa" w:w="80"/>
              <w:left w:type="dxa" w:w="120"/>
              <w:bottom w:type="dxa" w:w="80"/>
              <w:right w:type="dxa" w:w="120"/>
            </w:tcMar>
          </w:tcPr>
          <w:p>
            <w:r>
              <w:rPr>
                <w:b w:val="false"/>
                <w:bCs w:val="false"/>
                <w:sz w:val="20"/>
                <w:szCs w:val="20"/>
              </w:rPr>
              <w:t xml:space="preserve">Yes</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No — DAO / governance approval needed</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No — Just vaults</w:t>
            </w:r>
          </w:p>
        </w:tc>
      </w:tr>
      <w:tr>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sz w:val="20"/>
                <w:szCs w:val="20"/>
              </w:rPr>
              <w:t xml:space="preserve">Multi-collateral + multi-borrow markets</w:t>
            </w:r>
          </w:p>
        </w:tc>
        <w:tc>
          <w:tcPr>
            <w:tcW w:type="dxa" w:w="1800"/>
            <w:tcBorders>
              <w:top w:val="single" w:color="CCCCCC" w:sz="1"/>
              <w:left w:val="single" w:color="CCCCCC" w:sz="1"/>
              <w:bottom w:val="single" w:color="CCCCCC" w:sz="1"/>
              <w:right w:val="single" w:color="CCCCCC" w:sz="1"/>
            </w:tcBorders>
            <w:shd w:fill="F4F8FF" w:val="clear"/>
            <w:tcMar>
              <w:top w:type="dxa" w:w="80"/>
              <w:left w:type="dxa" w:w="120"/>
              <w:bottom w:type="dxa" w:w="80"/>
              <w:right w:type="dxa" w:w="120"/>
            </w:tcMar>
          </w:tcPr>
          <w:p>
            <w:r>
              <w:rPr>
                <w:b w:val="false"/>
                <w:bCs w:val="false"/>
                <w:sz w:val="20"/>
                <w:szCs w:val="20"/>
              </w:rPr>
              <w:t xml:space="preserve">Yes</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Yes</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No — Single collateral / single borrow</w:t>
            </w:r>
          </w:p>
        </w:tc>
      </w:tr>
      <w:tr>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sz w:val="20"/>
                <w:szCs w:val="20"/>
              </w:rPr>
              <w:t xml:space="preserve">Full parameter control</w:t>
            </w:r>
          </w:p>
        </w:tc>
        <w:tc>
          <w:tcPr>
            <w:tcW w:type="dxa" w:w="1800"/>
            <w:tcBorders>
              <w:top w:val="single" w:color="CCCCCC" w:sz="1"/>
              <w:left w:val="single" w:color="CCCCCC" w:sz="1"/>
              <w:bottom w:val="single" w:color="CCCCCC" w:sz="1"/>
              <w:right w:val="single" w:color="CCCCCC" w:sz="1"/>
            </w:tcBorders>
            <w:shd w:fill="F4F8FF" w:val="clear"/>
            <w:tcMar>
              <w:top w:type="dxa" w:w="80"/>
              <w:left w:type="dxa" w:w="120"/>
              <w:bottom w:type="dxa" w:w="80"/>
              <w:right w:type="dxa" w:w="120"/>
            </w:tcMar>
          </w:tcPr>
          <w:p>
            <w:r>
              <w:rPr>
                <w:b w:val="false"/>
                <w:bCs w:val="false"/>
                <w:sz w:val="20"/>
                <w:szCs w:val="20"/>
              </w:rPr>
              <w:t xml:space="preserve">Yes</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Partial — Limited / governance-driven</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Partial — Limited / fixed after deployment</w:t>
            </w:r>
          </w:p>
        </w:tc>
      </w:tr>
      <w:tr>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sz w:val="20"/>
                <w:szCs w:val="20"/>
              </w:rPr>
              <w:t xml:space="preserve">Active market management after launch</w:t>
            </w:r>
          </w:p>
        </w:tc>
        <w:tc>
          <w:tcPr>
            <w:tcW w:type="dxa" w:w="1800"/>
            <w:tcBorders>
              <w:top w:val="single" w:color="CCCCCC" w:sz="1"/>
              <w:left w:val="single" w:color="CCCCCC" w:sz="1"/>
              <w:bottom w:val="single" w:color="CCCCCC" w:sz="1"/>
              <w:right w:val="single" w:color="CCCCCC" w:sz="1"/>
            </w:tcBorders>
            <w:shd w:fill="F4F8FF" w:val="clear"/>
            <w:tcMar>
              <w:top w:type="dxa" w:w="80"/>
              <w:left w:type="dxa" w:w="120"/>
              <w:bottom w:type="dxa" w:w="80"/>
              <w:right w:type="dxa" w:w="120"/>
            </w:tcMar>
          </w:tcPr>
          <w:p>
            <w:r>
              <w:rPr>
                <w:b w:val="false"/>
                <w:bCs w:val="false"/>
                <w:sz w:val="20"/>
                <w:szCs w:val="20"/>
              </w:rPr>
              <w:t xml:space="preserve">Yes</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Partial — Governance dependent</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No — Immutable markets</w:t>
            </w:r>
          </w:p>
        </w:tc>
      </w:tr>
      <w:tr>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sz w:val="20"/>
                <w:szCs w:val="20"/>
              </w:rPr>
              <w:t xml:space="preserve">Native KYC / AML &amp; address whitelisting</w:t>
            </w:r>
          </w:p>
        </w:tc>
        <w:tc>
          <w:tcPr>
            <w:tcW w:type="dxa" w:w="1800"/>
            <w:tcBorders>
              <w:top w:val="single" w:color="CCCCCC" w:sz="1"/>
              <w:left w:val="single" w:color="CCCCCC" w:sz="1"/>
              <w:bottom w:val="single" w:color="CCCCCC" w:sz="1"/>
              <w:right w:val="single" w:color="CCCCCC" w:sz="1"/>
            </w:tcBorders>
            <w:shd w:fill="F4F8FF" w:val="clear"/>
            <w:tcMar>
              <w:top w:type="dxa" w:w="80"/>
              <w:left w:type="dxa" w:w="120"/>
              <w:bottom w:type="dxa" w:w="80"/>
              <w:right w:type="dxa" w:w="120"/>
            </w:tcMar>
          </w:tcPr>
          <w:p>
            <w:r>
              <w:rPr>
                <w:b w:val="false"/>
                <w:bCs w:val="false"/>
                <w:sz w:val="20"/>
                <w:szCs w:val="20"/>
              </w:rPr>
              <w:t xml:space="preserve">Yes</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No</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Partial — Limited</w:t>
            </w:r>
          </w:p>
        </w:tc>
      </w:tr>
      <w:tr>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sz w:val="20"/>
                <w:szCs w:val="20"/>
              </w:rPr>
              <w:t xml:space="preserve">Privacy &amp; private-chain deployment</w:t>
            </w:r>
          </w:p>
        </w:tc>
        <w:tc>
          <w:tcPr>
            <w:tcW w:type="dxa" w:w="1800"/>
            <w:tcBorders>
              <w:top w:val="single" w:color="CCCCCC" w:sz="1"/>
              <w:left w:val="single" w:color="CCCCCC" w:sz="1"/>
              <w:bottom w:val="single" w:color="CCCCCC" w:sz="1"/>
              <w:right w:val="single" w:color="CCCCCC" w:sz="1"/>
            </w:tcBorders>
            <w:shd w:fill="F4F8FF" w:val="clear"/>
            <w:tcMar>
              <w:top w:type="dxa" w:w="80"/>
              <w:left w:type="dxa" w:w="120"/>
              <w:bottom w:type="dxa" w:w="80"/>
              <w:right w:type="dxa" w:w="120"/>
            </w:tcMar>
          </w:tcPr>
          <w:p>
            <w:r>
              <w:rPr>
                <w:b w:val="false"/>
                <w:bCs w:val="false"/>
                <w:sz w:val="20"/>
                <w:szCs w:val="20"/>
              </w:rPr>
              <w:t xml:space="preserve">Yes</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No</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No</w:t>
            </w:r>
          </w:p>
        </w:tc>
      </w:tr>
      <w:tr>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sz w:val="20"/>
                <w:szCs w:val="20"/>
              </w:rPr>
              <w:t xml:space="preserve">White-label solution</w:t>
            </w:r>
          </w:p>
        </w:tc>
        <w:tc>
          <w:tcPr>
            <w:tcW w:type="dxa" w:w="1800"/>
            <w:tcBorders>
              <w:top w:val="single" w:color="CCCCCC" w:sz="1"/>
              <w:left w:val="single" w:color="CCCCCC" w:sz="1"/>
              <w:bottom w:val="single" w:color="CCCCCC" w:sz="1"/>
              <w:right w:val="single" w:color="CCCCCC" w:sz="1"/>
            </w:tcBorders>
            <w:shd w:fill="F4F8FF" w:val="clear"/>
            <w:tcMar>
              <w:top w:type="dxa" w:w="80"/>
              <w:left w:type="dxa" w:w="120"/>
              <w:bottom w:type="dxa" w:w="80"/>
              <w:right w:type="dxa" w:w="120"/>
            </w:tcMar>
          </w:tcPr>
          <w:p>
            <w:r>
              <w:rPr>
                <w:b w:val="false"/>
                <w:bCs w:val="false"/>
                <w:sz w:val="20"/>
                <w:szCs w:val="20"/>
              </w:rPr>
              <w:t xml:space="preserve">Yes</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No</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No</w:t>
            </w:r>
          </w:p>
        </w:tc>
      </w:tr>
      <w:tr>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sz w:val="20"/>
                <w:szCs w:val="20"/>
              </w:rPr>
              <w:t xml:space="preserve">Create custom curated yield vaults</w:t>
            </w:r>
          </w:p>
        </w:tc>
        <w:tc>
          <w:tcPr>
            <w:tcW w:type="dxa" w:w="1800"/>
            <w:tcBorders>
              <w:top w:val="single" w:color="CCCCCC" w:sz="1"/>
              <w:left w:val="single" w:color="CCCCCC" w:sz="1"/>
              <w:bottom w:val="single" w:color="CCCCCC" w:sz="1"/>
              <w:right w:val="single" w:color="CCCCCC" w:sz="1"/>
            </w:tcBorders>
            <w:shd w:fill="F4F8FF" w:val="clear"/>
            <w:tcMar>
              <w:top w:type="dxa" w:w="80"/>
              <w:left w:type="dxa" w:w="120"/>
              <w:bottom w:type="dxa" w:w="80"/>
              <w:right w:type="dxa" w:w="120"/>
            </w:tcMar>
          </w:tcPr>
          <w:p>
            <w:r>
              <w:rPr>
                <w:b w:val="false"/>
                <w:bCs w:val="false"/>
                <w:sz w:val="20"/>
                <w:szCs w:val="20"/>
              </w:rPr>
              <w:t xml:space="preserve">Yes</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No</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Yes</w:t>
            </w:r>
          </w:p>
        </w:tc>
      </w:tr>
    </w:tbl>
    <w:p>
      <w:r>
        <w:t xml:space="preserve"/>
      </w:r>
    </w:p>
    <w:p>
      <w:pPr>
        <w:spacing w:after="20" w:before="120"/>
      </w:pPr>
      <w:r>
        <w:rPr>
          <w:b/>
          <w:bCs/>
          <w:color w:val="6B7280"/>
          <w:sz w:val="18"/>
          <w:szCs w:val="18"/>
        </w:rPr>
        <w:t xml:space="preserve">Legenda</w:t>
      </w:r>
    </w:p>
    <w:p>
      <w:pPr>
        <w:pStyle w:val="ListParagraph"/>
        <w:numPr>
          <w:ilvl w:val="0"/>
          <w:numId w:val="2"/>
        </w:numPr>
      </w:pPr>
      <w:r>
        <w:rPr>
          <w:sz w:val="22"/>
          <w:szCs w:val="22"/>
        </w:rPr>
        <w:t xml:space="preserve">Supported</w:t>
      </w:r>
    </w:p>
    <w:p>
      <w:pPr>
        <w:pStyle w:val="ListParagraph"/>
        <w:numPr>
          <w:ilvl w:val="0"/>
          <w:numId w:val="2"/>
        </w:numPr>
      </w:pPr>
      <w:r>
        <w:rPr>
          <w:sz w:val="22"/>
          <w:szCs w:val="22"/>
        </w:rPr>
        <w:t xml:space="preserve">Not available</w:t>
      </w:r>
    </w:p>
    <w:p>
      <w:pPr>
        <w:spacing w:after="20" w:before="120"/>
      </w:pPr>
      <w:r>
        <w:rPr>
          <w:b/>
          <w:bCs/>
          <w:color w:val="6B7280"/>
          <w:sz w:val="18"/>
          <w:szCs w:val="18"/>
        </w:rPr>
        <w:t xml:space="preserve">Disclaimer</w:t>
      </w:r>
    </w:p>
    <w:p>
      <w:pPr>
        <w:spacing w:after="80"/>
      </w:pPr>
      <w:r>
        <w:rPr>
          <w:sz w:val="22"/>
          <w:szCs w:val="22"/>
        </w:rPr>
        <w:t xml:space="preserve">This comparison is provided for informational purposes and reflects our good-faith reading of each protocol's publicly available documentation. Lending protocols develop quickly and ship capabilities across multiple products, so some features may change or be delivered differently; we encourage readers to confirm current specifications with each provider. This table is independent and is not affiliated with, endorsed by, or intended to disparage Aave or Morpho; all trademarks belong to their respective owners.</w:t>
      </w:r>
    </w:p>
    <w:p>
      <w:pPr>
        <w:pStyle w:val="Heading1"/>
      </w:pPr>
      <w:r>
        <w:t xml:space="preserve">Use cases</w:t>
      </w:r>
    </w:p>
    <w:p>
      <w:pPr>
        <w:spacing w:after="40" w:before="60"/>
      </w:pPr>
      <w:r>
        <w:rPr>
          <w:b/>
          <w:bCs/>
          <w:color w:val="0260ED"/>
          <w:sz w:val="18"/>
          <w:szCs w:val="18"/>
        </w:rPr>
        <w:t xml:space="preserve">USE CASES</w:t>
      </w:r>
    </w:p>
    <w:p>
      <w:pPr>
        <w:pStyle w:val="Heading2"/>
      </w:pPr>
      <w:r>
        <w:t xml:space="preserve">One protocol, every lending market</w:t>
      </w:r>
    </w:p>
    <w:p>
      <w:pPr>
        <w:spacing w:after="80"/>
      </w:pPr>
      <w:r>
        <w:rPr>
          <w:sz w:val="22"/>
          <w:szCs w:val="22"/>
        </w:rPr>
        <w:t xml:space="preserve">From permissionless lending markets to permissioned institutional venues and real-world assets, configure a Spoke for any need.</w:t>
      </w:r>
    </w:p>
    <w:p>
      <w:pPr>
        <w:spacing w:after="20" w:before="120"/>
      </w:pPr>
      <w:r>
        <w:rPr>
          <w:b/>
          <w:bCs/>
          <w:color w:val="6B7280"/>
          <w:sz w:val="18"/>
          <w:szCs w:val="18"/>
        </w:rPr>
        <w:t xml:space="preserve">Card (titolo — descrizione)</w:t>
      </w:r>
    </w:p>
    <w:p>
      <w:pPr>
        <w:pStyle w:val="ListParagraph"/>
        <w:numPr>
          <w:ilvl w:val="0"/>
          <w:numId w:val="2"/>
        </w:numPr>
      </w:pPr>
      <w:r>
        <w:rPr>
          <w:sz w:val="22"/>
          <w:szCs w:val="22"/>
        </w:rPr>
        <w:t xml:space="preserve">Generalised lending — Recreate a full multi-asset money market with the collateral and borrow parameters you choose.</w:t>
      </w:r>
    </w:p>
    <w:p>
      <w:pPr>
        <w:pStyle w:val="ListParagraph"/>
        <w:numPr>
          <w:ilvl w:val="0"/>
          <w:numId w:val="2"/>
        </w:numPr>
      </w:pPr>
      <w:r>
        <w:rPr>
          <w:sz w:val="22"/>
          <w:szCs w:val="22"/>
        </w:rPr>
        <w:t xml:space="preserve">Efficiency lending — Basket correlated assets together to offer higher LTV ratios for looping and LST strategies.</w:t>
      </w:r>
    </w:p>
    <w:p>
      <w:pPr>
        <w:pStyle w:val="ListParagraph"/>
        <w:numPr>
          <w:ilvl w:val="0"/>
          <w:numId w:val="2"/>
        </w:numPr>
      </w:pPr>
      <w:r>
        <w:rPr>
          <w:sz w:val="22"/>
          <w:szCs w:val="22"/>
        </w:rPr>
        <w:t xml:space="preserve">Single pair markets — Isolated collateral and borrow pairs with dedicated risk parameters.</w:t>
      </w:r>
    </w:p>
    <w:p>
      <w:pPr>
        <w:pStyle w:val="ListParagraph"/>
        <w:numPr>
          <w:ilvl w:val="0"/>
          <w:numId w:val="2"/>
        </w:numPr>
      </w:pPr>
      <w:r>
        <w:rPr>
          <w:sz w:val="22"/>
          <w:szCs w:val="22"/>
        </w:rPr>
        <w:t xml:space="preserve">Permissioned lending — Closed environments for institutions and banks, with access control and private deployments.</w:t>
      </w:r>
    </w:p>
    <w:p>
      <w:pPr>
        <w:pStyle w:val="ListParagraph"/>
        <w:numPr>
          <w:ilvl w:val="0"/>
          <w:numId w:val="2"/>
        </w:numPr>
      </w:pPr>
      <w:r>
        <w:rPr>
          <w:sz w:val="22"/>
          <w:szCs w:val="22"/>
        </w:rPr>
        <w:t xml:space="preserve">Private lending — Formalise off-chain agreements on-chain, with under-collateralised options.</w:t>
      </w:r>
    </w:p>
    <w:p>
      <w:pPr>
        <w:pStyle w:val="ListParagraph"/>
        <w:numPr>
          <w:ilvl w:val="0"/>
          <w:numId w:val="2"/>
        </w:numPr>
      </w:pPr>
      <w:r>
        <w:rPr>
          <w:sz w:val="22"/>
          <w:szCs w:val="22"/>
        </w:rPr>
        <w:t xml:space="preserve">Intent-based lending — Fixed-term, fixed-rate positions matched between lenders and borrowers.</w:t>
      </w:r>
    </w:p>
    <w:p>
      <w:pPr>
        <w:pStyle w:val="Heading1"/>
      </w:pPr>
      <w:r>
        <w:t xml:space="preserve">Forbes Quote</w:t>
      </w:r>
    </w:p>
    <w:p>
      <w:pPr>
        <w:spacing w:after="20" w:before="120"/>
      </w:pPr>
      <w:r>
        <w:rPr>
          <w:b/>
          <w:bCs/>
          <w:color w:val="6B7280"/>
          <w:sz w:val="18"/>
          <w:szCs w:val="18"/>
        </w:rPr>
        <w:t xml:space="preserve">Citazione</w:t>
      </w:r>
    </w:p>
    <w:p>
      <w:pPr>
        <w:spacing w:after="80"/>
      </w:pPr>
      <w:r>
        <w:rPr>
          <w:sz w:val="22"/>
          <w:szCs w:val="22"/>
        </w:rPr>
        <w:t xml:space="preserve">“Institutions don't lose control and compliance onchain. Instead, they have the opportunity to place it where it matters and operate more efficiently”</w:t>
      </w:r>
    </w:p>
    <w:p>
      <w:pPr>
        <w:spacing w:after="20" w:before="120"/>
      </w:pPr>
      <w:r>
        <w:rPr>
          <w:b/>
          <w:bCs/>
          <w:color w:val="6B7280"/>
          <w:sz w:val="18"/>
          <w:szCs w:val="18"/>
        </w:rPr>
        <w:t xml:space="preserve">Paragrafo</w:t>
      </w:r>
    </w:p>
    <w:p>
      <w:pPr>
        <w:spacing w:after="80"/>
      </w:pPr>
      <w:r>
        <w:rPr>
          <w:sz w:val="22"/>
          <w:szCs w:val="22"/>
        </w:rPr>
        <w:t xml:space="preserve">In his latest Forbes article, Folks Finance CEO Benedetto Biondi explores why more institutions are moving onchain, how control and compliance are evolving, and what this could mean for the future of financial infrastructure.</w:t>
      </w:r>
    </w:p>
    <w:p>
      <w:pPr>
        <w:spacing w:after="20" w:before="120"/>
      </w:pPr>
      <w:r>
        <w:rPr>
          <w:b/>
          <w:bCs/>
          <w:color w:val="6B7280"/>
          <w:sz w:val="18"/>
          <w:szCs w:val="18"/>
        </w:rPr>
        <w:t xml:space="preserve">Link</w:t>
      </w:r>
    </w:p>
    <w:p>
      <w:pPr>
        <w:spacing w:after="80"/>
      </w:pPr>
      <w:r>
        <w:rPr>
          <w:sz w:val="22"/>
          <w:szCs w:val="22"/>
        </w:rPr>
        <w:t xml:space="preserve">Read article (→ articolo Forbes)</w:t>
      </w:r>
    </w:p>
    <w:p>
      <w:pPr>
        <w:pStyle w:val="Heading1"/>
      </w:pPr>
      <w:r>
        <w:t xml:space="preserve">Final CTA</w:t>
      </w:r>
    </w:p>
    <w:p>
      <w:pPr>
        <w:pStyle w:val="Heading2"/>
      </w:pPr>
      <w:r>
        <w:t xml:space="preserve">Launch your lending environment with Atlas</w:t>
      </w:r>
    </w:p>
    <w:p>
      <w:pPr>
        <w:spacing w:after="80"/>
      </w:pPr>
      <w:r>
        <w:rPr>
          <w:sz w:val="22"/>
          <w:szCs w:val="22"/>
        </w:rPr>
        <w:t xml:space="preserve">We're onboarding a select group of curators, institutions and partners ahead of launch. Let's build together.</w:t>
      </w:r>
    </w:p>
    <w:p>
      <w:pPr>
        <w:spacing w:after="20" w:before="120"/>
      </w:pPr>
      <w:r>
        <w:rPr>
          <w:b/>
          <w:bCs/>
          <w:color w:val="6B7280"/>
          <w:sz w:val="18"/>
          <w:szCs w:val="18"/>
        </w:rPr>
        <w:t xml:space="preserve">Campi del form (placeholder)</w:t>
      </w:r>
    </w:p>
    <w:p>
      <w:pPr>
        <w:pStyle w:val="ListParagraph"/>
        <w:numPr>
          <w:ilvl w:val="0"/>
          <w:numId w:val="2"/>
        </w:numPr>
      </w:pPr>
      <w:r>
        <w:rPr>
          <w:sz w:val="22"/>
          <w:szCs w:val="22"/>
        </w:rPr>
        <w:t xml:space="preserve">Full name</w:t>
      </w:r>
    </w:p>
    <w:p>
      <w:pPr>
        <w:pStyle w:val="ListParagraph"/>
        <w:numPr>
          <w:ilvl w:val="0"/>
          <w:numId w:val="2"/>
        </w:numPr>
      </w:pPr>
      <w:r>
        <w:rPr>
          <w:sz w:val="22"/>
          <w:szCs w:val="22"/>
        </w:rPr>
        <w:t xml:space="preserve">Work email</w:t>
      </w:r>
    </w:p>
    <w:p>
      <w:pPr>
        <w:pStyle w:val="ListParagraph"/>
        <w:numPr>
          <w:ilvl w:val="0"/>
          <w:numId w:val="2"/>
        </w:numPr>
      </w:pPr>
      <w:r>
        <w:rPr>
          <w:sz w:val="22"/>
          <w:szCs w:val="22"/>
        </w:rPr>
        <w:t xml:space="preserve">What's your company website?</w:t>
      </w:r>
    </w:p>
    <w:p>
      <w:pPr>
        <w:pStyle w:val="ListParagraph"/>
        <w:numPr>
          <w:ilvl w:val="0"/>
          <w:numId w:val="2"/>
        </w:numPr>
      </w:pPr>
      <w:r>
        <w:rPr>
          <w:sz w:val="22"/>
          <w:szCs w:val="22"/>
        </w:rPr>
        <w:t xml:space="preserve">Describe your use case (In a couple of sentences, please provide context on what you are interested in Folks Atlas for)</w:t>
      </w:r>
    </w:p>
    <w:p>
      <w:pPr>
        <w:spacing w:after="20" w:before="120"/>
      </w:pPr>
      <w:r>
        <w:rPr>
          <w:b/>
          <w:bCs/>
          <w:color w:val="6B7280"/>
          <w:sz w:val="18"/>
          <w:szCs w:val="18"/>
        </w:rPr>
        <w:t xml:space="preserve">Bottone invio</w:t>
      </w:r>
    </w:p>
    <w:p>
      <w:pPr>
        <w:spacing w:after="80"/>
      </w:pPr>
      <w:r>
        <w:rPr>
          <w:sz w:val="22"/>
          <w:szCs w:val="22"/>
        </w:rPr>
        <w:t xml:space="preserve">Get in touch</w:t>
      </w:r>
    </w:p>
    <w:p>
      <w:pPr>
        <w:spacing w:after="20" w:before="120"/>
      </w:pPr>
      <w:r>
        <w:rPr>
          <w:b/>
          <w:bCs/>
          <w:color w:val="6B7280"/>
          <w:sz w:val="18"/>
          <w:szCs w:val="18"/>
        </w:rPr>
        <w:t xml:space="preserve">Messaggio di conferma (dopo invio)</w:t>
      </w:r>
    </w:p>
    <w:p>
      <w:pPr>
        <w:spacing w:after="80"/>
      </w:pPr>
      <w:r>
        <w:rPr>
          <w:sz w:val="22"/>
          <w:szCs w:val="22"/>
        </w:rPr>
        <w:t xml:space="preserve">Thanks, we'll be in touch.</w:t>
      </w:r>
    </w:p>
    <w:p>
      <w:pPr>
        <w:spacing w:after="80"/>
      </w:pPr>
      <w:r>
        <w:rPr>
          <w:sz w:val="22"/>
          <w:szCs w:val="22"/>
        </w:rPr>
        <w:t xml:space="preserve">Our team will reach out shortly.</w:t>
      </w:r>
    </w:p>
    <w:p>
      <w:pPr>
        <w:pStyle w:val="Heading1"/>
      </w:pPr>
      <w:r>
        <w:t xml:space="preserve">Footer</w:t>
      </w:r>
    </w:p>
    <w:p>
      <w:pPr>
        <w:spacing w:after="20" w:before="120"/>
      </w:pPr>
      <w:r>
        <w:rPr>
          <w:b/>
          <w:bCs/>
          <w:color w:val="6B7280"/>
          <w:sz w:val="18"/>
          <w:szCs w:val="18"/>
        </w:rPr>
        <w:t xml:space="preserve">Tagline</w:t>
      </w:r>
    </w:p>
    <w:p>
      <w:pPr>
        <w:spacing w:after="80"/>
      </w:pPr>
      <w:r>
        <w:rPr>
          <w:sz w:val="22"/>
          <w:szCs w:val="22"/>
        </w:rPr>
        <w:t xml:space="preserve">The open infrastructure layer for onchain lending. Built by Folks Finance.</w:t>
      </w:r>
    </w:p>
    <w:p>
      <w:pPr>
        <w:spacing w:after="20" w:before="120"/>
      </w:pPr>
      <w:r>
        <w:rPr>
          <w:b/>
          <w:bCs/>
          <w:color w:val="6B7280"/>
          <w:sz w:val="18"/>
          <w:szCs w:val="18"/>
        </w:rPr>
        <w:t xml:space="preserve">Colonna About</w:t>
      </w:r>
    </w:p>
    <w:p>
      <w:pPr>
        <w:pStyle w:val="ListParagraph"/>
        <w:numPr>
          <w:ilvl w:val="0"/>
          <w:numId w:val="2"/>
        </w:numPr>
      </w:pPr>
      <w:r>
        <w:rPr>
          <w:sz w:val="22"/>
          <w:szCs w:val="22"/>
        </w:rPr>
        <w:t xml:space="preserve">Folks Finance</w:t>
      </w:r>
    </w:p>
    <w:p>
      <w:pPr>
        <w:pStyle w:val="ListParagraph"/>
        <w:numPr>
          <w:ilvl w:val="0"/>
          <w:numId w:val="2"/>
        </w:numPr>
      </w:pPr>
      <w:r>
        <w:rPr>
          <w:sz w:val="22"/>
          <w:szCs w:val="22"/>
        </w:rPr>
        <w:t xml:space="preserve">$FOLKS</w:t>
      </w:r>
    </w:p>
    <w:p>
      <w:pPr>
        <w:pStyle w:val="ListParagraph"/>
        <w:numPr>
          <w:ilvl w:val="0"/>
          <w:numId w:val="2"/>
        </w:numPr>
      </w:pPr>
      <w:r>
        <w:rPr>
          <w:sz w:val="22"/>
          <w:szCs w:val="22"/>
        </w:rPr>
        <w:t xml:space="preserve">Governance</w:t>
      </w:r>
    </w:p>
    <w:p>
      <w:pPr>
        <w:pStyle w:val="ListParagraph"/>
        <w:numPr>
          <w:ilvl w:val="0"/>
          <w:numId w:val="2"/>
        </w:numPr>
      </w:pPr>
      <w:r>
        <w:rPr>
          <w:sz w:val="22"/>
          <w:szCs w:val="22"/>
        </w:rPr>
        <w:t xml:space="preserve">Brand Assets</w:t>
      </w:r>
    </w:p>
    <w:p>
      <w:pPr>
        <w:pStyle w:val="ListParagraph"/>
        <w:numPr>
          <w:ilvl w:val="0"/>
          <w:numId w:val="2"/>
        </w:numPr>
      </w:pPr>
      <w:r>
        <w:rPr>
          <w:sz w:val="22"/>
          <w:szCs w:val="22"/>
        </w:rPr>
        <w:t xml:space="preserve">Careers</w:t>
      </w:r>
    </w:p>
    <w:p>
      <w:pPr>
        <w:spacing w:after="20" w:before="120"/>
      </w:pPr>
      <w:r>
        <w:rPr>
          <w:b/>
          <w:bCs/>
          <w:color w:val="6B7280"/>
          <w:sz w:val="18"/>
          <w:szCs w:val="18"/>
        </w:rPr>
        <w:t xml:space="preserve">Colonna Legal</w:t>
      </w:r>
    </w:p>
    <w:p>
      <w:pPr>
        <w:pStyle w:val="ListParagraph"/>
        <w:numPr>
          <w:ilvl w:val="0"/>
          <w:numId w:val="2"/>
        </w:numPr>
      </w:pPr>
      <w:r>
        <w:rPr>
          <w:sz w:val="22"/>
          <w:szCs w:val="22"/>
        </w:rPr>
        <w:t xml:space="preserve">Privacy &amp; Cookie Policy</w:t>
      </w:r>
    </w:p>
    <w:p>
      <w:pPr>
        <w:pStyle w:val="ListParagraph"/>
        <w:numPr>
          <w:ilvl w:val="0"/>
          <w:numId w:val="2"/>
        </w:numPr>
      </w:pPr>
      <w:r>
        <w:rPr>
          <w:sz w:val="22"/>
          <w:szCs w:val="22"/>
        </w:rPr>
        <w:t xml:space="preserve">Folks Finance DeFi T&amp;C</w:t>
      </w:r>
    </w:p>
    <w:p>
      <w:pPr>
        <w:pStyle w:val="ListParagraph"/>
        <w:numPr>
          <w:ilvl w:val="0"/>
          <w:numId w:val="2"/>
        </w:numPr>
      </w:pPr>
      <w:r>
        <w:rPr>
          <w:sz w:val="22"/>
          <w:szCs w:val="22"/>
        </w:rPr>
        <w:t xml:space="preserve">FOLKS Token T&amp;C</w:t>
      </w:r>
    </w:p>
    <w:p>
      <w:pPr>
        <w:spacing w:after="20" w:before="120"/>
      </w:pPr>
      <w:r>
        <w:rPr>
          <w:b/>
          <w:bCs/>
          <w:color w:val="6B7280"/>
          <w:sz w:val="18"/>
          <w:szCs w:val="18"/>
        </w:rPr>
        <w:t xml:space="preserve">Social</w:t>
      </w:r>
    </w:p>
    <w:p>
      <w:pPr>
        <w:pStyle w:val="ListParagraph"/>
        <w:numPr>
          <w:ilvl w:val="0"/>
          <w:numId w:val="2"/>
        </w:numPr>
      </w:pPr>
      <w:r>
        <w:rPr>
          <w:sz w:val="22"/>
          <w:szCs w:val="22"/>
        </w:rPr>
        <w:t xml:space="preserve">X</w:t>
      </w:r>
    </w:p>
    <w:p>
      <w:pPr>
        <w:pStyle w:val="ListParagraph"/>
        <w:numPr>
          <w:ilvl w:val="0"/>
          <w:numId w:val="2"/>
        </w:numPr>
      </w:pPr>
      <w:r>
        <w:rPr>
          <w:sz w:val="22"/>
          <w:szCs w:val="22"/>
        </w:rPr>
        <w:t xml:space="preserve">GitHub</w:t>
      </w:r>
    </w:p>
    <w:p>
      <w:pPr>
        <w:pStyle w:val="ListParagraph"/>
        <w:numPr>
          <w:ilvl w:val="0"/>
          <w:numId w:val="2"/>
        </w:numPr>
      </w:pPr>
      <w:r>
        <w:rPr>
          <w:sz w:val="22"/>
          <w:szCs w:val="22"/>
        </w:rPr>
        <w:t xml:space="preserve">Docs</w:t>
      </w:r>
    </w:p>
    <w:p>
      <w:pPr>
        <w:spacing w:after="20" w:before="120"/>
      </w:pPr>
      <w:r>
        <w:rPr>
          <w:b/>
          <w:bCs/>
          <w:color w:val="6B7280"/>
          <w:sz w:val="18"/>
          <w:szCs w:val="18"/>
        </w:rPr>
        <w:t xml:space="preserve">Riga in basso</w:t>
      </w:r>
    </w:p>
    <w:p>
      <w:pPr>
        <w:spacing w:after="80"/>
      </w:pPr>
      <w:r>
        <w:rPr>
          <w:sz w:val="22"/>
          <w:szCs w:val="22"/>
        </w:rPr>
        <w:t xml:space="preserve">Folks Atlas - infrastructure for lending.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120"/>
    </w:pPr>
    <w:rPr>
      <w:rFonts w:ascii="Arial" w:cs="Arial" w:eastAsia="Arial" w:hAnsi="Arial"/>
      <w:b/>
      <w:bCs/>
      <w:color w:val="0260ED"/>
      <w:sz w:val="44"/>
      <w:szCs w:val="44"/>
    </w:rPr>
  </w:style>
  <w:style w:type="paragraph" w:styleId="Heading1">
    <w:name w:val="Heading 1"/>
    <w:basedOn w:val="Normal"/>
    <w:next w:val="Normal"/>
    <w:qFormat/>
    <w:pPr>
      <w:pBdr>
        <w:bottom w:val="single" w:color="0260ED" w:sz="6" w:space="4"/>
      </w:pBdr>
      <w:spacing w:after="120" w:before="320"/>
      <w:outlineLvl w:val="0"/>
    </w:pPr>
    <w:rPr>
      <w:rFonts w:ascii="Arial" w:cs="Arial" w:eastAsia="Arial" w:hAnsi="Arial"/>
      <w:b/>
      <w:bCs/>
      <w:sz w:val="30"/>
      <w:szCs w:val="30"/>
    </w:rPr>
  </w:style>
  <w:style w:type="paragraph" w:styleId="Heading2">
    <w:name w:val="Heading 2"/>
    <w:basedOn w:val="Normal"/>
    <w:next w:val="Normal"/>
    <w:qFormat/>
    <w:pPr>
      <w:spacing w:after="80" w:before="120"/>
      <w:outlineLvl w:val="1"/>
    </w:pPr>
    <w:rPr>
      <w:rFonts w:ascii="Arial" w:cs="Arial" w:eastAsia="Arial" w:hAnsi="Arial"/>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2026-06-12T06:21:24.627Z</dcterms:created>
  <dcterms:modified xsi:type="dcterms:W3CDTF">2026-06-12T06:21:24.628Z</dcterms:modified>
</cp:coreProperties>
</file>

<file path=docProps/custom.xml><?xml version="1.0" encoding="utf-8"?>
<Properties xmlns="http://schemas.openxmlformats.org/officeDocument/2006/custom-properties" xmlns:vt="http://schemas.openxmlformats.org/officeDocument/2006/docPropsVTypes"/>
</file>