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Calibri" w:cs="Calibri" w:eastAsia="Calibri" w:hAnsi="Calibri"/>
          <w:b/>
          <w:bCs/>
          <w:color w:val="1B2A6B"/>
          <w:sz w:val="72"/>
          <w:szCs w:val="72"/>
        </w:rPr>
        <w:t xml:space="preserve">SURYA</w:t>
      </w:r>
      <w:r>
        <w:rPr>
          <w:rFonts w:ascii="Calibri" w:cs="Calibri" w:eastAsia="Calibri" w:hAnsi="Calibri"/>
          <w:b/>
          <w:bCs/>
          <w:color w:val="F97316"/>
          <w:sz w:val="72"/>
          <w:szCs w:val="72"/>
        </w:rPr>
        <w:t xml:space="preserve">HUB</w:t>
      </w:r>
    </w:p>
    <w:p>
      <w:pPr>
        <w:jc w:val="center"/>
      </w:pPr>
      <w:r>
        <w:rPr>
          <w:rFonts w:ascii="Calibri" w:cs="Calibri" w:eastAsia="Calibri" w:hAnsi="Calibri"/>
          <w:b/>
          <w:bCs/>
          <w:color w:val="1B2A6B"/>
          <w:sz w:val="34"/>
          <w:szCs w:val="34"/>
        </w:rPr>
        <w:t xml:space="preserve">Laporan Analisis Perilaku Pelanggan &amp; Loyalitas</w:t>
      </w:r>
    </w:p>
    <w:p>
      <w:pPr>
        <w:jc w:val="center"/>
      </w:pPr>
      <w:r>
        <w:rPr>
          <w:rFonts w:ascii="Calibri" w:cs="Calibri" w:eastAsia="Calibri" w:hAnsi="Calibri"/>
          <w:color w:val="6B7280"/>
          <w:sz w:val="22"/>
          <w:szCs w:val="22"/>
        </w:rPr>
        <w:t xml:space="preserve">Disusun oleh: Andhika Indrastata Mahardika  |  2025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20"/>
              <w:left w:type="dxa" w:w="0"/>
              <w:bottom w:type="dxa" w:w="20"/>
              <w:right w:type="dxa" w:w="0"/>
            </w:tcMar>
          </w:tcPr>
          <w:p>
            <w:r>
              <w:t xml:space="preserve"/>
            </w:r>
          </w:p>
        </w:tc>
      </w:tr>
    </w:tbl>
    <w:p>
      <w:pPr>
        <w:spacing w:after="0" w:before="80"/>
      </w:pPr>
      <w:r>
        <w:t xml:space="preserve"/>
      </w:r>
    </w:p>
    <w:p>
      <w:pPr>
        <w:pBdr>
          <w:bottom w:val="single" w:color="F97316" w:sz="4" w:space="4"/>
        </w:pBdr>
        <w:spacing w:after="160" w:before="360"/>
      </w:pPr>
      <w:r>
        <w:rPr>
          <w:rFonts w:ascii="Calibri" w:cs="Calibri" w:eastAsia="Calibri" w:hAnsi="Calibri"/>
          <w:b/>
          <w:bCs/>
          <w:color w:val="1B2A6B"/>
          <w:sz w:val="36"/>
          <w:szCs w:val="36"/>
        </w:rPr>
        <w:t xml:space="preserve">1. Ringkasan Eksekutif</w:t>
      </w:r>
    </w:p>
    <w:p>
      <w:pPr>
        <w:spacing w:after="60" w:before="60"/>
      </w:pPr>
      <w:r>
        <w:rPr>
          <w:rFonts w:ascii="Calibri" w:cs="Calibri" w:eastAsia="Calibri" w:hAnsi="Calibri"/>
          <w:color w:val="374151"/>
          <w:sz w:val="22"/>
          <w:szCs w:val="22"/>
        </w:rPr>
        <w:t xml:space="preserve">SuryaHub beroperasi di lingkungan ritel yang kompetitif, di mana pemahaman mendalam tentang perilaku pelanggan menjadi kunci pertumbuhan yang berkelanjutan. Laporan ini menganalisis 500 catatan transaksi pelanggan dari dataset SuryaHub, mengungkap pola pada demografi, saluran pembelian, partisipasi program loyalitas, dan perilaku pengeluaran.</w:t>
      </w:r>
    </w:p>
    <w:p>
      <w:pPr>
        <w:spacing w:after="0" w:before="80"/>
      </w:pPr>
      <w:r>
        <w:t xml:space="preserve"/>
      </w:r>
    </w:p>
    <w:p>
      <w:pPr>
        <w:spacing w:after="60" w:before="60"/>
      </w:pPr>
      <w:r>
        <w:rPr>
          <w:rFonts w:ascii="Calibri" w:cs="Calibri" w:eastAsia="Calibri" w:hAnsi="Calibri"/>
          <w:color w:val="374151"/>
          <w:sz w:val="22"/>
          <w:szCs w:val="22"/>
        </w:rPr>
        <w:t xml:space="preserve">Analisis mengidentifikasi tiga imperatif strategis utama:</w:t>
      </w:r>
    </w:p>
    <w:p>
      <w:pPr>
        <w:pStyle w:val="ListParagraph"/>
        <w:numPr>
          <w:ilvl w:val="0"/>
          <w:numId w:val="2"/>
        </w:numPr>
        <w:spacing w:after="40" w:before="40"/>
      </w:pPr>
      <w:r>
        <w:rPr>
          <w:rFonts w:ascii="Calibri" w:cs="Calibri" w:eastAsia="Calibri" w:hAnsi="Calibri"/>
          <w:color w:val="374151"/>
          <w:sz w:val="22"/>
          <w:szCs w:val="22"/>
        </w:rPr>
        <w:t xml:space="preserve">Pelanggan perempuan (53%) adalah pendorong transaksi terbesar dan membutuhkan pendekatan yang lebih terarah melalui kategori produk favorit mereka.</w:t>
      </w:r>
    </w:p>
    <w:p>
      <w:pPr>
        <w:pStyle w:val="ListParagraph"/>
        <w:numPr>
          <w:ilvl w:val="0"/>
          <w:numId w:val="2"/>
        </w:numPr>
        <w:spacing w:after="40" w:before="40"/>
      </w:pPr>
      <w:r>
        <w:rPr>
          <w:rFonts w:ascii="Calibri" w:cs="Calibri" w:eastAsia="Calibri" w:hAnsi="Calibri"/>
          <w:color w:val="374151"/>
          <w:sz w:val="22"/>
          <w:szCs w:val="22"/>
        </w:rPr>
        <w:t xml:space="preserve">Program loyalitas terbukti efektif — anggota secara konsisten melampaui non-anggota dalam hal nilai belanja dan frekuensi, namun masih terdapat potensi besar yang belum dimanfaatkan pada saluran konversi.</w:t>
      </w:r>
    </w:p>
    <w:p>
      <w:pPr>
        <w:pStyle w:val="ListParagraph"/>
        <w:numPr>
          <w:ilvl w:val="0"/>
          <w:numId w:val="2"/>
        </w:numPr>
        <w:spacing w:after="40" w:before="40"/>
      </w:pPr>
      <w:r>
        <w:rPr>
          <w:rFonts w:ascii="Calibri" w:cs="Calibri" w:eastAsia="Calibri" w:hAnsi="Calibri"/>
          <w:color w:val="374151"/>
          <w:sz w:val="22"/>
          <w:szCs w:val="22"/>
        </w:rPr>
        <w:t xml:space="preserve">Pembelian di Toko Fisik (In-Store) tetap menjadi saluran dengan nilai transaksi tertinggi, menegaskan bahwa pengalaman belanja langsung adalah keunggulan kompetitif utama SuryaHub.</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none" w:color="FFFFFF" w:sz="0"/>
              <w:left w:val="none" w:color="FFFFFF" w:sz="0"/>
              <w:bottom w:val="none" w:color="FFFFFF" w:sz="0"/>
              <w:right w:val="none" w:color="FFFFFF" w:sz="0"/>
            </w:tcBorders>
            <w:shd w:fill="EEF2FF" w:val="clear"/>
            <w:tcMar>
              <w:top w:type="dxa" w:w="160"/>
              <w:left w:type="dxa" w:w="180"/>
              <w:bottom w:type="dxa" w:w="160"/>
              <w:right w:type="dxa" w:w="180"/>
            </w:tcMar>
          </w:tcPr>
          <w:p>
            <w:pPr>
              <w:jc w:val="center"/>
            </w:pPr>
            <w:r>
              <w:rPr>
                <w:rFonts w:ascii="Calibri" w:cs="Calibri" w:eastAsia="Calibri" w:hAnsi="Calibri"/>
                <w:b/>
                <w:bCs/>
                <w:color w:val="1B2A6B"/>
                <w:sz w:val="48"/>
                <w:szCs w:val="48"/>
              </w:rPr>
              <w:t xml:space="preserve">1.059</w:t>
            </w:r>
          </w:p>
          <w:p>
            <w:pPr>
              <w:jc w:val="center"/>
            </w:pPr>
            <w:r>
              <w:rPr>
                <w:rFonts w:ascii="Calibri" w:cs="Calibri" w:eastAsia="Calibri" w:hAnsi="Calibri"/>
                <w:b/>
                <w:bCs/>
                <w:color w:val="6B7280"/>
                <w:sz w:val="20"/>
                <w:szCs w:val="20"/>
              </w:rPr>
              <w:t xml:space="preserve">Transaksi Pelanggan Perempuan</w:t>
            </w:r>
          </w:p>
          <w:p>
            <w:pPr>
              <w:jc w:val="center"/>
            </w:pPr>
            <w:r>
              <w:rPr>
                <w:rFonts w:ascii="Calibri" w:cs="Calibri" w:eastAsia="Calibri" w:hAnsi="Calibri"/>
                <w:color w:val="6B7280"/>
                <w:sz w:val="18"/>
                <w:szCs w:val="18"/>
              </w:rPr>
              <w:t xml:space="preserve">53% dari total</w:t>
            </w:r>
          </w:p>
        </w:tc>
        <w:tc>
          <w:tcPr>
            <w:tcW w:type="dxa" w:w="2900"/>
            <w:tcBorders>
              <w:top w:val="none" w:color="FFFFFF" w:sz="0"/>
              <w:left w:val="none" w:color="FFFFFF" w:sz="0"/>
              <w:bottom w:val="none" w:color="FFFFFF" w:sz="0"/>
              <w:right w:val="none" w:color="FFFFFF" w:sz="0"/>
            </w:tcBorders>
            <w:shd w:fill="EEF2FF" w:val="clear"/>
            <w:tcMar>
              <w:top w:type="dxa" w:w="160"/>
              <w:left w:type="dxa" w:w="180"/>
              <w:bottom w:type="dxa" w:w="160"/>
              <w:right w:type="dxa" w:w="180"/>
            </w:tcMar>
          </w:tcPr>
          <w:p>
            <w:pPr>
              <w:jc w:val="center"/>
            </w:pPr>
            <w:r>
              <w:rPr>
                <w:rFonts w:ascii="Calibri" w:cs="Calibri" w:eastAsia="Calibri" w:hAnsi="Calibri"/>
                <w:b/>
                <w:bCs/>
                <w:color w:val="1B2A6B"/>
                <w:sz w:val="48"/>
                <w:szCs w:val="48"/>
              </w:rPr>
              <w:t xml:space="preserve">Makassar</w:t>
            </w:r>
          </w:p>
          <w:p>
            <w:pPr>
              <w:jc w:val="center"/>
            </w:pPr>
            <w:r>
              <w:rPr>
                <w:rFonts w:ascii="Calibri" w:cs="Calibri" w:eastAsia="Calibri" w:hAnsi="Calibri"/>
                <w:b/>
                <w:bCs/>
                <w:color w:val="6B7280"/>
                <w:sz w:val="20"/>
                <w:szCs w:val="20"/>
              </w:rPr>
              <w:t xml:space="preserve">Kota Teratas (Volume)</w:t>
            </w:r>
          </w:p>
          <w:p>
            <w:pPr>
              <w:jc w:val="center"/>
            </w:pPr>
            <w:r>
              <w:rPr>
                <w:rFonts w:ascii="Calibri" w:cs="Calibri" w:eastAsia="Calibri" w:hAnsi="Calibri"/>
                <w:color w:val="6B7280"/>
                <w:sz w:val="18"/>
                <w:szCs w:val="18"/>
              </w:rPr>
              <w:t xml:space="preserve">95 pesanan</w:t>
            </w:r>
          </w:p>
        </w:tc>
        <w:tc>
          <w:tcPr>
            <w:tcW w:type="dxa" w:w="2900"/>
            <w:tcBorders>
              <w:top w:val="none" w:color="FFFFFF" w:sz="0"/>
              <w:left w:val="none" w:color="FFFFFF" w:sz="0"/>
              <w:bottom w:val="none" w:color="FFFFFF" w:sz="0"/>
              <w:right w:val="none" w:color="FFFFFF" w:sz="0"/>
            </w:tcBorders>
            <w:shd w:fill="EEF2FF" w:val="clear"/>
            <w:tcMar>
              <w:top w:type="dxa" w:w="160"/>
              <w:left w:type="dxa" w:w="180"/>
              <w:bottom w:type="dxa" w:w="160"/>
              <w:right w:type="dxa" w:w="180"/>
            </w:tcMar>
          </w:tcPr>
          <w:p>
            <w:pPr>
              <w:jc w:val="center"/>
            </w:pPr>
            <w:r>
              <w:rPr>
                <w:rFonts w:ascii="Calibri" w:cs="Calibri" w:eastAsia="Calibri" w:hAnsi="Calibri"/>
                <w:b/>
                <w:bCs/>
                <w:color w:val="1B2A6B"/>
                <w:sz w:val="48"/>
                <w:szCs w:val="48"/>
              </w:rPr>
              <w:t xml:space="preserve">In-Store</w:t>
            </w:r>
          </w:p>
          <w:p>
            <w:pPr>
              <w:jc w:val="center"/>
            </w:pPr>
            <w:r>
              <w:rPr>
                <w:rFonts w:ascii="Calibri" w:cs="Calibri" w:eastAsia="Calibri" w:hAnsi="Calibri"/>
                <w:b/>
                <w:bCs/>
                <w:color w:val="6B7280"/>
                <w:sz w:val="20"/>
                <w:szCs w:val="20"/>
              </w:rPr>
              <w:t xml:space="preserve">Saluran AOV Tertinggi</w:t>
            </w:r>
          </w:p>
          <w:p>
            <w:pPr>
              <w:jc w:val="center"/>
            </w:pPr>
            <w:r>
              <w:rPr>
                <w:rFonts w:ascii="Calibri" w:cs="Calibri" w:eastAsia="Calibri" w:hAnsi="Calibri"/>
                <w:color w:val="6B7280"/>
                <w:sz w:val="18"/>
                <w:szCs w:val="18"/>
              </w:rPr>
              <w:t xml:space="preserve">Pemimpin rata-rata belanja</w:t>
            </w:r>
          </w:p>
        </w:tc>
      </w:tr>
    </w:tbl>
    <w:p>
      <w:pPr>
        <w:spacing w:after="0" w:before="100"/>
      </w:pPr>
      <w:r>
        <w:t xml:space="preserve"/>
      </w:r>
    </w:p>
    <w:p>
      <w:pPr>
        <w:spacing w:after="60" w:before="60"/>
      </w:pPr>
      <w:r>
        <w:rPr>
          <w:rFonts w:ascii="Calibri" w:cs="Calibri" w:eastAsia="Calibri" w:hAnsi="Calibri"/>
          <w:color w:val="374151"/>
          <w:sz w:val="22"/>
          <w:szCs w:val="22"/>
        </w:rPr>
        <w:t xml:space="preserve">Prioritas Tindakan: Fokuskan investasi segera pada perluasan program loyalitas (temuan Q6), penargetan geografis di Makassar dan Jakarta, serta peningkatan pengalaman belanja di toko fisik untuk memaksimalkan nilai keranjang belanja.</w:t>
      </w:r>
    </w:p>
    <w:p>
      <w:r>
        <w:br w:type="page"/>
      </w:r>
    </w:p>
    <w:p>
      <w:pPr>
        <w:pBdr>
          <w:bottom w:val="single" w:color="F97316" w:sz="4" w:space="4"/>
        </w:pBdr>
        <w:spacing w:after="160" w:before="360"/>
      </w:pPr>
      <w:r>
        <w:rPr>
          <w:rFonts w:ascii="Calibri" w:cs="Calibri" w:eastAsia="Calibri" w:hAnsi="Calibri"/>
          <w:b/>
          <w:bCs/>
          <w:color w:val="1B2A6B"/>
          <w:sz w:val="36"/>
          <w:szCs w:val="36"/>
        </w:rPr>
        <w:t xml:space="preserve">2. Temuan Utama</w:t>
      </w:r>
    </w:p>
    <w:p>
      <w:pPr>
        <w:spacing w:after="120" w:before="280"/>
      </w:pPr>
      <w:r>
        <w:rPr>
          <w:rFonts w:ascii="Calibri" w:cs="Calibri" w:eastAsia="Calibri" w:hAnsi="Calibri"/>
          <w:b/>
          <w:bCs/>
          <w:color w:val="1B2A6B"/>
          <w:sz w:val="28"/>
          <w:szCs w:val="28"/>
        </w:rPr>
        <w:t xml:space="preserve">2.1 Demografi Pelanggan</w:t>
      </w:r>
    </w:p>
    <w:p>
      <w:pPr>
        <w:pStyle w:val="ListParagraph"/>
        <w:numPr>
          <w:ilvl w:val="0"/>
          <w:numId w:val="2"/>
        </w:numPr>
        <w:spacing w:after="40" w:before="40"/>
      </w:pPr>
      <w:r>
        <w:rPr>
          <w:rFonts w:ascii="Calibri" w:cs="Calibri" w:eastAsia="Calibri" w:hAnsi="Calibri"/>
          <w:color w:val="374151"/>
          <w:sz w:val="22"/>
          <w:szCs w:val="22"/>
        </w:rPr>
        <w:t xml:space="preserve">Pelanggan perempuan menyumbang 53% dari seluruh transaksi (1.059 dari ~2.000), menjadikan mereka basis pendapatan utama SuryaHub.</w:t>
      </w:r>
    </w:p>
    <w:p>
      <w:pPr>
        <w:pStyle w:val="ListParagraph"/>
        <w:numPr>
          <w:ilvl w:val="0"/>
          <w:numId w:val="2"/>
        </w:numPr>
        <w:spacing w:after="40" w:before="40"/>
      </w:pPr>
      <w:r>
        <w:rPr>
          <w:rFonts w:ascii="Calibri" w:cs="Calibri" w:eastAsia="Calibri" w:hAnsi="Calibri"/>
          <w:color w:val="374151"/>
          <w:sz w:val="22"/>
          <w:szCs w:val="22"/>
        </w:rPr>
        <w:t xml:space="preserve">Pelanggan laki-laki mewakili 47% — segmen signifikan yang kurang terwakili dalam kampanye pemasaran saat ini.</w:t>
      </w:r>
    </w:p>
    <w:p>
      <w:pPr>
        <w:pStyle w:val="ListParagraph"/>
        <w:numPr>
          <w:ilvl w:val="0"/>
          <w:numId w:val="2"/>
        </w:numPr>
        <w:spacing w:after="40" w:before="40"/>
      </w:pPr>
      <w:r>
        <w:rPr>
          <w:rFonts w:ascii="Calibri" w:cs="Calibri" w:eastAsia="Calibri" w:hAnsi="Calibri"/>
          <w:color w:val="374151"/>
          <w:sz w:val="22"/>
          <w:szCs w:val="22"/>
        </w:rPr>
        <w:t xml:space="preserve">Segmen usia 25–34 tahun berkontribusi sekitar 40% dari total pendapatan, menjadikan mereka kohort demografis paling bernilai.</w:t>
      </w:r>
    </w:p>
    <w:p>
      <w:pPr>
        <w:spacing w:after="0" w:before="80"/>
      </w:pPr>
      <w:r>
        <w:t xml:space="preserve"/>
      </w:r>
    </w:p>
    <w:p>
      <w:pPr>
        <w:spacing w:after="120" w:before="280"/>
      </w:pPr>
      <w:r>
        <w:rPr>
          <w:rFonts w:ascii="Calibri" w:cs="Calibri" w:eastAsia="Calibri" w:hAnsi="Calibri"/>
          <w:b/>
          <w:bCs/>
          <w:color w:val="1B2A6B"/>
          <w:sz w:val="28"/>
          <w:szCs w:val="28"/>
        </w:rPr>
        <w:t xml:space="preserve">2.2 Distribusi Geografis</w:t>
      </w:r>
    </w:p>
    <w:p>
      <w:pPr>
        <w:spacing w:after="60" w:before="60"/>
      </w:pPr>
      <w:r>
        <w:rPr>
          <w:rFonts w:ascii="Calibri" w:cs="Calibri" w:eastAsia="Calibri" w:hAnsi="Calibri"/>
          <w:color w:val="374151"/>
          <w:sz w:val="22"/>
          <w:szCs w:val="22"/>
        </w:rPr>
        <w:t xml:space="preserve">5 kota teratas berdasarkan jumlah pelanggan:</w:t>
      </w:r>
    </w:p>
    <w:p>
      <w:pPr>
        <w:spacing w:after="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tblGrid>
      <w:tr>
        <w:tc>
          <w:tcPr>
            <w:tcW w:type="dxa" w:w="60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tcPr>
          <w:p>
            <w:r>
              <w:rPr>
                <w:rFonts w:ascii="Calibri" w:cs="Calibri" w:eastAsia="Calibri" w:hAnsi="Calibri"/>
                <w:b/>
                <w:bCs/>
                <w:color w:val="FFFFFF"/>
                <w:sz w:val="20"/>
                <w:szCs w:val="20"/>
              </w:rPr>
              <w:t xml:space="preserve">Kota</w:t>
            </w:r>
          </w:p>
        </w:tc>
        <w:tc>
          <w:tcPr>
            <w:tcW w:type="dxa" w:w="240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Volume Pesanan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374151"/>
                <w:sz w:val="20"/>
                <w:szCs w:val="20"/>
              </w:rPr>
              <w:t xml:space="preserve">Makassar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Calibri" w:cs="Calibri" w:eastAsia="Calibri" w:hAnsi="Calibri"/>
                <w:b/>
                <w:bCs/>
                <w:color w:val="1B2A6B"/>
                <w:sz w:val="20"/>
                <w:szCs w:val="20"/>
              </w:rPr>
              <w:t xml:space="preserve">95</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Jakarta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Calibri" w:cs="Calibri" w:eastAsia="Calibri" w:hAnsi="Calibri"/>
                <w:b/>
                <w:bCs/>
                <w:color w:val="1B2A6B"/>
                <w:sz w:val="20"/>
                <w:szCs w:val="20"/>
              </w:rPr>
              <w:t xml:space="preserve">90</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Bandung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Calibri" w:cs="Calibri" w:eastAsia="Calibri" w:hAnsi="Calibri"/>
                <w:b/>
                <w:bCs/>
                <w:color w:val="1B2A6B"/>
                <w:sz w:val="20"/>
                <w:szCs w:val="20"/>
              </w:rPr>
              <w:t xml:space="preserve">82</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4</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Surabaya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Calibri" w:cs="Calibri" w:eastAsia="Calibri" w:hAnsi="Calibri"/>
                <w:b/>
                <w:bCs/>
                <w:color w:val="1B2A6B"/>
                <w:sz w:val="20"/>
                <w:szCs w:val="20"/>
              </w:rPr>
              <w:t xml:space="preserve">78</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Medan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Calibri" w:cs="Calibri" w:eastAsia="Calibri" w:hAnsi="Calibri"/>
                <w:b/>
                <w:bCs/>
                <w:color w:val="1B2A6B"/>
                <w:sz w:val="20"/>
                <w:szCs w:val="20"/>
              </w:rPr>
              <w:t xml:space="preserve">78</w:t>
            </w:r>
          </w:p>
        </w:tc>
      </w:tr>
    </w:tbl>
    <w:p>
      <w:pPr>
        <w:spacing w:after="0" w:before="100"/>
      </w:pPr>
      <w:r>
        <w:t xml:space="preserve"/>
      </w:r>
    </w:p>
    <w:p>
      <w:pPr>
        <w:spacing w:after="60" w:before="60"/>
      </w:pPr>
      <w:r>
        <w:rPr>
          <w:rFonts w:ascii="Calibri" w:cs="Calibri" w:eastAsia="Calibri" w:hAnsi="Calibri"/>
          <w:color w:val="374151"/>
          <w:sz w:val="22"/>
          <w:szCs w:val="22"/>
        </w:rPr>
        <w:t xml:space="preserve">Catatan: Ringkasan Insight (Misi 1, Q2) menunjukkan Bandung memimpin berdasarkan jumlah pelanggan unik (517), sementara dashboard (Misi 3) menunjukkan Makassar memimpin berdasarkan volume pesanan (95). Kedua metrik ini saling melengkapi — Bandung memiliki pelanggan unik terbanyak, sedangkan Makassar memiliki frekuensi transaksi per pelanggan tertinggi.</w:t>
      </w:r>
    </w:p>
    <w:p>
      <w:pPr>
        <w:spacing w:after="0" w:before="80"/>
      </w:pPr>
      <w:r>
        <w:t xml:space="preserve"/>
      </w:r>
    </w:p>
    <w:p>
      <w:pPr>
        <w:spacing w:after="120" w:before="280"/>
      </w:pPr>
      <w:r>
        <w:rPr>
          <w:rFonts w:ascii="Calibri" w:cs="Calibri" w:eastAsia="Calibri" w:hAnsi="Calibri"/>
          <w:b/>
          <w:bCs/>
          <w:color w:val="1B2A6B"/>
          <w:sz w:val="28"/>
          <w:szCs w:val="28"/>
        </w:rPr>
        <w:t xml:space="preserve">2.3 Program Loyalitas &amp; Perilaku Diskon</w:t>
      </w:r>
    </w:p>
    <w:p>
      <w:pPr>
        <w:pStyle w:val="ListParagraph"/>
        <w:numPr>
          <w:ilvl w:val="0"/>
          <w:numId w:val="2"/>
        </w:numPr>
        <w:spacing w:after="40" w:before="40"/>
      </w:pPr>
      <w:r>
        <w:rPr>
          <w:rFonts w:ascii="Calibri" w:cs="Calibri" w:eastAsia="Calibri" w:hAnsi="Calibri"/>
          <w:color w:val="374151"/>
          <w:sz w:val="22"/>
          <w:szCs w:val="22"/>
        </w:rPr>
        <w:t xml:space="preserve">Anggota program loyalitas menunjukkan rata-rata nilai pembelian DAN frekuensi pembelian yang lebih tinggi dibandingkan non-anggota.</w:t>
      </w:r>
    </w:p>
    <w:p>
      <w:pPr>
        <w:pStyle w:val="ListParagraph"/>
        <w:numPr>
          <w:ilvl w:val="0"/>
          <w:numId w:val="2"/>
        </w:numPr>
        <w:spacing w:after="40" w:before="40"/>
      </w:pPr>
      <w:r>
        <w:rPr>
          <w:rFonts w:ascii="Calibri" w:cs="Calibri" w:eastAsia="Calibri" w:hAnsi="Calibri"/>
          <w:color w:val="374151"/>
          <w:sz w:val="22"/>
          <w:szCs w:val="22"/>
        </w:rPr>
        <w:t xml:space="preserve">Di antara pelanggan dengan Brand Loyalty = 5 (tertinggi), sekitar 50% masih memanfaatkan diskon — menunjukkan bahwa bahkan pelanggan paling loyal pun merespons insentif harga.</w:t>
      </w:r>
    </w:p>
    <w:p>
      <w:pPr>
        <w:pStyle w:val="ListParagraph"/>
        <w:numPr>
          <w:ilvl w:val="0"/>
          <w:numId w:val="2"/>
        </w:numPr>
        <w:spacing w:after="40" w:before="40"/>
      </w:pPr>
      <w:r>
        <w:rPr>
          <w:rFonts w:ascii="Calibri" w:cs="Calibri" w:eastAsia="Calibri" w:hAnsi="Calibri"/>
          <w:color w:val="374151"/>
          <w:sz w:val="22"/>
          <w:szCs w:val="22"/>
        </w:rPr>
        <w:t xml:space="preserve">Implikasi strategis: Diskon adalah alat retensi, bukan sekadar alat akuisisi. Anggota loyalitas tidak selalu membutuhkan diskon untuk tetap setia — mereka membutuhkan akses eksklusif dan pengakuan atas kesetiaan mereka.</w:t>
      </w:r>
    </w:p>
    <w:p>
      <w:pPr>
        <w:spacing w:after="0" w:before="80"/>
      </w:pPr>
      <w:r>
        <w:t xml:space="preserve"/>
      </w:r>
    </w:p>
    <w:p>
      <w:pPr>
        <w:spacing w:after="120" w:before="280"/>
      </w:pPr>
      <w:r>
        <w:rPr>
          <w:rFonts w:ascii="Calibri" w:cs="Calibri" w:eastAsia="Calibri" w:hAnsi="Calibri"/>
          <w:b/>
          <w:bCs/>
          <w:color w:val="1B2A6B"/>
          <w:sz w:val="28"/>
          <w:szCs w:val="28"/>
        </w:rPr>
        <w:t xml:space="preserve">2.4 Performa Saluran Pembelian</w:t>
      </w:r>
    </w:p>
    <w:p>
      <w:pPr>
        <w:pStyle w:val="ListParagraph"/>
        <w:numPr>
          <w:ilvl w:val="0"/>
          <w:numId w:val="2"/>
        </w:numPr>
        <w:spacing w:after="40" w:before="40"/>
      </w:pPr>
      <w:r>
        <w:rPr>
          <w:rFonts w:ascii="Calibri" w:cs="Calibri" w:eastAsia="Calibri" w:hAnsi="Calibri"/>
          <w:color w:val="374151"/>
          <w:sz w:val="22"/>
          <w:szCs w:val="22"/>
        </w:rPr>
        <w:t xml:space="preserve">In-Store (toko fisik) menghasilkan rata-rata nilai transaksi tertinggi per kunjungan.</w:t>
      </w:r>
    </w:p>
    <w:p>
      <w:pPr>
        <w:pStyle w:val="ListParagraph"/>
        <w:numPr>
          <w:ilvl w:val="0"/>
          <w:numId w:val="2"/>
        </w:numPr>
        <w:spacing w:after="40" w:before="40"/>
      </w:pPr>
      <w:r>
        <w:rPr>
          <w:rFonts w:ascii="Calibri" w:cs="Calibri" w:eastAsia="Calibri" w:hAnsi="Calibri"/>
          <w:color w:val="374151"/>
          <w:sz w:val="22"/>
          <w:szCs w:val="22"/>
        </w:rPr>
        <w:t xml:space="preserve">Saluran Mixed (online + offline) menghasilkan total nilai pembelian tertinggi (~800 jt), didorong oleh jumlah pelanggan yang lebih besar.</w:t>
      </w:r>
    </w:p>
    <w:p>
      <w:pPr>
        <w:pStyle w:val="ListParagraph"/>
        <w:numPr>
          <w:ilvl w:val="0"/>
          <w:numId w:val="2"/>
        </w:numPr>
        <w:spacing w:after="40" w:before="40"/>
      </w:pPr>
      <w:r>
        <w:rPr>
          <w:rFonts w:ascii="Calibri" w:cs="Calibri" w:eastAsia="Calibri" w:hAnsi="Calibri"/>
          <w:color w:val="374151"/>
          <w:sz w:val="22"/>
          <w:szCs w:val="22"/>
        </w:rPr>
        <w:t xml:space="preserve">Saluran Online terus berkembang, namun masih tertinggal dari In-Store dalam hal nilai per transaksi.</w:t>
      </w:r>
    </w:p>
    <w:p>
      <w:pPr>
        <w:spacing w:after="0" w:before="80"/>
      </w:pPr>
      <w:r>
        <w:t xml:space="preserve"/>
      </w:r>
    </w:p>
    <w:p>
      <w:pPr>
        <w:spacing w:after="120" w:before="280"/>
      </w:pPr>
      <w:r>
        <w:rPr>
          <w:rFonts w:ascii="Calibri" w:cs="Calibri" w:eastAsia="Calibri" w:hAnsi="Calibri"/>
          <w:b/>
          <w:bCs/>
          <w:color w:val="1B2A6B"/>
          <w:sz w:val="28"/>
          <w:szCs w:val="28"/>
        </w:rPr>
        <w:t xml:space="preserve">2.5 Distribusi Niat Pembelian</w:t>
      </w:r>
    </w:p>
    <w:p>
      <w:pPr>
        <w:pStyle w:val="ListParagraph"/>
        <w:numPr>
          <w:ilvl w:val="0"/>
          <w:numId w:val="2"/>
        </w:numPr>
        <w:spacing w:after="40" w:before="40"/>
      </w:pPr>
      <w:r>
        <w:rPr>
          <w:rFonts w:ascii="Calibri" w:cs="Calibri" w:eastAsia="Calibri" w:hAnsi="Calibri"/>
          <w:color w:val="374151"/>
          <w:sz w:val="22"/>
          <w:szCs w:val="22"/>
        </w:rPr>
        <w:t xml:space="preserve">Berbasis Kebutuhan: 26,4%  |  Berbasis Keinginan: 24,8%  |  Terencana: 25,2%  |  Impulsif: 23,6%</w:t>
      </w:r>
    </w:p>
    <w:p>
      <w:pPr>
        <w:pStyle w:val="ListParagraph"/>
        <w:numPr>
          <w:ilvl w:val="0"/>
          <w:numId w:val="2"/>
        </w:numPr>
        <w:spacing w:after="40" w:before="40"/>
      </w:pPr>
      <w:r>
        <w:rPr>
          <w:rFonts w:ascii="Calibri" w:cs="Calibri" w:eastAsia="Calibri" w:hAnsi="Calibri"/>
          <w:color w:val="374151"/>
          <w:sz w:val="22"/>
          <w:szCs w:val="22"/>
        </w:rPr>
        <w:t xml:space="preserve">Distribusi hampir merata — SuryaHub berhasil menarik semua jenis persona pembeli.</w:t>
      </w:r>
    </w:p>
    <w:p>
      <w:pPr>
        <w:pStyle w:val="ListParagraph"/>
        <w:numPr>
          <w:ilvl w:val="0"/>
          <w:numId w:val="2"/>
        </w:numPr>
        <w:spacing w:after="40" w:before="40"/>
      </w:pPr>
      <w:r>
        <w:rPr>
          <w:rFonts w:ascii="Calibri" w:cs="Calibri" w:eastAsia="Calibri" w:hAnsi="Calibri"/>
          <w:color w:val="374151"/>
          <w:sz w:val="22"/>
          <w:szCs w:val="22"/>
        </w:rPr>
        <w:t xml:space="preserve">Pembeli "Terencana" memiliki nilai transaksi rata-rata tertinggi — mereka melakukan riset sebelum berbelanja dan berkomitmen pada pembelian yang lebih besar.</w:t>
      </w:r>
    </w:p>
    <w:p>
      <w:r>
        <w:br w:type="page"/>
      </w:r>
    </w:p>
    <w:p>
      <w:pPr>
        <w:pBdr>
          <w:bottom w:val="single" w:color="F97316" w:sz="4" w:space="4"/>
        </w:pBdr>
        <w:spacing w:after="160" w:before="360"/>
      </w:pPr>
      <w:r>
        <w:rPr>
          <w:rFonts w:ascii="Calibri" w:cs="Calibri" w:eastAsia="Calibri" w:hAnsi="Calibri"/>
          <w:b/>
          <w:bCs/>
          <w:color w:val="1B2A6B"/>
          <w:sz w:val="36"/>
          <w:szCs w:val="36"/>
        </w:rPr>
        <w:t xml:space="preserve">3. Analisis Data &amp; Koreksi SQL</w:t>
      </w:r>
    </w:p>
    <w:p>
      <w:pPr>
        <w:spacing w:after="120" w:before="280"/>
      </w:pPr>
      <w:r>
        <w:rPr>
          <w:rFonts w:ascii="Calibri" w:cs="Calibri" w:eastAsia="Calibri" w:hAnsi="Calibri"/>
          <w:b/>
          <w:bCs/>
          <w:color w:val="1B2A6B"/>
          <w:sz w:val="28"/>
          <w:szCs w:val="28"/>
        </w:rPr>
        <w:t xml:space="preserve">3.1 Kesalahan SQL yang Ditemukan &amp; Diperbaiki</w:t>
      </w:r>
    </w:p>
    <w:p>
      <w:pPr>
        <w:spacing w:after="60" w:before="60"/>
      </w:pPr>
      <w:r>
        <w:rPr>
          <w:rFonts w:ascii="Calibri" w:cs="Calibri" w:eastAsia="Calibri" w:hAnsi="Calibri"/>
          <w:color w:val="374151"/>
          <w:sz w:val="22"/>
          <w:szCs w:val="22"/>
        </w:rPr>
        <w:t xml:space="preserve">Dalam proses tinjauan output SQL Misi 1, ditemukan satu kesalahan sintaks pada Pertanyaan 6 (Perbandingan Program Loyalitas). Query tersebut mengandung tanda koma yang hilang di antara kolom SELECT, serta nama kolom yang terpotong pada klausa GROUP BY: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Kesalahan Query (Q6)</w:t>
            </w:r>
          </w:p>
          <w:p>
            <w:r>
              <w:rPr>
                <w:rFonts w:ascii="Courier New" w:cs="Courier New" w:eastAsia="Courier New" w:hAnsi="Courier New"/>
                <w:color w:val="374151"/>
                <w:sz w:val="19"/>
                <w:szCs w:val="19"/>
              </w:rPr>
              <w:t xml:space="preserve">SELECT Customer_Loyalty_Program_Member,</w:t>
            </w:r>
          </w:p>
          <w:p>
            <w:r>
              <w:rPr>
                <w:rFonts w:ascii="Courier New" w:cs="Courier New" w:eastAsia="Courier New" w:hAnsi="Courier New"/>
                <w:color w:val="374151"/>
                <w:sz w:val="19"/>
                <w:szCs w:val="19"/>
              </w:rPr>
              <w:t xml:space="preserve">AVG(Purchase_Amount) AS AVG_Pembelian</w:t>
            </w:r>
          </w:p>
          <w:p>
            <w:r>
              <w:rPr>
                <w:rFonts w:ascii="Courier New" w:cs="Courier New" w:eastAsia="Courier New" w:hAnsi="Courier New"/>
                <w:color w:val="DC2626"/>
                <w:sz w:val="19"/>
                <w:szCs w:val="19"/>
              </w:rPr>
              <w:t xml:space="preserve">-- Koma hilang di sini!</w:t>
            </w:r>
          </w:p>
          <w:p>
            <w:r>
              <w:rPr>
                <w:rFonts w:ascii="Courier New" w:cs="Courier New" w:eastAsia="Courier New" w:hAnsi="Courier New"/>
                <w:color w:val="374151"/>
                <w:sz w:val="19"/>
                <w:szCs w:val="19"/>
              </w:rPr>
              <w:t xml:space="preserve">AVG(Frequency_of_Purchase) AS AVG_Frekuensi</w:t>
            </w:r>
          </w:p>
          <w:p>
            <w:r>
              <w:rPr>
                <w:rFonts w:ascii="Courier New" w:cs="Courier New" w:eastAsia="Courier New" w:hAnsi="Courier New"/>
                <w:color w:val="374151"/>
                <w:sz w:val="19"/>
                <w:szCs w:val="19"/>
              </w:rPr>
              <w:t xml:space="preserve">FROM suryamarthub.tokosuryamart.suryamart_clean</w:t>
            </w:r>
          </w:p>
          <w:p>
            <w:r>
              <w:rPr>
                <w:rFonts w:ascii="Courier New" w:cs="Courier New" w:eastAsia="Courier New" w:hAnsi="Courier New"/>
                <w:color w:val="DC2626"/>
                <w:sz w:val="19"/>
                <w:szCs w:val="19"/>
              </w:rPr>
              <w:t xml:space="preserve">GROUP BY Customer_Loyalty_Pro  -- Nama kolom terpotong!</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Courier New" w:cs="Courier New" w:eastAsia="Courier New" w:hAnsi="Courier New"/>
                <w:b/>
                <w:bCs/>
                <w:color w:val="16A34A"/>
                <w:sz w:val="20"/>
                <w:szCs w:val="20"/>
              </w:rPr>
              <w:t xml:space="preserve">Query yang Sudah Diperbaiki (Q6)</w:t>
            </w:r>
          </w:p>
          <w:p>
            <w:r>
              <w:rPr>
                <w:rFonts w:ascii="Courier New" w:cs="Courier New" w:eastAsia="Courier New" w:hAnsi="Courier New"/>
                <w:color w:val="374151"/>
                <w:sz w:val="19"/>
                <w:szCs w:val="19"/>
              </w:rPr>
              <w:t xml:space="preserve">SELECT Customer_Loyalty_Program_Member,</w:t>
            </w:r>
          </w:p>
          <w:p>
            <w:r>
              <w:rPr>
                <w:rFonts w:ascii="Courier New" w:cs="Courier New" w:eastAsia="Courier New" w:hAnsi="Courier New"/>
                <w:color w:val="374151"/>
                <w:sz w:val="19"/>
                <w:szCs w:val="19"/>
              </w:rPr>
              <w:t xml:space="preserve">  AVG(Purchase_Amount) AS AVG_Pembelian,</w:t>
            </w:r>
          </w:p>
          <w:p>
            <w:r>
              <w:rPr>
                <w:rFonts w:ascii="Courier New" w:cs="Courier New" w:eastAsia="Courier New" w:hAnsi="Courier New"/>
                <w:color w:val="16A34A"/>
                <w:sz w:val="19"/>
                <w:szCs w:val="19"/>
              </w:rPr>
              <w:t xml:space="preserve">  -- Koma ditambahkan</w:t>
            </w:r>
          </w:p>
          <w:p>
            <w:r>
              <w:rPr>
                <w:rFonts w:ascii="Courier New" w:cs="Courier New" w:eastAsia="Courier New" w:hAnsi="Courier New"/>
                <w:color w:val="374151"/>
                <w:sz w:val="19"/>
                <w:szCs w:val="19"/>
              </w:rPr>
              <w:t xml:space="preserve">  AVG(Frequency_of_Purchase) AS AVG_Frekuensi</w:t>
            </w:r>
          </w:p>
          <w:p>
            <w:r>
              <w:rPr>
                <w:rFonts w:ascii="Courier New" w:cs="Courier New" w:eastAsia="Courier New" w:hAnsi="Courier New"/>
                <w:color w:val="374151"/>
                <w:sz w:val="19"/>
                <w:szCs w:val="19"/>
              </w:rPr>
              <w:t xml:space="preserve">FROM suryamarthub.tokosuryamart.suryamart_clean</w:t>
            </w:r>
          </w:p>
          <w:p>
            <w:r>
              <w:rPr>
                <w:rFonts w:ascii="Courier New" w:cs="Courier New" w:eastAsia="Courier New" w:hAnsi="Courier New"/>
                <w:color w:val="374151"/>
                <w:sz w:val="19"/>
                <w:szCs w:val="19"/>
              </w:rPr>
              <w:t xml:space="preserve">GROUP BY Customer_Loyalty_Program_Member;</w:t>
            </w:r>
          </w:p>
        </w:tc>
      </w:tr>
    </w:tbl>
    <w:p>
      <w:pPr>
        <w:spacing w:after="0" w:before="100"/>
      </w:pPr>
      <w:r>
        <w:t xml:space="preserve"/>
      </w:r>
    </w:p>
    <w:p>
      <w:pPr>
        <w:spacing w:after="120" w:before="280"/>
      </w:pPr>
      <w:r>
        <w:rPr>
          <w:rFonts w:ascii="Calibri" w:cs="Calibri" w:eastAsia="Calibri" w:hAnsi="Calibri"/>
          <w:b/>
          <w:bCs/>
          <w:color w:val="1B2A6B"/>
          <w:sz w:val="28"/>
          <w:szCs w:val="28"/>
        </w:rPr>
        <w:t xml:space="preserve">3.2 Ringkasan Lengkap Pertanyaan Bisnis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520"/>
        <w:gridCol w:w="2520"/>
      </w:tblGrid>
      <w:tr>
        <w:tc>
          <w:tcPr>
            <w:tcW w:type="dxa" w:w="72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w:t>
            </w:r>
          </w:p>
        </w:tc>
        <w:tc>
          <w:tcPr>
            <w:tcW w:type="dxa" w:w="360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Pertanyaan Bisnis</w:t>
            </w:r>
          </w:p>
        </w:tc>
        <w:tc>
          <w:tcPr>
            <w:tcW w:type="dxa" w:w="252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Temuan Utama</w:t>
            </w:r>
          </w:p>
        </w:tc>
        <w:tc>
          <w:tcPr>
            <w:tcW w:type="dxa" w:w="2520"/>
            <w:tcBorders>
              <w:top w:val="single" w:color="D1D5DB" w:sz="1"/>
              <w:left w:val="single" w:color="D1D5DB" w:sz="1"/>
              <w:bottom w:val="single" w:color="D1D5DB" w:sz="1"/>
              <w:right w:val="single" w:color="D1D5DB" w:sz="1"/>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Strategi</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Q1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Total transaksi pelanggan perempuan?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1.059 transaksi (53% dari total)</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Targetkan Perhiasan, Produk Bayi &amp; Fashion melalui iklan Instagram/FB</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Q2</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5 kota dengan pelanggan terbanyak?</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Bandung (517), Surabaya &amp; Medan seimbang di posisi ke-2</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Tingkatkan anggaran iklan digital di Bandung &amp; Surabaya</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Q3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Brand Loyalty=5: pakai diskon atau tidak?</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~50% dengan loyalitas tertinggi masih menggunakan diskon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Ganti diskon dengan akses produk eksklusif bagi pelanggan paling loyal</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Q4</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Niat pembelian vs. nilai belanja?</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Pembeli "Terencana" memiliki rata-rata nilai transaksi tertinggi</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Gunakan fitur wishlist &amp; pengingat stok untuk menyelesaikan pembelian bernilai tinggi</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Q5</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Perbandingan antar saluran pembelian?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In-Store unggul dalam nilai per kunjungan; Mixed memimpin total pendapatan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Investasikan pada pengalaman toko fisik untuk meningkatkan nilai keranjang</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Q6</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Member vs. non-member program loyalitas?</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Member belanja lebih banyak &amp; lebih sering (SQL telah diperbaiki)</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374151"/>
                <w:sz w:val="19"/>
                <w:szCs w:val="19"/>
              </w:rPr>
              <w:t xml:space="preserve">Tawarkan poin selamat datang untuk mengkonversi non-member</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Q7</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10 pelanggan dengan pembelian tertinggi?</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Mayoritas berasal dari Bandung, saluran In-Store, loyalitas tinggi</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374151"/>
                <w:sz w:val="19"/>
                <w:szCs w:val="19"/>
              </w:rPr>
              <w:t xml:space="preserve">Program VIP &amp; brand advocacy untuk 10 pelanggan terbaik</w:t>
            </w:r>
          </w:p>
        </w:tc>
      </w:tr>
    </w:tbl>
    <w:p>
      <w:pPr>
        <w:spacing w:after="0" w:before="160"/>
      </w:pPr>
      <w:r>
        <w:t xml:space="preserve"/>
      </w:r>
    </w:p>
    <w:p>
      <w:pPr>
        <w:pBdr>
          <w:bottom w:val="single" w:color="F97316" w:sz="4" w:space="4"/>
        </w:pBdr>
        <w:spacing w:after="160" w:before="360"/>
      </w:pPr>
      <w:r>
        <w:rPr>
          <w:rFonts w:ascii="Calibri" w:cs="Calibri" w:eastAsia="Calibri" w:hAnsi="Calibri"/>
          <w:b/>
          <w:bCs/>
          <w:color w:val="1B2A6B"/>
          <w:sz w:val="36"/>
          <w:szCs w:val="36"/>
        </w:rPr>
        <w:t xml:space="preserve">4. Rekomendasi &amp; Langkah Selanjutnya</w:t>
      </w:r>
    </w:p>
    <w:p>
      <w:pPr>
        <w:spacing w:after="120" w:before="280"/>
      </w:pPr>
      <w:r>
        <w:rPr>
          <w:rFonts w:ascii="Calibri" w:cs="Calibri" w:eastAsia="Calibri" w:hAnsi="Calibri"/>
          <w:b/>
          <w:bCs/>
          <w:color w:val="1B2A6B"/>
          <w:sz w:val="28"/>
          <w:szCs w:val="28"/>
        </w:rPr>
        <w:t xml:space="preserve">4.1 Tindakan Segera (0–30 Hari)</w:t>
      </w:r>
    </w:p>
    <w:p>
      <w:pPr>
        <w:pStyle w:val="ListParagraph"/>
        <w:numPr>
          <w:ilvl w:val="0"/>
          <w:numId w:val="2"/>
        </w:numPr>
        <w:spacing w:after="40" w:before="40"/>
      </w:pPr>
      <w:r>
        <w:rPr>
          <w:rFonts w:ascii="Calibri" w:cs="Calibri" w:eastAsia="Calibri" w:hAnsi="Calibri"/>
          <w:b/>
          <w:bCs/>
          <w:color w:val="1F2937"/>
          <w:sz w:val="22"/>
          <w:szCs w:val="22"/>
        </w:rPr>
        <w:t xml:space="preserve">Koreksi SQL: </w:t>
      </w:r>
      <w:r>
        <w:rPr>
          <w:rFonts w:ascii="Calibri" w:cs="Calibri" w:eastAsia="Calibri" w:hAnsi="Calibri"/>
          <w:color w:val="374151"/>
          <w:sz w:val="22"/>
          <w:szCs w:val="22"/>
        </w:rPr>
        <w:t xml:space="preserve">Perbaiki Q6: Tambahkan koma setelah AVG(Purchase_Amount) dan gunakan nama kolom lengkap Customer_Loyalty_Program_Member pada klausa GROUP BY.</w:t>
      </w:r>
    </w:p>
    <w:p>
      <w:pPr>
        <w:pStyle w:val="ListParagraph"/>
        <w:numPr>
          <w:ilvl w:val="0"/>
          <w:numId w:val="2"/>
        </w:numPr>
        <w:spacing w:after="40" w:before="40"/>
      </w:pPr>
      <w:r>
        <w:rPr>
          <w:rFonts w:ascii="Calibri" w:cs="Calibri" w:eastAsia="Calibri" w:hAnsi="Calibri"/>
          <w:b/>
          <w:bCs/>
          <w:color w:val="1F2937"/>
          <w:sz w:val="22"/>
          <w:szCs w:val="22"/>
        </w:rPr>
        <w:t xml:space="preserve">Pelanggan Bernilai Tinggi: </w:t>
      </w:r>
      <w:r>
        <w:rPr>
          <w:rFonts w:ascii="Calibri" w:cs="Calibri" w:eastAsia="Calibri" w:hAnsi="Calibri"/>
          <w:color w:val="374151"/>
          <w:sz w:val="22"/>
          <w:szCs w:val="22"/>
        </w:rPr>
        <w:t xml:space="preserve">Kirimkan voucher personal kepada 10 pelanggan terbaik (84-649-5117 dengan pengeluaran Rp 6,6 jt+) untuk mencegah churn.</w:t>
      </w:r>
    </w:p>
    <w:p>
      <w:pPr>
        <w:pStyle w:val="ListParagraph"/>
        <w:numPr>
          <w:ilvl w:val="0"/>
          <w:numId w:val="2"/>
        </w:numPr>
        <w:spacing w:after="40" w:before="40"/>
      </w:pPr>
      <w:r>
        <w:rPr>
          <w:rFonts w:ascii="Calibri" w:cs="Calibri" w:eastAsia="Calibri" w:hAnsi="Calibri"/>
          <w:b/>
          <w:bCs/>
          <w:color w:val="1F2937"/>
          <w:sz w:val="22"/>
          <w:szCs w:val="22"/>
        </w:rPr>
        <w:t xml:space="preserve">Logistik: </w:t>
      </w:r>
      <w:r>
        <w:rPr>
          <w:rFonts w:ascii="Calibri" w:cs="Calibri" w:eastAsia="Calibri" w:hAnsi="Calibri"/>
          <w:color w:val="374151"/>
          <w:sz w:val="22"/>
          <w:szCs w:val="22"/>
        </w:rPr>
        <w:t xml:space="preserve">Alokasikan anggaran logistik yang lebih besar ke Makassar (95 pesanan) untuk pemenuhan pesanan yang lebih cepat.</w:t>
      </w:r>
    </w:p>
    <w:p>
      <w:pPr>
        <w:spacing w:after="0" w:before="80"/>
      </w:pPr>
      <w:r>
        <w:t xml:space="preserve"/>
      </w:r>
    </w:p>
    <w:p>
      <w:pPr>
        <w:spacing w:after="120" w:before="280"/>
      </w:pPr>
      <w:r>
        <w:rPr>
          <w:rFonts w:ascii="Calibri" w:cs="Calibri" w:eastAsia="Calibri" w:hAnsi="Calibri"/>
          <w:b/>
          <w:bCs/>
          <w:color w:val="1B2A6B"/>
          <w:sz w:val="28"/>
          <w:szCs w:val="28"/>
        </w:rPr>
        <w:t xml:space="preserve">4.2 Strategi Jangka Pendek (30–90 Hari)</w:t>
      </w:r>
    </w:p>
    <w:p>
      <w:pPr>
        <w:pStyle w:val="ListParagraph"/>
        <w:numPr>
          <w:ilvl w:val="0"/>
          <w:numId w:val="2"/>
        </w:numPr>
        <w:spacing w:after="40" w:before="40"/>
      </w:pPr>
      <w:r>
        <w:rPr>
          <w:rFonts w:ascii="Calibri" w:cs="Calibri" w:eastAsia="Calibri" w:hAnsi="Calibri"/>
          <w:color w:val="374151"/>
          <w:sz w:val="22"/>
          <w:szCs w:val="22"/>
        </w:rPr>
        <w:t xml:space="preserve">Jalankan iklan FB/IG yang menargetkan kelompok usia 25–34 — kohort penyumbang 40% pendapatan. Gunakan lookalike audience berdasarkan pembeli perempuan.</w:t>
      </w:r>
    </w:p>
    <w:p>
      <w:pPr>
        <w:pStyle w:val="ListParagraph"/>
        <w:numPr>
          <w:ilvl w:val="0"/>
          <w:numId w:val="2"/>
        </w:numPr>
        <w:spacing w:after="40" w:before="40"/>
      </w:pPr>
      <w:r>
        <w:rPr>
          <w:rFonts w:ascii="Calibri" w:cs="Calibri" w:eastAsia="Calibri" w:hAnsi="Calibri"/>
          <w:color w:val="374151"/>
          <w:sz w:val="22"/>
          <w:szCs w:val="22"/>
        </w:rPr>
        <w:t xml:space="preserve">Konversi non-member dengan penawaran 'Poin Selamat Datang' — data menunjukkan anggota unggul di semua metrik dibandingkan non-anggota.</w:t>
      </w:r>
    </w:p>
    <w:p>
      <w:pPr>
        <w:pStyle w:val="ListParagraph"/>
        <w:numPr>
          <w:ilvl w:val="0"/>
          <w:numId w:val="2"/>
        </w:numPr>
        <w:spacing w:after="40" w:before="40"/>
      </w:pPr>
      <w:r>
        <w:rPr>
          <w:rFonts w:ascii="Calibri" w:cs="Calibri" w:eastAsia="Calibri" w:hAnsi="Calibri"/>
          <w:color w:val="374151"/>
          <w:sz w:val="22"/>
          <w:szCs w:val="22"/>
        </w:rPr>
        <w:t xml:space="preserve">Untuk pelanggan dengan Brand Loyalty tinggi (Skor 5), alihkan strategi retensi dari berbasis diskon ke berbasis eksklusivitas (akses produk lebih awal, penjualan khusus anggota).</w:t>
      </w:r>
    </w:p>
    <w:p>
      <w:pPr>
        <w:spacing w:after="0" w:before="80"/>
      </w:pPr>
      <w:r>
        <w:t xml:space="preserve"/>
      </w:r>
    </w:p>
    <w:p>
      <w:pPr>
        <w:spacing w:after="120" w:before="280"/>
      </w:pPr>
      <w:r>
        <w:rPr>
          <w:rFonts w:ascii="Calibri" w:cs="Calibri" w:eastAsia="Calibri" w:hAnsi="Calibri"/>
          <w:b/>
          <w:bCs/>
          <w:color w:val="1B2A6B"/>
          <w:sz w:val="28"/>
          <w:szCs w:val="28"/>
        </w:rPr>
        <w:t xml:space="preserve">4.3 Strategi Jangka Panjang (90+ Hari)</w:t>
      </w:r>
    </w:p>
    <w:p>
      <w:pPr>
        <w:pStyle w:val="ListParagraph"/>
        <w:numPr>
          <w:ilvl w:val="0"/>
          <w:numId w:val="2"/>
        </w:numPr>
        <w:spacing w:after="40" w:before="40"/>
      </w:pPr>
      <w:r>
        <w:rPr>
          <w:rFonts w:ascii="Calibri" w:cs="Calibri" w:eastAsia="Calibri" w:hAnsi="Calibri"/>
          <w:color w:val="374151"/>
          <w:sz w:val="22"/>
          <w:szCs w:val="22"/>
        </w:rPr>
        <w:t xml:space="preserve">Kembangkan strategi perjalanan pelanggan lintas saluran (O2O) — karena saluran Mixed mendorong pendapatan total tertinggi, ciptakan pengalaman yang mulus dari online ke offline (misalnya: pesan secara online, rasakan pengalamannya di toko fisik).</w:t>
      </w:r>
    </w:p>
    <w:p>
      <w:pPr>
        <w:pStyle w:val="ListParagraph"/>
        <w:numPr>
          <w:ilvl w:val="0"/>
          <w:numId w:val="2"/>
        </w:numPr>
        <w:spacing w:after="40" w:before="40"/>
      </w:pPr>
      <w:r>
        <w:rPr>
          <w:rFonts w:ascii="Calibri" w:cs="Calibri" w:eastAsia="Calibri" w:hAnsi="Calibri"/>
          <w:color w:val="374151"/>
          <w:sz w:val="22"/>
          <w:szCs w:val="22"/>
        </w:rPr>
        <w:t xml:space="preserve">Gunakan TikTok Ads untuk segmen menengah ke bawah; Email Marketing untuk segmen premium yang diidentifikasi melalui segmentasi nilai pembelian.</w:t>
      </w:r>
    </w:p>
    <w:p>
      <w:pPr>
        <w:pStyle w:val="ListParagraph"/>
        <w:numPr>
          <w:ilvl w:val="0"/>
          <w:numId w:val="2"/>
        </w:numPr>
        <w:spacing w:after="40" w:before="40"/>
      </w:pPr>
      <w:r>
        <w:rPr>
          <w:rFonts w:ascii="Calibri" w:cs="Calibri" w:eastAsia="Calibri" w:hAnsi="Calibri"/>
          <w:color w:val="374151"/>
          <w:sz w:val="22"/>
          <w:szCs w:val="22"/>
        </w:rPr>
        <w:t xml:space="preserve">Bangun saluran nurturing untuk Pembeli Terencana: Pengingat wishlist → Email peringatan stok → Diskon bundel saat penyelesaian keranjang, untuk memanfaatkan potensi AOV tinggi segmen ini.</w:t>
      </w:r>
    </w:p>
    <w:p>
      <w:pPr>
        <w:pStyle w:val="ListParagraph"/>
        <w:numPr>
          <w:ilvl w:val="0"/>
          <w:numId w:val="2"/>
        </w:numPr>
        <w:spacing w:after="40" w:before="40"/>
      </w:pPr>
      <w:r>
        <w:rPr>
          <w:rFonts w:ascii="Calibri" w:cs="Calibri" w:eastAsia="Calibri" w:hAnsi="Calibri"/>
          <w:color w:val="374151"/>
          <w:sz w:val="22"/>
          <w:szCs w:val="22"/>
        </w:rPr>
        <w:t xml:space="preserve">Susun strategi ekspansi geografis yang berfokus pada enam kota yang telah teridentifikasi sebelum memasuki pasar baru.</w:t>
      </w:r>
    </w:p>
    <w:p>
      <w:pPr>
        <w:spacing w:after="0" w:before="120"/>
      </w:pPr>
      <w:r>
        <w:t xml:space="preserve"/>
      </w:r>
    </w:p>
    <w:p>
      <w:pPr>
        <w:jc w:val="center"/>
      </w:pPr>
      <w:r>
        <w:rPr>
          <w:rFonts w:ascii="Calibri" w:cs="Calibri" w:eastAsia="Calibri" w:hAnsi="Calibri"/>
          <w:i/>
          <w:iCs/>
          <w:color w:val="6B7280"/>
          <w:sz w:val="22"/>
          <w:szCs w:val="22"/>
        </w:rPr>
        <w:t xml:space="preserve">— Akhir Laporan —</w:t>
      </w:r>
    </w:p>
    <w:p>
      <w:pPr>
        <w:spacing w:after="0" w:before="40"/>
      </w:pPr>
      <w:r>
        <w:t xml:space="preserve"/>
      </w:r>
    </w:p>
    <w:p>
      <w:pPr>
        <w:jc w:val="center"/>
      </w:pPr>
      <w:r>
        <w:rPr>
          <w:rFonts w:ascii="Calibri" w:cs="Calibri" w:eastAsia="Calibri" w:hAnsi="Calibri"/>
          <w:color w:val="6B7280"/>
          <w:sz w:val="18"/>
          <w:szCs w:val="18"/>
        </w:rPr>
        <w:t xml:space="preserve">SuryaHub Customer Intelligence  |  Andhika Indrastata Mahardika  |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2026-04-03T10:04:16.735Z</dcterms:created>
  <dcterms:modified xsi:type="dcterms:W3CDTF">2026-04-03T10:04:16.736Z</dcterms:modified>
</cp:coreProperties>
</file>

<file path=docProps/custom.xml><?xml version="1.0" encoding="utf-8"?>
<Properties xmlns="http://schemas.openxmlformats.org/officeDocument/2006/custom-properties" xmlns:vt="http://schemas.openxmlformats.org/officeDocument/2006/docPropsVTypes"/>
</file>