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53B6" w14:textId="77777777" w:rsidR="00CB478E" w:rsidRPr="00874069" w:rsidRDefault="00CB478E" w:rsidP="00CB478E">
      <w:pPr>
        <w:jc w:val="center"/>
        <w:rPr>
          <w:rFonts w:ascii="Times New Roman" w:hAnsi="Times New Roman" w:cs="Times New Roman"/>
        </w:rPr>
      </w:pPr>
      <w:r w:rsidRPr="00874069">
        <w:rPr>
          <w:rFonts w:ascii="Times New Roman" w:hAnsi="Times New Roman" w:cs="Times New Roman"/>
          <w:noProof/>
        </w:rPr>
        <w:drawing>
          <wp:inline distT="0" distB="0" distL="0" distR="0" wp14:anchorId="5E6BDF06" wp14:editId="6B57DE4A">
            <wp:extent cx="4354285" cy="2449101"/>
            <wp:effectExtent l="0" t="0" r="8255" b="8890"/>
            <wp:docPr id="1016757626" name="Imagen 1" descr="Visitas empresariales :: CILOG - Congreso Internacional de Log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itas empresariales :: CILOG - Congreso Internacional de Logística"/>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67146" cy="2456335"/>
                    </a:xfrm>
                    <a:prstGeom prst="rect">
                      <a:avLst/>
                    </a:prstGeom>
                    <a:noFill/>
                    <a:ln>
                      <a:noFill/>
                    </a:ln>
                  </pic:spPr>
                </pic:pic>
              </a:graphicData>
            </a:graphic>
          </wp:inline>
        </w:drawing>
      </w:r>
    </w:p>
    <w:p w14:paraId="59765D22" w14:textId="77777777" w:rsidR="00CB478E" w:rsidRPr="00CB478E" w:rsidRDefault="00CB478E" w:rsidP="00CB478E">
      <w:pPr>
        <w:jc w:val="center"/>
        <w:rPr>
          <w:rFonts w:cs="Times New Roman"/>
          <w:b/>
          <w:bCs/>
          <w:sz w:val="40"/>
          <w:szCs w:val="40"/>
        </w:rPr>
      </w:pPr>
      <w:r w:rsidRPr="00CB478E">
        <w:rPr>
          <w:rFonts w:cs="Times New Roman"/>
          <w:b/>
          <w:bCs/>
          <w:sz w:val="40"/>
          <w:szCs w:val="40"/>
        </w:rPr>
        <w:t>UNIVERSIDAD TECNOLÓGICA DE QUERÉTARO</w:t>
      </w:r>
    </w:p>
    <w:p w14:paraId="2CDFD066" w14:textId="77777777" w:rsidR="00CB478E" w:rsidRPr="00CB478E" w:rsidRDefault="00CB478E" w:rsidP="00CB478E">
      <w:pPr>
        <w:jc w:val="center"/>
        <w:rPr>
          <w:rFonts w:cs="Times New Roman"/>
          <w:b/>
          <w:bCs/>
        </w:rPr>
      </w:pPr>
    </w:p>
    <w:p w14:paraId="4517C267" w14:textId="4CC4E625" w:rsidR="00CB478E" w:rsidRPr="00CB478E" w:rsidRDefault="00CB478E" w:rsidP="00CB478E">
      <w:pPr>
        <w:jc w:val="center"/>
        <w:rPr>
          <w:rFonts w:cs="Times New Roman"/>
          <w:b/>
          <w:bCs/>
          <w:sz w:val="40"/>
          <w:szCs w:val="40"/>
        </w:rPr>
      </w:pPr>
      <w:r w:rsidRPr="00CB478E">
        <w:rPr>
          <w:b/>
          <w:bCs/>
          <w:sz w:val="40"/>
          <w:szCs w:val="40"/>
        </w:rPr>
        <w:t>Desarrollo para Dispositivos Inteligentes</w:t>
      </w:r>
      <w:r w:rsidRPr="00CB478E">
        <w:t xml:space="preserve"> </w:t>
      </w:r>
      <w:r w:rsidRPr="00CB478E">
        <w:rPr>
          <w:rFonts w:cs="Times New Roman"/>
          <w:b/>
          <w:bCs/>
          <w:sz w:val="40"/>
          <w:szCs w:val="40"/>
        </w:rPr>
        <w:t>(Práctica 1.3)</w:t>
      </w:r>
    </w:p>
    <w:p w14:paraId="3B89D4F1" w14:textId="77777777" w:rsidR="00CB478E" w:rsidRPr="00CB478E" w:rsidRDefault="00CB478E" w:rsidP="00CB478E">
      <w:pPr>
        <w:jc w:val="center"/>
        <w:rPr>
          <w:rFonts w:cs="Times New Roman"/>
          <w:b/>
          <w:bCs/>
          <w:sz w:val="40"/>
          <w:szCs w:val="40"/>
          <w:u w:val="single"/>
        </w:rPr>
      </w:pPr>
    </w:p>
    <w:p w14:paraId="6B4E33E3" w14:textId="6105A71C" w:rsidR="00CB478E" w:rsidRPr="00CB478E" w:rsidRDefault="00CB478E" w:rsidP="00CB478E">
      <w:pPr>
        <w:jc w:val="center"/>
        <w:rPr>
          <w:rFonts w:cs="Times New Roman"/>
          <w:sz w:val="40"/>
          <w:szCs w:val="40"/>
        </w:rPr>
      </w:pPr>
      <w:r w:rsidRPr="00CB478E">
        <w:rPr>
          <w:rFonts w:cs="Times New Roman"/>
          <w:b/>
          <w:bCs/>
          <w:sz w:val="40"/>
          <w:szCs w:val="40"/>
        </w:rPr>
        <w:t xml:space="preserve">Profesor: </w:t>
      </w:r>
      <w:r w:rsidRPr="00CB478E">
        <w:rPr>
          <w:rFonts w:cs="Times New Roman"/>
          <w:sz w:val="40"/>
          <w:szCs w:val="40"/>
        </w:rPr>
        <w:t>Gerardo Ramírez Villarreal</w:t>
      </w:r>
    </w:p>
    <w:p w14:paraId="6E9E9345" w14:textId="77777777" w:rsidR="00CB478E" w:rsidRPr="00CB478E" w:rsidRDefault="00CB478E" w:rsidP="00CB478E">
      <w:pPr>
        <w:jc w:val="center"/>
        <w:rPr>
          <w:rFonts w:cs="Times New Roman"/>
          <w:sz w:val="40"/>
          <w:szCs w:val="40"/>
        </w:rPr>
      </w:pPr>
    </w:p>
    <w:p w14:paraId="32298BBE" w14:textId="77777777" w:rsidR="00CB478E" w:rsidRPr="00CB478E" w:rsidRDefault="00CB478E" w:rsidP="00CB478E">
      <w:pPr>
        <w:jc w:val="center"/>
        <w:rPr>
          <w:rFonts w:cs="Times New Roman"/>
          <w:b/>
          <w:bCs/>
          <w:sz w:val="40"/>
          <w:szCs w:val="40"/>
        </w:rPr>
      </w:pPr>
      <w:r w:rsidRPr="00CB478E">
        <w:rPr>
          <w:rFonts w:cs="Times New Roman"/>
          <w:b/>
          <w:bCs/>
          <w:sz w:val="40"/>
          <w:szCs w:val="40"/>
        </w:rPr>
        <w:t xml:space="preserve">Alumnos: </w:t>
      </w:r>
    </w:p>
    <w:p w14:paraId="7EE2D0A9" w14:textId="77777777" w:rsidR="00CB478E" w:rsidRPr="00CB478E" w:rsidRDefault="00CB478E" w:rsidP="00CB478E">
      <w:pPr>
        <w:jc w:val="center"/>
        <w:rPr>
          <w:rFonts w:cs="Times New Roman"/>
          <w:sz w:val="40"/>
          <w:szCs w:val="40"/>
        </w:rPr>
      </w:pPr>
      <w:r w:rsidRPr="00CB478E">
        <w:rPr>
          <w:rFonts w:cs="Times New Roman"/>
          <w:sz w:val="40"/>
          <w:szCs w:val="40"/>
        </w:rPr>
        <w:t>Andrea Romero García</w:t>
      </w:r>
    </w:p>
    <w:p w14:paraId="5BC759CB" w14:textId="18A57B1B" w:rsidR="00CB478E" w:rsidRPr="00CB478E" w:rsidRDefault="00CB478E">
      <w:pPr>
        <w:rPr>
          <w:b/>
          <w:bCs/>
        </w:rPr>
      </w:pPr>
      <w:r w:rsidRPr="00CB478E">
        <w:rPr>
          <w:b/>
          <w:bCs/>
        </w:rPr>
        <w:br w:type="page"/>
      </w:r>
    </w:p>
    <w:p w14:paraId="1506F403" w14:textId="04BDD2B5" w:rsidR="00CB478E" w:rsidRPr="00CB478E" w:rsidRDefault="00CB478E" w:rsidP="00CB478E">
      <w:pPr>
        <w:jc w:val="both"/>
      </w:pPr>
      <w:r w:rsidRPr="00CB478E">
        <w:rPr>
          <w:b/>
          <w:bCs/>
        </w:rPr>
        <w:lastRenderedPageBreak/>
        <w:t>Documento de Decisiones de Diseño: Adaptación UI para Wearable y TV (P1.3)</w:t>
      </w:r>
    </w:p>
    <w:p w14:paraId="46CBC386" w14:textId="77777777" w:rsidR="00CB478E" w:rsidRPr="00CB478E" w:rsidRDefault="00CB478E" w:rsidP="00CB478E">
      <w:pPr>
        <w:jc w:val="both"/>
      </w:pPr>
      <w:r w:rsidRPr="00CB478E">
        <w:rPr>
          <w:b/>
          <w:bCs/>
        </w:rPr>
        <w:t>Nombre del alumno:</w:t>
      </w:r>
      <w:r w:rsidRPr="00CB478E">
        <w:t xml:space="preserve"> Andrea Romero García</w:t>
      </w:r>
    </w:p>
    <w:p w14:paraId="1218BA82" w14:textId="77777777" w:rsidR="00CB478E" w:rsidRPr="00CB478E" w:rsidRDefault="00CB478E" w:rsidP="00CB478E">
      <w:pPr>
        <w:jc w:val="both"/>
      </w:pPr>
      <w:r w:rsidRPr="00CB478E">
        <w:t>El presente documento expone las decisiones técnicas y visuales tomadas durante la adaptación de la interfaz de usuario de una aplicación meteorológica (originalmente diseñada para teléfonos inteligentes) hacia dos plataformas con paradigmas de interacción radicalmente distintos: un reloj inteligente (Wear OS) y una pantalla inteligente (TV). El objetivo central fue evitar la simple escalabilidad de los elementos y priorizar la experiencia del usuario basándose en los principios de "</w:t>
      </w:r>
      <w:proofErr w:type="spellStart"/>
      <w:r w:rsidRPr="00CB478E">
        <w:t>glanceability</w:t>
      </w:r>
      <w:proofErr w:type="spellEnd"/>
      <w:r w:rsidRPr="00CB478E">
        <w:t xml:space="preserve">" y "10-foot UI". </w:t>
      </w:r>
    </w:p>
    <w:p w14:paraId="59B7C3FF" w14:textId="77777777" w:rsidR="00CB478E" w:rsidRPr="00CB478E" w:rsidRDefault="00CB478E" w:rsidP="00CB478E">
      <w:pPr>
        <w:jc w:val="both"/>
      </w:pPr>
      <w:r w:rsidRPr="00CB478E">
        <w:rPr>
          <w:b/>
          <w:bCs/>
        </w:rPr>
        <w:t>Adaptación para Wearable (Reloj Inteligente)</w:t>
      </w:r>
      <w:r w:rsidRPr="00CB478E">
        <w:t xml:space="preserve"> Para el diseño del </w:t>
      </w:r>
      <w:proofErr w:type="spellStart"/>
      <w:r w:rsidRPr="00CB478E">
        <w:rPr>
          <w:i/>
          <w:iCs/>
        </w:rPr>
        <w:t>watchface</w:t>
      </w:r>
      <w:proofErr w:type="spellEnd"/>
      <w:r w:rsidRPr="00CB478E">
        <w:t xml:space="preserve"> en el lienzo circular de 384x384px, la restricción fundamental fue asegurar que la información fuera procesable en un lapso de un segundo. Por este motivo, se eliminaron por completo varios elementos que existían en el teléfono: la barra de navegación inferior, el pronóstico extendido de los próximos días, la gráfica de variaciones y los datos secundarios (humedad, viento, presión). La supresión de estos componentes obedece estrictamente a la regla de legibilidad de un vistazo (</w:t>
      </w:r>
      <w:proofErr w:type="spellStart"/>
      <w:r w:rsidRPr="00CB478E">
        <w:rPr>
          <w:i/>
          <w:iCs/>
        </w:rPr>
        <w:t>glanceability</w:t>
      </w:r>
      <w:proofErr w:type="spellEnd"/>
      <w:r w:rsidRPr="00CB478E">
        <w:t xml:space="preserve">). Saturar una pantalla reducida y circular con texto pequeño obliga al usuario a realizar un esfuerzo cognitivo que arruina la usabilidad del dispositivo. El diseño se limitó al máximo de tres elementos permitidos: la temperatura actual (destacada con el mayor tamaño tipográfico), el icono ilustrativo de la condición y la ciudad (Querétaro). Esto asegura un contraste óptimo y un acceso rápido a la información crítica. </w:t>
      </w:r>
    </w:p>
    <w:p w14:paraId="79E7055E" w14:textId="77777777" w:rsidR="00CB478E" w:rsidRPr="00CB478E" w:rsidRDefault="00CB478E" w:rsidP="00CB478E">
      <w:pPr>
        <w:jc w:val="both"/>
      </w:pPr>
      <w:r w:rsidRPr="00CB478E">
        <w:rPr>
          <w:b/>
          <w:bCs/>
        </w:rPr>
        <w:t>Adaptación para Pantalla Inteligente (TV)</w:t>
      </w:r>
      <w:r w:rsidRPr="00CB478E">
        <w:t xml:space="preserve"> En el diseño para televisión (1920x1080px), el contexto de interacción cambia a un entorno compartido donde la pantalla se observa a varios metros de distancia y se opera sin capacidades táctiles. De la versión original se eliminaron las interacciones complejas, los menús de configuración detallados y las fuentes pequeñas. Para cumplir con el estándar </w:t>
      </w:r>
      <w:r w:rsidRPr="00CB478E">
        <w:rPr>
          <w:i/>
          <w:iCs/>
        </w:rPr>
        <w:t>10-foot UI</w:t>
      </w:r>
      <w:r w:rsidRPr="00CB478E">
        <w:t xml:space="preserve">, fue necesario escalar drásticamente la tipografía, asegurando que la temperatura no fuera menor a 72px y los textos secundarios no bajaran de 36px. Para aprovechar el espacio apaisado, se descartó la vista única de teléfono en favor de un </w:t>
      </w:r>
      <w:proofErr w:type="spellStart"/>
      <w:r w:rsidRPr="00CB478E">
        <w:rPr>
          <w:i/>
          <w:iCs/>
        </w:rPr>
        <w:t>dashboard</w:t>
      </w:r>
      <w:proofErr w:type="spellEnd"/>
      <w:r w:rsidRPr="00CB478E">
        <w:t xml:space="preserve"> panorámico que muestra tarjetas de 4 ciudades, diseñadas para ser recorridas mediante la cruceta direccional (D-</w:t>
      </w:r>
      <w:proofErr w:type="spellStart"/>
      <w:r w:rsidRPr="00CB478E">
        <w:t>pad</w:t>
      </w:r>
      <w:proofErr w:type="spellEnd"/>
      <w:r w:rsidRPr="00CB478E">
        <w:t xml:space="preserve">) de un control remoto. Todos los elementos fueron contenidos dentro de una </w:t>
      </w:r>
      <w:proofErr w:type="spellStart"/>
      <w:r w:rsidRPr="00CB478E">
        <w:rPr>
          <w:i/>
          <w:iCs/>
        </w:rPr>
        <w:t>safe</w:t>
      </w:r>
      <w:proofErr w:type="spellEnd"/>
      <w:r w:rsidRPr="00CB478E">
        <w:rPr>
          <w:i/>
          <w:iCs/>
        </w:rPr>
        <w:t xml:space="preserve"> </w:t>
      </w:r>
      <w:proofErr w:type="spellStart"/>
      <w:r w:rsidRPr="00CB478E">
        <w:rPr>
          <w:i/>
          <w:iCs/>
        </w:rPr>
        <w:t>zone</w:t>
      </w:r>
      <w:proofErr w:type="spellEnd"/>
      <w:r w:rsidRPr="00CB478E">
        <w:t xml:space="preserve"> del 5% para evitar recortes físicos en las pantallas. Finalmente, como decisión de diseño orientada a la seguridad, se eliminó la visualización de la ubicación actual exacta mediante GPS. Debido a que la televisión es un dispositivo de uso común y visible para múltiples personas en una habitación, mostrar coordenadas </w:t>
      </w:r>
      <w:r w:rsidRPr="00CB478E">
        <w:lastRenderedPageBreak/>
        <w:t xml:space="preserve">o ubicaciones precisas sin autenticación previa representa una vulnerabilidad a la privacidad del usuario. </w:t>
      </w:r>
    </w:p>
    <w:p w14:paraId="10134C4B" w14:textId="352A3CA2" w:rsidR="00CB478E" w:rsidRPr="00CB478E" w:rsidRDefault="00CB478E" w:rsidP="00CB478E">
      <w:pPr>
        <w:jc w:val="both"/>
      </w:pPr>
      <w:r w:rsidRPr="00CB478E">
        <w:t>(se utilizó IA “inteligencia artificial”, para darle formato a este texto)</w:t>
      </w:r>
    </w:p>
    <w:sectPr w:rsidR="00CB478E" w:rsidRPr="00CB47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78E"/>
    <w:rsid w:val="001451EF"/>
    <w:rsid w:val="00CB47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BB20"/>
  <w15:chartTrackingRefBased/>
  <w15:docId w15:val="{1EA3AF78-68D0-4C1F-A9F1-8E355E13C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4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4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47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47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47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47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47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47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47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47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47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47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47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47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47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47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47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478E"/>
    <w:rPr>
      <w:rFonts w:eastAsiaTheme="majorEastAsia" w:cstheme="majorBidi"/>
      <w:color w:val="272727" w:themeColor="text1" w:themeTint="D8"/>
    </w:rPr>
  </w:style>
  <w:style w:type="paragraph" w:styleId="Ttulo">
    <w:name w:val="Title"/>
    <w:basedOn w:val="Normal"/>
    <w:next w:val="Normal"/>
    <w:link w:val="TtuloCar"/>
    <w:uiPriority w:val="10"/>
    <w:qFormat/>
    <w:rsid w:val="00CB4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47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47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47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478E"/>
    <w:pPr>
      <w:spacing w:before="160"/>
      <w:jc w:val="center"/>
    </w:pPr>
    <w:rPr>
      <w:i/>
      <w:iCs/>
      <w:color w:val="404040" w:themeColor="text1" w:themeTint="BF"/>
    </w:rPr>
  </w:style>
  <w:style w:type="character" w:customStyle="1" w:styleId="CitaCar">
    <w:name w:val="Cita Car"/>
    <w:basedOn w:val="Fuentedeprrafopredeter"/>
    <w:link w:val="Cita"/>
    <w:uiPriority w:val="29"/>
    <w:rsid w:val="00CB478E"/>
    <w:rPr>
      <w:i/>
      <w:iCs/>
      <w:color w:val="404040" w:themeColor="text1" w:themeTint="BF"/>
    </w:rPr>
  </w:style>
  <w:style w:type="paragraph" w:styleId="Prrafodelista">
    <w:name w:val="List Paragraph"/>
    <w:basedOn w:val="Normal"/>
    <w:uiPriority w:val="34"/>
    <w:qFormat/>
    <w:rsid w:val="00CB478E"/>
    <w:pPr>
      <w:ind w:left="720"/>
      <w:contextualSpacing/>
    </w:pPr>
  </w:style>
  <w:style w:type="character" w:styleId="nfasisintenso">
    <w:name w:val="Intense Emphasis"/>
    <w:basedOn w:val="Fuentedeprrafopredeter"/>
    <w:uiPriority w:val="21"/>
    <w:qFormat/>
    <w:rsid w:val="00CB478E"/>
    <w:rPr>
      <w:i/>
      <w:iCs/>
      <w:color w:val="0F4761" w:themeColor="accent1" w:themeShade="BF"/>
    </w:rPr>
  </w:style>
  <w:style w:type="paragraph" w:styleId="Citadestacada">
    <w:name w:val="Intense Quote"/>
    <w:basedOn w:val="Normal"/>
    <w:next w:val="Normal"/>
    <w:link w:val="CitadestacadaCar"/>
    <w:uiPriority w:val="30"/>
    <w:qFormat/>
    <w:rsid w:val="00CB4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478E"/>
    <w:rPr>
      <w:i/>
      <w:iCs/>
      <w:color w:val="0F4761" w:themeColor="accent1" w:themeShade="BF"/>
    </w:rPr>
  </w:style>
  <w:style w:type="character" w:styleId="Referenciaintensa">
    <w:name w:val="Intense Reference"/>
    <w:basedOn w:val="Fuentedeprrafopredeter"/>
    <w:uiPriority w:val="32"/>
    <w:qFormat/>
    <w:rsid w:val="00CB478E"/>
    <w:rPr>
      <w:b/>
      <w:bCs/>
      <w:smallCaps/>
      <w:color w:val="0F4761" w:themeColor="accent1" w:themeShade="BF"/>
      <w:spacing w:val="5"/>
    </w:rPr>
  </w:style>
  <w:style w:type="character" w:styleId="Hipervnculo">
    <w:name w:val="Hyperlink"/>
    <w:basedOn w:val="Fuentedeprrafopredeter"/>
    <w:uiPriority w:val="99"/>
    <w:unhideWhenUsed/>
    <w:rsid w:val="00CB478E"/>
    <w:rPr>
      <w:color w:val="467886" w:themeColor="hyperlink"/>
      <w:u w:val="single"/>
    </w:rPr>
  </w:style>
  <w:style w:type="character" w:styleId="Mencinsinresolver">
    <w:name w:val="Unresolved Mention"/>
    <w:basedOn w:val="Fuentedeprrafopredeter"/>
    <w:uiPriority w:val="99"/>
    <w:semiHidden/>
    <w:unhideWhenUsed/>
    <w:rsid w:val="00CB4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485</Words>
  <Characters>2673</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Romero García</dc:creator>
  <cp:keywords/>
  <dc:description/>
  <cp:lastModifiedBy>Andrea  Romero García</cp:lastModifiedBy>
  <cp:revision>1</cp:revision>
  <dcterms:created xsi:type="dcterms:W3CDTF">2026-05-29T04:07:00Z</dcterms:created>
  <dcterms:modified xsi:type="dcterms:W3CDTF">2026-05-29T04:14:00Z</dcterms:modified>
</cp:coreProperties>
</file>