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A480FEE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41121029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39CB4FBB" w14:textId="26A72267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>and experimental results; provide design revisions on latest truck designs</w:t>
      </w:r>
    </w:p>
    <w:p w14:paraId="0C758B22" w14:textId="24872F0F" w:rsidR="0078521E" w:rsidRPr="006B3642" w:rsidRDefault="00DE0571" w:rsidP="006B3642">
      <w:pPr>
        <w:pStyle w:val="ListParagraph"/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DB6D98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4BFED302" w:rsidR="00F20A96" w:rsidRPr="004E6547" w:rsidRDefault="00C67014" w:rsidP="004E6547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4E6547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1064BB"/>
    <w:rsid w:val="00147D88"/>
    <w:rsid w:val="00152D7E"/>
    <w:rsid w:val="00306FE0"/>
    <w:rsid w:val="00321194"/>
    <w:rsid w:val="003F16D0"/>
    <w:rsid w:val="00411CBD"/>
    <w:rsid w:val="00435A92"/>
    <w:rsid w:val="004449CB"/>
    <w:rsid w:val="004C31DF"/>
    <w:rsid w:val="004E6547"/>
    <w:rsid w:val="00542BF7"/>
    <w:rsid w:val="0056593A"/>
    <w:rsid w:val="00570680"/>
    <w:rsid w:val="005F515B"/>
    <w:rsid w:val="0060356D"/>
    <w:rsid w:val="00615992"/>
    <w:rsid w:val="006678F7"/>
    <w:rsid w:val="006B3642"/>
    <w:rsid w:val="006E290D"/>
    <w:rsid w:val="006E4163"/>
    <w:rsid w:val="00703D0F"/>
    <w:rsid w:val="0072648A"/>
    <w:rsid w:val="00746CB6"/>
    <w:rsid w:val="0078521E"/>
    <w:rsid w:val="00791787"/>
    <w:rsid w:val="007C2C99"/>
    <w:rsid w:val="008225E0"/>
    <w:rsid w:val="00846A5A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B6D98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14</cp:revision>
  <cp:lastPrinted>2022-01-17T02:00:00Z</cp:lastPrinted>
  <dcterms:created xsi:type="dcterms:W3CDTF">2022-01-17T01:58:00Z</dcterms:created>
  <dcterms:modified xsi:type="dcterms:W3CDTF">2022-01-17T02:58:00Z</dcterms:modified>
</cp:coreProperties>
</file>