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4B33" w14:textId="776E72B4" w:rsidR="00E30E86" w:rsidRPr="00E30E86" w:rsidRDefault="00E30E86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Resume</w:t>
      </w:r>
    </w:p>
    <w:p w14:paraId="623BE2C6" w14:textId="1FB1CCDF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3352FC5A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3.66/4.00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745B6F62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Analysis, CAD</w:t>
      </w:r>
    </w:p>
    <w:p w14:paraId="6088624D" w14:textId="7E353AC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54AAE6CD" w14:textId="23F879D5" w:rsidR="00147D88" w:rsidRPr="00D16B2D" w:rsidRDefault="00147D88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094C8F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7213F0B7" w14:textId="2296487E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Lead</w:t>
      </w:r>
      <w:r w:rsidR="00241278">
        <w:rPr>
          <w:rFonts w:ascii="Cambria" w:hAnsi="Cambria"/>
          <w:i/>
          <w:iCs/>
          <w:sz w:val="20"/>
          <w:szCs w:val="20"/>
        </w:rPr>
        <w:t xml:space="preserve"> Test Engineer</w:t>
      </w:r>
    </w:p>
    <w:p w14:paraId="75D43F4F" w14:textId="56E6EF3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that MASA has ever built</w:t>
      </w:r>
    </w:p>
    <w:p w14:paraId="772B042B" w14:textId="4FB244AB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</w:t>
      </w:r>
    </w:p>
    <w:p w14:paraId="47107EDA" w14:textId="77777777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roll behaviors using a 5’ by 7’ wind tunnel; quantified moment and angular acceleration due to aerodynamic effects and explored the possibility of inertial roll coupling</w:t>
      </w:r>
    </w:p>
    <w:p w14:paraId="0501251F" w14:textId="22ED52C6" w:rsidR="00306FE0" w:rsidRPr="00306FE0" w:rsidRDefault="0006154A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6CD78444" w14:textId="244E7CBC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05C4A5A8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0C19AD32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501601F3" w14:textId="7353B479" w:rsidR="00746CB6" w:rsidRDefault="00746CB6" w:rsidP="00615992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sz w:val="20"/>
          <w:szCs w:val="20"/>
        </w:rPr>
        <w:t>Berlin, Germany</w:t>
      </w:r>
    </w:p>
    <w:p w14:paraId="6D3F83D6" w14:textId="709BAF28" w:rsidR="00615992" w:rsidRDefault="00615992" w:rsidP="00746CB6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1F9B8034" w14:textId="5E6B0323" w:rsidR="00077446" w:rsidRDefault="00077446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</w:t>
      </w:r>
      <w:r w:rsidR="008225E0">
        <w:rPr>
          <w:rFonts w:ascii="Cambria" w:hAnsi="Cambria"/>
          <w:sz w:val="20"/>
          <w:szCs w:val="20"/>
        </w:rPr>
        <w:t xml:space="preserve"> using wind tunnels measurements and compared with </w:t>
      </w:r>
      <w:r>
        <w:rPr>
          <w:rFonts w:ascii="Cambria" w:hAnsi="Cambria"/>
          <w:sz w:val="20"/>
          <w:szCs w:val="20"/>
        </w:rPr>
        <w:t>ANSYS Fluent</w:t>
      </w:r>
      <w:r w:rsidR="008225E0">
        <w:rPr>
          <w:rFonts w:ascii="Cambria" w:hAnsi="Cambria"/>
          <w:sz w:val="20"/>
          <w:szCs w:val="20"/>
        </w:rPr>
        <w:t xml:space="preserve"> results</w:t>
      </w:r>
    </w:p>
    <w:p w14:paraId="0EE59F42" w14:textId="1BB11E46" w:rsidR="00077446" w:rsidRPr="00077446" w:rsidRDefault="008225E0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</w:t>
      </w:r>
    </w:p>
    <w:p w14:paraId="3B036618" w14:textId="6DDCAEE3" w:rsidR="006678F7" w:rsidRPr="00D16B2D" w:rsidRDefault="00D16B2D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1D0F3C14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5143BB60" w14:textId="6C809152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0FF6A6DD" w14:textId="0C3E68B6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p w14:paraId="35774599" w14:textId="5B8C8D8E" w:rsidR="00F20A96" w:rsidRPr="00241278" w:rsidRDefault="00C67014" w:rsidP="00241278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sectPr w:rsidR="00F20A96" w:rsidRPr="00241278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1064BB"/>
    <w:rsid w:val="00147D88"/>
    <w:rsid w:val="00152D7E"/>
    <w:rsid w:val="00241278"/>
    <w:rsid w:val="00306FE0"/>
    <w:rsid w:val="00411CBD"/>
    <w:rsid w:val="004449CB"/>
    <w:rsid w:val="004C31DF"/>
    <w:rsid w:val="00542BF7"/>
    <w:rsid w:val="0056593A"/>
    <w:rsid w:val="00570680"/>
    <w:rsid w:val="005F515B"/>
    <w:rsid w:val="00615992"/>
    <w:rsid w:val="006678F7"/>
    <w:rsid w:val="006E290D"/>
    <w:rsid w:val="006E4163"/>
    <w:rsid w:val="0072648A"/>
    <w:rsid w:val="00746CB6"/>
    <w:rsid w:val="00791787"/>
    <w:rsid w:val="007C2C99"/>
    <w:rsid w:val="008225E0"/>
    <w:rsid w:val="008B610E"/>
    <w:rsid w:val="00901D03"/>
    <w:rsid w:val="009305E9"/>
    <w:rsid w:val="00933720"/>
    <w:rsid w:val="009B63C4"/>
    <w:rsid w:val="009D6ECE"/>
    <w:rsid w:val="00A339EF"/>
    <w:rsid w:val="00A63FBD"/>
    <w:rsid w:val="00A75AD5"/>
    <w:rsid w:val="00A84116"/>
    <w:rsid w:val="00A95CA2"/>
    <w:rsid w:val="00AC38FE"/>
    <w:rsid w:val="00C23F15"/>
    <w:rsid w:val="00C263F4"/>
    <w:rsid w:val="00C67014"/>
    <w:rsid w:val="00C85F5E"/>
    <w:rsid w:val="00C9106F"/>
    <w:rsid w:val="00CC2F13"/>
    <w:rsid w:val="00CE139D"/>
    <w:rsid w:val="00D16B2D"/>
    <w:rsid w:val="00D5714C"/>
    <w:rsid w:val="00DB30E4"/>
    <w:rsid w:val="00DE61F5"/>
    <w:rsid w:val="00E30E86"/>
    <w:rsid w:val="00E53188"/>
    <w:rsid w:val="00E67E24"/>
    <w:rsid w:val="00E854D4"/>
    <w:rsid w:val="00ED533A"/>
    <w:rsid w:val="00F20A96"/>
    <w:rsid w:val="00F368EE"/>
    <w:rsid w:val="00F826BD"/>
    <w:rsid w:val="00F8308A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4</cp:revision>
  <dcterms:created xsi:type="dcterms:W3CDTF">2021-12-23T19:27:00Z</dcterms:created>
  <dcterms:modified xsi:type="dcterms:W3CDTF">2022-01-03T10:28:00Z</dcterms:modified>
</cp:coreProperties>
</file>