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AB0E2" w14:textId="77777777" w:rsidR="00DC71C0" w:rsidRDefault="00000000">
      <w:pPr>
        <w:spacing w:after="40"/>
      </w:pPr>
      <w:r>
        <w:rPr>
          <w:b/>
          <w:color w:val="1E2761"/>
          <w:sz w:val="44"/>
        </w:rPr>
        <w:t>Week 4 — Segmentation Field Guide</w:t>
      </w:r>
    </w:p>
    <w:p w14:paraId="5BA0C84F" w14:textId="77777777" w:rsidR="00DC71C0" w:rsidRDefault="00000000">
      <w:pPr>
        <w:spacing w:after="80"/>
      </w:pPr>
      <w:r>
        <w:rPr>
          <w:b/>
          <w:color w:val="1E2761"/>
          <w:sz w:val="28"/>
        </w:rPr>
        <w:t>Three kinds of segmentation · the four feature families · feature hygiene · choosing k · the three tests · personas and activation · patient segmentation and governance · vocabulary</w:t>
      </w:r>
    </w:p>
    <w:p w14:paraId="7B99E6BB" w14:textId="77777777" w:rsidR="00DC71C0" w:rsidRDefault="00000000">
      <w:pPr>
        <w:spacing w:after="40"/>
      </w:pPr>
      <w:r>
        <w:rPr>
          <w:b/>
          <w:color w:val="333333"/>
        </w:rPr>
        <w:t>Reference handout — keep it next to the notebook and the exercise</w:t>
      </w:r>
    </w:p>
    <w:p w14:paraId="5A358CCB" w14:textId="77777777" w:rsidR="00DC71C0" w:rsidRDefault="00000000">
      <w:pPr>
        <w:spacing w:after="40"/>
      </w:pPr>
      <w:r>
        <w:rPr>
          <w:b/>
          <w:color w:val="333333"/>
        </w:rPr>
        <w:t>Applied to GLUCOREN (6,000 targeted HCPs, 18 months; 20,000 patients); every number quoted is from the executed Week 4 notebook</w:t>
      </w:r>
    </w:p>
    <w:p w14:paraId="53672122" w14:textId="77777777" w:rsidR="00DC71C0" w:rsidRDefault="00DC71C0">
      <w:pPr>
        <w:pBdr>
          <w:bottom w:val="single" w:sz="8" w:space="1" w:color="1E2761"/>
        </w:pBdr>
        <w:spacing w:after="160"/>
      </w:pPr>
    </w:p>
    <w:p w14:paraId="366F09F1" w14:textId="77777777" w:rsidR="00DC71C0" w:rsidRDefault="00000000">
      <w:r>
        <w:rPr>
          <w:i/>
          <w:color w:val="666666"/>
          <w:sz w:val="21"/>
        </w:rPr>
        <w:t>How to use this guide. It is the Week 4 analog of the Claims Field Guide (Week 2) and the MMM Field Guide (Week 3): the vocabulary and the checklists a practitioner keeps open while building an HCP or patient segmentation. Parts 1–3 are the method; Parts 4–5 are what you hand to the brand team; Part 6 is patients; Part 7 is vocabulary for interviews.</w:t>
      </w:r>
    </w:p>
    <w:p w14:paraId="5CDD2E4D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1 · Three kinds of segmentation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3168"/>
        <w:gridCol w:w="2592"/>
      </w:tblGrid>
      <w:tr w:rsidR="00DC71C0" w14:paraId="13652B2D" w14:textId="77777777">
        <w:trPr>
          <w:jc w:val="center"/>
        </w:trPr>
        <w:tc>
          <w:tcPr>
            <w:tcW w:w="1584" w:type="dxa"/>
            <w:shd w:val="clear" w:color="auto" w:fill="1E2761"/>
          </w:tcPr>
          <w:p w14:paraId="2C463251" w14:textId="77777777" w:rsidR="00DC71C0" w:rsidRDefault="00DC71C0">
            <w:pPr>
              <w:spacing w:after="0"/>
            </w:pPr>
          </w:p>
        </w:tc>
        <w:tc>
          <w:tcPr>
            <w:tcW w:w="2592" w:type="dxa"/>
            <w:shd w:val="clear" w:color="auto" w:fill="1E2761"/>
          </w:tcPr>
          <w:p w14:paraId="1C0507F3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Decile (volume)</w:t>
            </w:r>
          </w:p>
        </w:tc>
        <w:tc>
          <w:tcPr>
            <w:tcW w:w="3168" w:type="dxa"/>
            <w:shd w:val="clear" w:color="auto" w:fill="1E2761"/>
          </w:tcPr>
          <w:p w14:paraId="080EA370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Behavioral</w:t>
            </w:r>
          </w:p>
        </w:tc>
        <w:tc>
          <w:tcPr>
            <w:tcW w:w="2592" w:type="dxa"/>
            <w:shd w:val="clear" w:color="auto" w:fill="1E2761"/>
          </w:tcPr>
          <w:p w14:paraId="34A0AEF8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Needs-based (attitudinal)</w:t>
            </w:r>
          </w:p>
        </w:tc>
      </w:tr>
      <w:tr w:rsidR="00DC71C0" w14:paraId="015E9EB4" w14:textId="77777777">
        <w:trPr>
          <w:jc w:val="center"/>
        </w:trPr>
        <w:tc>
          <w:tcPr>
            <w:tcW w:w="1584" w:type="dxa"/>
          </w:tcPr>
          <w:p w14:paraId="2B3610FA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Built from</w:t>
            </w:r>
          </w:p>
        </w:tc>
        <w:tc>
          <w:tcPr>
            <w:tcW w:w="2592" w:type="dxa"/>
          </w:tcPr>
          <w:p w14:paraId="54360011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One column of Rx volume</w:t>
            </w:r>
          </w:p>
        </w:tc>
        <w:tc>
          <w:tcPr>
            <w:tcW w:w="3168" w:type="dxa"/>
          </w:tcPr>
          <w:p w14:paraId="36AD5D53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Rx panel + claims + CRM/digital activity</w:t>
            </w:r>
          </w:p>
        </w:tc>
        <w:tc>
          <w:tcPr>
            <w:tcW w:w="2592" w:type="dxa"/>
          </w:tcPr>
          <w:p w14:paraId="33E20821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Primary research (n = 300–800) + a typing tool</w:t>
            </w:r>
          </w:p>
        </w:tc>
      </w:tr>
      <w:tr w:rsidR="00DC71C0" w14:paraId="1AC2EAE9" w14:textId="77777777">
        <w:trPr>
          <w:jc w:val="center"/>
        </w:trPr>
        <w:tc>
          <w:tcPr>
            <w:tcW w:w="1584" w:type="dxa"/>
            <w:shd w:val="clear" w:color="auto" w:fill="F3F6FC"/>
          </w:tcPr>
          <w:p w14:paraId="25FB0229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Answers</w:t>
            </w:r>
          </w:p>
        </w:tc>
        <w:tc>
          <w:tcPr>
            <w:tcW w:w="2592" w:type="dxa"/>
            <w:shd w:val="clear" w:color="auto" w:fill="F3F6FC"/>
          </w:tcPr>
          <w:p w14:paraId="298E9D2A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How big?</w:t>
            </w:r>
          </w:p>
        </w:tc>
        <w:tc>
          <w:tcPr>
            <w:tcW w:w="3168" w:type="dxa"/>
            <w:shd w:val="clear" w:color="auto" w:fill="F3F6FC"/>
          </w:tcPr>
          <w:p w14:paraId="5F30110F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How big, how loyal, moving which way, reachable how?</w:t>
            </w:r>
          </w:p>
        </w:tc>
        <w:tc>
          <w:tcPr>
            <w:tcW w:w="2592" w:type="dxa"/>
            <w:shd w:val="clear" w:color="auto" w:fill="F3F6FC"/>
          </w:tcPr>
          <w:p w14:paraId="520B68DE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Why? What would change their mind?</w:t>
            </w:r>
          </w:p>
        </w:tc>
      </w:tr>
      <w:tr w:rsidR="00DC71C0" w14:paraId="5A968E35" w14:textId="77777777">
        <w:trPr>
          <w:jc w:val="center"/>
        </w:trPr>
        <w:tc>
          <w:tcPr>
            <w:tcW w:w="1584" w:type="dxa"/>
          </w:tcPr>
          <w:p w14:paraId="42BAB374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Refresh</w:t>
            </w:r>
          </w:p>
        </w:tc>
        <w:tc>
          <w:tcPr>
            <w:tcW w:w="2592" w:type="dxa"/>
          </w:tcPr>
          <w:p w14:paraId="0F83359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Monthly</w:t>
            </w:r>
          </w:p>
        </w:tc>
        <w:tc>
          <w:tcPr>
            <w:tcW w:w="3168" w:type="dxa"/>
          </w:tcPr>
          <w:p w14:paraId="37AAE001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Quarterly / semi-annually; must be stable</w:t>
            </w:r>
          </w:p>
        </w:tc>
        <w:tc>
          <w:tcPr>
            <w:tcW w:w="2592" w:type="dxa"/>
          </w:tcPr>
          <w:p w14:paraId="31606885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Every 2–3 years</w:t>
            </w:r>
          </w:p>
        </w:tc>
      </w:tr>
      <w:tr w:rsidR="00DC71C0" w14:paraId="1569FE79" w14:textId="77777777">
        <w:trPr>
          <w:jc w:val="center"/>
        </w:trPr>
        <w:tc>
          <w:tcPr>
            <w:tcW w:w="1584" w:type="dxa"/>
            <w:shd w:val="clear" w:color="auto" w:fill="F3F6FC"/>
          </w:tcPr>
          <w:p w14:paraId="5CDA6390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Used for</w:t>
            </w:r>
          </w:p>
        </w:tc>
        <w:tc>
          <w:tcPr>
            <w:tcW w:w="2592" w:type="dxa"/>
            <w:shd w:val="clear" w:color="auto" w:fill="F3F6FC"/>
          </w:tcPr>
          <w:p w14:paraId="412A832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Call frequency, target lists, incentive compensation</w:t>
            </w:r>
          </w:p>
        </w:tc>
        <w:tc>
          <w:tcPr>
            <w:tcW w:w="3168" w:type="dxa"/>
            <w:shd w:val="clear" w:color="auto" w:fill="F3F6FC"/>
          </w:tcPr>
          <w:p w14:paraId="16F5271D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Channel mix, cadence, sequencing; the context for NBA</w:t>
            </w:r>
          </w:p>
        </w:tc>
        <w:tc>
          <w:tcPr>
            <w:tcW w:w="2592" w:type="dxa"/>
            <w:shd w:val="clear" w:color="auto" w:fill="F3F6FC"/>
          </w:tcPr>
          <w:p w14:paraId="55EA37C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Creative and messaging; persona language</w:t>
            </w:r>
          </w:p>
        </w:tc>
      </w:tr>
      <w:tr w:rsidR="00DC71C0" w14:paraId="23C35916" w14:textId="77777777">
        <w:trPr>
          <w:jc w:val="center"/>
        </w:trPr>
        <w:tc>
          <w:tcPr>
            <w:tcW w:w="1584" w:type="dxa"/>
          </w:tcPr>
          <w:p w14:paraId="1E541823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Fails when</w:t>
            </w:r>
          </w:p>
        </w:tc>
        <w:tc>
          <w:tcPr>
            <w:tcW w:w="2592" w:type="dxa"/>
          </w:tcPr>
          <w:p w14:paraId="1B2EC8B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Share and trend vary inside a decile (they always do)</w:t>
            </w:r>
          </w:p>
        </w:tc>
        <w:tc>
          <w:tcPr>
            <w:tcW w:w="3168" w:type="dxa"/>
          </w:tcPr>
          <w:p w14:paraId="6CD5D6D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Features re-encode volume or activity; unstable across refreshes</w:t>
            </w:r>
          </w:p>
        </w:tc>
        <w:tc>
          <w:tcPr>
            <w:tcW w:w="2592" w:type="dxa"/>
          </w:tcPr>
          <w:p w14:paraId="629FB3D8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Typing tool cannot reproduce the segments on the full universe</w:t>
            </w:r>
          </w:p>
        </w:tc>
      </w:tr>
    </w:tbl>
    <w:p w14:paraId="183D5EE3" w14:textId="77777777" w:rsidR="00DC71C0" w:rsidRDefault="00DC71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C71C0" w14:paraId="42B52E21" w14:textId="77777777">
        <w:trPr>
          <w:jc w:val="center"/>
        </w:trPr>
        <w:tc>
          <w:tcPr>
            <w:tcW w:w="9936" w:type="dxa"/>
            <w:shd w:val="clear" w:color="auto" w:fill="E9EFFB"/>
          </w:tcPr>
          <w:p w14:paraId="056DDF4B" w14:textId="77777777" w:rsidR="00DC71C0" w:rsidRDefault="00000000">
            <w:pPr>
              <w:spacing w:after="40"/>
            </w:pPr>
            <w:r>
              <w:rPr>
                <w:b/>
                <w:color w:val="1E2761"/>
              </w:rPr>
              <w:t>The industry answer</w:t>
            </w:r>
          </w:p>
          <w:p w14:paraId="631BF5E5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Decile for volume, behavior for the play, needs for the message. The three coexist; a segmentation project replaces none of them. Sales operations keeps the decile; marketing gets the behavior; the agency gets the persona.</w:t>
            </w:r>
          </w:p>
        </w:tc>
      </w:tr>
    </w:tbl>
    <w:p w14:paraId="3BB77CF5" w14:textId="77777777" w:rsidR="00DC71C0" w:rsidRDefault="00DC71C0">
      <w:pPr>
        <w:spacing w:after="80"/>
      </w:pPr>
    </w:p>
    <w:p w14:paraId="09419C19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2 · The four feature families (from claims/Rx and activity data)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456"/>
        <w:gridCol w:w="2304"/>
        <w:gridCol w:w="2304"/>
      </w:tblGrid>
      <w:tr w:rsidR="00DC71C0" w14:paraId="3D1A2BE9" w14:textId="77777777">
        <w:trPr>
          <w:jc w:val="center"/>
        </w:trPr>
        <w:tc>
          <w:tcPr>
            <w:tcW w:w="1872" w:type="dxa"/>
            <w:shd w:val="clear" w:color="auto" w:fill="1E2761"/>
          </w:tcPr>
          <w:p w14:paraId="350E1D6F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Family</w:t>
            </w:r>
          </w:p>
        </w:tc>
        <w:tc>
          <w:tcPr>
            <w:tcW w:w="3456" w:type="dxa"/>
            <w:shd w:val="clear" w:color="auto" w:fill="1E2761"/>
          </w:tcPr>
          <w:p w14:paraId="798C078F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w="2304" w:type="dxa"/>
            <w:shd w:val="clear" w:color="auto" w:fill="1E2761"/>
          </w:tcPr>
          <w:p w14:paraId="0C0AE9C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Real-brand source</w:t>
            </w:r>
          </w:p>
        </w:tc>
        <w:tc>
          <w:tcPr>
            <w:tcW w:w="2304" w:type="dxa"/>
            <w:shd w:val="clear" w:color="auto" w:fill="1E2761"/>
          </w:tcPr>
          <w:p w14:paraId="19B7D95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Hygiene rule</w:t>
            </w:r>
          </w:p>
        </w:tc>
      </w:tr>
      <w:tr w:rsidR="00DC71C0" w14:paraId="70AF0D3D" w14:textId="77777777">
        <w:trPr>
          <w:jc w:val="center"/>
        </w:trPr>
        <w:tc>
          <w:tcPr>
            <w:tcW w:w="1872" w:type="dxa"/>
          </w:tcPr>
          <w:p w14:paraId="301357CC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Writing behavior</w:t>
            </w:r>
          </w:p>
        </w:tc>
        <w:tc>
          <w:tcPr>
            <w:tcW w:w="3456" w:type="dxa"/>
          </w:tcPr>
          <w:p w14:paraId="711BF1E4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Market volume; brand share; share trend (H2 − H1); NBRx share of brand TRx</w:t>
            </w:r>
          </w:p>
        </w:tc>
        <w:tc>
          <w:tcPr>
            <w:tcW w:w="2304" w:type="dxa"/>
          </w:tcPr>
          <w:p w14:paraId="581BAE4A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Rx panel projections (Week 2)</w:t>
            </w:r>
          </w:p>
        </w:tc>
        <w:tc>
          <w:tcPr>
            <w:tcW w:w="2304" w:type="dxa"/>
          </w:tcPr>
          <w:p w14:paraId="38FA2D77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Log the volume; trend on &lt; 20 brand TRx is noise</w:t>
            </w:r>
          </w:p>
        </w:tc>
      </w:tr>
      <w:tr w:rsidR="00DC71C0" w14:paraId="4E6BFE6A" w14:textId="77777777">
        <w:trPr>
          <w:jc w:val="center"/>
        </w:trPr>
        <w:tc>
          <w:tcPr>
            <w:tcW w:w="1872" w:type="dxa"/>
            <w:shd w:val="clear" w:color="auto" w:fill="F3F6FC"/>
          </w:tcPr>
          <w:p w14:paraId="069BC34B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Patient mix / access</w:t>
            </w:r>
          </w:p>
        </w:tc>
        <w:tc>
          <w:tcPr>
            <w:tcW w:w="3456" w:type="dxa"/>
            <w:shd w:val="clear" w:color="auto" w:fill="F3F6FC"/>
          </w:tcPr>
          <w:p w14:paraId="209FB78A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% Medicare, mean patient age, % CV comorbidity; brand pharmacy-reject rate</w:t>
            </w:r>
          </w:p>
        </w:tc>
        <w:tc>
          <w:tcPr>
            <w:tcW w:w="2304" w:type="dxa"/>
            <w:shd w:val="clear" w:color="auto" w:fill="F3F6FC"/>
          </w:tcPr>
          <w:p w14:paraId="2A50F1D1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Claims (payer, Dx); formulary / reject data</w:t>
            </w:r>
          </w:p>
        </w:tc>
        <w:tc>
          <w:tcPr>
            <w:tcW w:w="2304" w:type="dxa"/>
            <w:shd w:val="clear" w:color="auto" w:fill="F3F6FC"/>
          </w:tcPr>
          <w:p w14:paraId="7E5999BE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Reject rate is the payer's behavior, not the HCP's — keep it, and route the play to market access</w:t>
            </w:r>
          </w:p>
        </w:tc>
      </w:tr>
      <w:tr w:rsidR="00DC71C0" w14:paraId="0AFA9372" w14:textId="77777777">
        <w:trPr>
          <w:jc w:val="center"/>
        </w:trPr>
        <w:tc>
          <w:tcPr>
            <w:tcW w:w="1872" w:type="dxa"/>
          </w:tcPr>
          <w:p w14:paraId="200C1408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Switching</w:t>
            </w:r>
          </w:p>
        </w:tc>
        <w:tc>
          <w:tcPr>
            <w:tcW w:w="3456" w:type="dxa"/>
          </w:tcPr>
          <w:p w14:paraId="0A69437D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Switch-in rate (share of NBRx from a competitor); switch-out rate</w:t>
            </w:r>
          </w:p>
        </w:tc>
        <w:tc>
          <w:tcPr>
            <w:tcW w:w="2304" w:type="dxa"/>
          </w:tcPr>
          <w:p w14:paraId="034EB7F4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Longitudinal patient-level Rx (LOT logic)</w:t>
            </w:r>
          </w:p>
        </w:tc>
        <w:tc>
          <w:tcPr>
            <w:tcW w:w="2304" w:type="dxa"/>
          </w:tcPr>
          <w:p w14:paraId="7DF3BF3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Switch-out on a small base is a coin flip — drop or shrink</w:t>
            </w:r>
          </w:p>
        </w:tc>
      </w:tr>
      <w:tr w:rsidR="00DC71C0" w14:paraId="2476189D" w14:textId="77777777">
        <w:trPr>
          <w:jc w:val="center"/>
        </w:trPr>
        <w:tc>
          <w:tcPr>
            <w:tcW w:w="1872" w:type="dxa"/>
            <w:shd w:val="clear" w:color="auto" w:fill="F3F6FC"/>
          </w:tcPr>
          <w:p w14:paraId="49F74252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Channel response</w:t>
            </w:r>
          </w:p>
        </w:tc>
        <w:tc>
          <w:tcPr>
            <w:tcW w:w="3456" w:type="dxa"/>
            <w:shd w:val="clear" w:color="auto" w:fill="F3F6FC"/>
          </w:tcPr>
          <w:p w14:paraId="2DB82FB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 xml:space="preserve">Calls received; email open rate; web visits; call response (corr. of brand TRx </w:t>
            </w:r>
            <w:r>
              <w:rPr>
                <w:color w:val="333333"/>
                <w:sz w:val="19"/>
              </w:rPr>
              <w:lastRenderedPageBreak/>
              <w:t>with last month's calls)</w:t>
            </w:r>
          </w:p>
        </w:tc>
        <w:tc>
          <w:tcPr>
            <w:tcW w:w="2304" w:type="dxa"/>
            <w:shd w:val="clear" w:color="auto" w:fill="F3F6FC"/>
          </w:tcPr>
          <w:p w14:paraId="0E0A3BFF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lastRenderedPageBreak/>
              <w:t>CRM, marketing automation, web analytics</w:t>
            </w:r>
          </w:p>
        </w:tc>
        <w:tc>
          <w:tcPr>
            <w:tcW w:w="2304" w:type="dxa"/>
            <w:shd w:val="clear" w:color="auto" w:fill="F3F6FC"/>
          </w:tcPr>
          <w:p w14:paraId="39AC5CEF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Activity ≠ response; calls encode last year's plan</w:t>
            </w:r>
          </w:p>
        </w:tc>
      </w:tr>
    </w:tbl>
    <w:p w14:paraId="619B0611" w14:textId="77777777" w:rsidR="00DC71C0" w:rsidRDefault="00DC71C0">
      <w:pPr>
        <w:spacing w:after="80"/>
      </w:pPr>
    </w:p>
    <w:p w14:paraId="13449B83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Feature hygiene — the checklist before scaling</w:t>
      </w:r>
    </w:p>
    <w:p w14:paraId="4A0EA231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A denominator for every rate. </w:t>
      </w:r>
      <w:r>
        <w:rPr>
          <w:color w:val="333333"/>
        </w:rPr>
        <w:t>Below ~20 brand TRx, switch-out rate, NBRx share and call response are noise. Tonight the raw feature set produced a 72-HCP 'segment' with a median of 7 brand TRx and a switch-out rate of 0.17 (universe 99th percentile: 0.12). The k-means objective preferred that solution.</w:t>
      </w:r>
    </w:p>
    <w:p w14:paraId="2E711515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Fix in order of preference: </w:t>
      </w:r>
      <w:r>
        <w:rPr>
          <w:color w:val="333333"/>
        </w:rPr>
        <w:t>drop a feature whose only information is the denominator; shrink the rate toward the universe mean (empirical Bayes, weighted by the denominator); winsorize at the 1st/99th percentile.</w:t>
      </w:r>
    </w:p>
    <w:p w14:paraId="434293F4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Log-transform counts </w:t>
      </w:r>
      <w:r>
        <w:rPr>
          <w:color w:val="333333"/>
        </w:rPr>
        <w:t>(volume, calls, visits). Pareto-shaped columns dominate Euclidean distance.</w:t>
      </w:r>
    </w:p>
    <w:p w14:paraId="6C32E2DC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Scale, and know that scaling is weighting. </w:t>
      </w:r>
      <w:r>
        <w:rPr>
          <w:color w:val="333333"/>
        </w:rPr>
        <w:t>Standardizing gives every feature equal weight; four writing-behavior features and one switching feature means writing behavior gets four votes. Feature-family weights or a PCA per family are the fix when it matters.</w:t>
      </w:r>
    </w:p>
    <w:p w14:paraId="77360F59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Check the correlation matrix. </w:t>
      </w:r>
      <w:r>
        <w:rPr>
          <w:color w:val="333333"/>
        </w:rPr>
        <w:t>A pair above |0.5| is one behavior counted twice.</w:t>
      </w:r>
    </w:p>
    <w:p w14:paraId="6FF7CC14" w14:textId="77777777" w:rsidR="00DC71C0" w:rsidRDefault="00000000">
      <w:pPr>
        <w:pStyle w:val="ListNumber"/>
        <w:spacing w:after="60"/>
      </w:pPr>
      <w:r>
        <w:rPr>
          <w:b/>
          <w:color w:val="333333"/>
        </w:rPr>
        <w:t xml:space="preserve">Feature window before outcome window. </w:t>
      </w:r>
      <w:r>
        <w:rPr>
          <w:color w:val="333333"/>
        </w:rPr>
        <w:t>Anything you will evaluate on (next quarter's growth) must not be in the features. Tonight: months 1–12 features, months 13–18 outcome.</w:t>
      </w:r>
    </w:p>
    <w:p w14:paraId="105D1A1F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3 · Choosing k and choosing the method</w:t>
      </w:r>
    </w:p>
    <w:p w14:paraId="5EBFDEAB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Three statistics, then the commercial test</w:t>
      </w:r>
    </w:p>
    <w:p w14:paraId="01CE23EF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Inertia (elbow): </w:t>
      </w:r>
      <w:r>
        <w:rPr>
          <w:color w:val="333333"/>
        </w:rPr>
        <w:t>always falls with k; the elbow is a judgement. Tonight: around 4–5.</w:t>
      </w:r>
    </w:p>
    <w:p w14:paraId="5C454B2F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Silhouette: </w:t>
      </w:r>
      <w:r>
        <w:rPr>
          <w:color w:val="333333"/>
        </w:rPr>
        <w:t>−1…1, how much closer each point is to its own cluster than to the nearest other. Behavioral data: 0.2–0.35 overall is normal. Tonight: 0.28 at k = 3, 0.23 at k = 5.</w:t>
      </w:r>
    </w:p>
    <w:p w14:paraId="69622F3A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Calinski–Harabasz / Davies–Bouldin: </w:t>
      </w:r>
      <w:r>
        <w:rPr>
          <w:color w:val="333333"/>
        </w:rPr>
        <w:t>between/within variance ratio; both prefer fewer, rounder clusters.</w:t>
      </w:r>
    </w:p>
    <w:p w14:paraId="76BABD27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The commercial test: </w:t>
      </w:r>
      <w:r>
        <w:rPr>
          <w:color w:val="333333"/>
        </w:rPr>
        <w:t>can marketing run k different plays? 4–6 is the range. If two segments get the same play, merge them.</w:t>
      </w:r>
    </w:p>
    <w:p w14:paraId="74F76F62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Two-stage: </w:t>
      </w:r>
      <w:r>
        <w:rPr>
          <w:color w:val="333333"/>
        </w:rPr>
        <w:t>k is never known; cluster a value tier first (or use the decile), then behavior within the high-value tier. Tonight: k = 4 single stage ARI 0.92 vs planted; two-stage 0.98.</w:t>
      </w:r>
    </w:p>
    <w:p w14:paraId="53790A4C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Methods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2592"/>
        <w:gridCol w:w="2448"/>
      </w:tblGrid>
      <w:tr w:rsidR="00DC71C0" w14:paraId="0709CFBC" w14:textId="77777777">
        <w:trPr>
          <w:jc w:val="center"/>
        </w:trPr>
        <w:tc>
          <w:tcPr>
            <w:tcW w:w="2016" w:type="dxa"/>
            <w:shd w:val="clear" w:color="auto" w:fill="1E2761"/>
          </w:tcPr>
          <w:p w14:paraId="658CDDA6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880" w:type="dxa"/>
            <w:shd w:val="clear" w:color="auto" w:fill="1E2761"/>
          </w:tcPr>
          <w:p w14:paraId="6820138D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Assumes</w:t>
            </w:r>
          </w:p>
        </w:tc>
        <w:tc>
          <w:tcPr>
            <w:tcW w:w="2592" w:type="dxa"/>
            <w:shd w:val="clear" w:color="auto" w:fill="1E2761"/>
          </w:tcPr>
          <w:p w14:paraId="319AF7C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Gives</w:t>
            </w:r>
          </w:p>
        </w:tc>
        <w:tc>
          <w:tcPr>
            <w:tcW w:w="2448" w:type="dxa"/>
            <w:shd w:val="clear" w:color="auto" w:fill="1E2761"/>
          </w:tcPr>
          <w:p w14:paraId="2120EBF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Use it when</w:t>
            </w:r>
          </w:p>
        </w:tc>
      </w:tr>
      <w:tr w:rsidR="00DC71C0" w14:paraId="57298C6B" w14:textId="77777777">
        <w:trPr>
          <w:jc w:val="center"/>
        </w:trPr>
        <w:tc>
          <w:tcPr>
            <w:tcW w:w="2016" w:type="dxa"/>
          </w:tcPr>
          <w:p w14:paraId="1E7300B8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k-means</w:t>
            </w:r>
          </w:p>
        </w:tc>
        <w:tc>
          <w:tcPr>
            <w:tcW w:w="2880" w:type="dxa"/>
          </w:tcPr>
          <w:p w14:paraId="3CEF46C5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Round clusters of similar spread in scaled space; k known</w:t>
            </w:r>
          </w:p>
        </w:tc>
        <w:tc>
          <w:tcPr>
            <w:tcW w:w="2592" w:type="dxa"/>
          </w:tcPr>
          <w:p w14:paraId="427AC8AF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Hard labels; centroids you can explain</w:t>
            </w:r>
          </w:p>
        </w:tc>
        <w:tc>
          <w:tcPr>
            <w:tcW w:w="2448" w:type="dxa"/>
          </w:tcPr>
          <w:p w14:paraId="7B71C89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segmentation everyone must understand (default)</w:t>
            </w:r>
          </w:p>
        </w:tc>
      </w:tr>
      <w:tr w:rsidR="00DC71C0" w14:paraId="168A90C9" w14:textId="77777777">
        <w:trPr>
          <w:jc w:val="center"/>
        </w:trPr>
        <w:tc>
          <w:tcPr>
            <w:tcW w:w="2016" w:type="dxa"/>
            <w:shd w:val="clear" w:color="auto" w:fill="F3F6FC"/>
          </w:tcPr>
          <w:p w14:paraId="6FFCC1DB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Gaussian mixture</w:t>
            </w:r>
          </w:p>
        </w:tc>
        <w:tc>
          <w:tcPr>
            <w:tcW w:w="2880" w:type="dxa"/>
            <w:shd w:val="clear" w:color="auto" w:fill="F3F6FC"/>
          </w:tcPr>
          <w:p w14:paraId="4EA5D85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Ellipsoidal clusters; k known (BIC)</w:t>
            </w:r>
          </w:p>
        </w:tc>
        <w:tc>
          <w:tcPr>
            <w:tcW w:w="2592" w:type="dxa"/>
            <w:shd w:val="clear" w:color="auto" w:fill="F3F6FC"/>
          </w:tcPr>
          <w:p w14:paraId="4B6A072E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membership probability per segment</w:t>
            </w:r>
          </w:p>
        </w:tc>
        <w:tc>
          <w:tcPr>
            <w:tcW w:w="2448" w:type="dxa"/>
            <w:shd w:val="clear" w:color="auto" w:fill="F3F6FC"/>
          </w:tcPr>
          <w:p w14:paraId="3DA24DAC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Boundary HCPs matter (NBA); BIC over-fits long tails — check</w:t>
            </w:r>
          </w:p>
        </w:tc>
      </w:tr>
      <w:tr w:rsidR="00DC71C0" w14:paraId="10250F83" w14:textId="77777777">
        <w:trPr>
          <w:jc w:val="center"/>
        </w:trPr>
        <w:tc>
          <w:tcPr>
            <w:tcW w:w="2016" w:type="dxa"/>
          </w:tcPr>
          <w:p w14:paraId="5CE1259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Hierarchical (Ward)</w:t>
            </w:r>
          </w:p>
        </w:tc>
        <w:tc>
          <w:tcPr>
            <w:tcW w:w="2880" w:type="dxa"/>
          </w:tcPr>
          <w:p w14:paraId="446B0E8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Nothing about k; nested structure</w:t>
            </w:r>
          </w:p>
        </w:tc>
        <w:tc>
          <w:tcPr>
            <w:tcW w:w="2592" w:type="dxa"/>
          </w:tcPr>
          <w:p w14:paraId="5A185B1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dendrogram; nested segments</w:t>
            </w:r>
          </w:p>
        </w:tc>
        <w:tc>
          <w:tcPr>
            <w:tcW w:w="2448" w:type="dxa"/>
          </w:tcPr>
          <w:p w14:paraId="736BF864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Brand wants 'high-value → loyal / contested'</w:t>
            </w:r>
          </w:p>
        </w:tc>
      </w:tr>
      <w:tr w:rsidR="00DC71C0" w14:paraId="1470628D" w14:textId="77777777">
        <w:trPr>
          <w:jc w:val="center"/>
        </w:trPr>
        <w:tc>
          <w:tcPr>
            <w:tcW w:w="2016" w:type="dxa"/>
            <w:shd w:val="clear" w:color="auto" w:fill="F3F6FC"/>
          </w:tcPr>
          <w:p w14:paraId="78D0DFBD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HDBSCAN</w:t>
            </w:r>
          </w:p>
        </w:tc>
        <w:tc>
          <w:tcPr>
            <w:tcW w:w="2880" w:type="dxa"/>
            <w:shd w:val="clear" w:color="auto" w:fill="F3F6FC"/>
          </w:tcPr>
          <w:p w14:paraId="00245CFC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Clusters are dense regions; noise exists</w:t>
            </w:r>
          </w:p>
        </w:tc>
        <w:tc>
          <w:tcPr>
            <w:tcW w:w="2592" w:type="dxa"/>
            <w:shd w:val="clear" w:color="auto" w:fill="F3F6FC"/>
          </w:tcPr>
          <w:p w14:paraId="0E0FE4AD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Labels + an unassigned set (39% tonight)</w:t>
            </w:r>
          </w:p>
        </w:tc>
        <w:tc>
          <w:tcPr>
            <w:tcW w:w="2448" w:type="dxa"/>
            <w:shd w:val="clear" w:color="auto" w:fill="F3F6FC"/>
          </w:tcPr>
          <w:p w14:paraId="12C46C03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Honesty about 'no clear behavior'; hard to sell</w:t>
            </w:r>
          </w:p>
        </w:tc>
      </w:tr>
      <w:tr w:rsidR="00DC71C0" w14:paraId="6ACFBAFD" w14:textId="77777777">
        <w:trPr>
          <w:jc w:val="center"/>
        </w:trPr>
        <w:tc>
          <w:tcPr>
            <w:tcW w:w="2016" w:type="dxa"/>
          </w:tcPr>
          <w:p w14:paraId="36816E6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Supervised (GBM → deciles)</w:t>
            </w:r>
          </w:p>
        </w:tc>
        <w:tc>
          <w:tcPr>
            <w:tcW w:w="2880" w:type="dxa"/>
          </w:tcPr>
          <w:p w14:paraId="1E74634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label exists (next-period growth)</w:t>
            </w:r>
          </w:p>
        </w:tc>
        <w:tc>
          <w:tcPr>
            <w:tcW w:w="2592" w:type="dxa"/>
          </w:tcPr>
          <w:p w14:paraId="72105C6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ranked score: Champions / Loyalists / Churners</w:t>
            </w:r>
          </w:p>
        </w:tc>
        <w:tc>
          <w:tcPr>
            <w:tcW w:w="2448" w:type="dxa"/>
          </w:tcPr>
          <w:p w14:paraId="78B5A033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question is 'who will grow / churn', not 'who behaves alike'</w:t>
            </w:r>
          </w:p>
        </w:tc>
      </w:tr>
    </w:tbl>
    <w:p w14:paraId="3E455C7E" w14:textId="77777777" w:rsidR="00DC71C0" w:rsidRDefault="00DC71C0">
      <w:pPr>
        <w:spacing w:after="80"/>
      </w:pPr>
    </w:p>
    <w:p w14:paraId="05FA2CDC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lastRenderedPageBreak/>
        <w:t>Part 4 · The three tests (in this order)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2592"/>
        <w:gridCol w:w="2304"/>
      </w:tblGrid>
      <w:tr w:rsidR="00DC71C0" w14:paraId="30B638CE" w14:textId="77777777">
        <w:trPr>
          <w:jc w:val="center"/>
        </w:trPr>
        <w:tc>
          <w:tcPr>
            <w:tcW w:w="1872" w:type="dxa"/>
            <w:shd w:val="clear" w:color="auto" w:fill="1E2761"/>
          </w:tcPr>
          <w:p w14:paraId="6997BAA7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w="3168" w:type="dxa"/>
            <w:shd w:val="clear" w:color="auto" w:fill="1E2761"/>
          </w:tcPr>
          <w:p w14:paraId="7CE0847D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w="2592" w:type="dxa"/>
            <w:shd w:val="clear" w:color="auto" w:fill="1E2761"/>
          </w:tcPr>
          <w:p w14:paraId="4C4797DC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Pass looks like</w:t>
            </w:r>
          </w:p>
        </w:tc>
        <w:tc>
          <w:tcPr>
            <w:tcW w:w="2304" w:type="dxa"/>
            <w:shd w:val="clear" w:color="auto" w:fill="1E2761"/>
          </w:tcPr>
          <w:p w14:paraId="7199B4B3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Tonight</w:t>
            </w:r>
          </w:p>
        </w:tc>
      </w:tr>
      <w:tr w:rsidR="00DC71C0" w14:paraId="3C19E7A9" w14:textId="77777777">
        <w:trPr>
          <w:jc w:val="center"/>
        </w:trPr>
        <w:tc>
          <w:tcPr>
            <w:tcW w:w="1872" w:type="dxa"/>
          </w:tcPr>
          <w:p w14:paraId="59AE0163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1 · Stability</w:t>
            </w:r>
          </w:p>
        </w:tc>
        <w:tc>
          <w:tcPr>
            <w:tcW w:w="3168" w:type="dxa"/>
          </w:tcPr>
          <w:p w14:paraId="037828E8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Bootstrap resamples, other seeds, a shorter feature window; ARI between runs; matched per-HCP agreement</w:t>
            </w:r>
          </w:p>
        </w:tc>
        <w:tc>
          <w:tcPr>
            <w:tcW w:w="2592" w:type="dxa"/>
          </w:tcPr>
          <w:p w14:paraId="33C5FC03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Mean ARI ≥ 0.8 and a minimum not far below; ≥ 90% of HCPs keep their segment</w:t>
            </w:r>
          </w:p>
        </w:tc>
        <w:tc>
          <w:tcPr>
            <w:tcW w:w="2304" w:type="dxa"/>
          </w:tcPr>
          <w:p w14:paraId="4D61CD9D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Mean 0.97, min 0.69 (one boundary: core vs movers); 97% agreement; 11-month window 0.997</w:t>
            </w:r>
          </w:p>
        </w:tc>
      </w:tr>
      <w:tr w:rsidR="00DC71C0" w14:paraId="7D0B4029" w14:textId="77777777">
        <w:trPr>
          <w:jc w:val="center"/>
        </w:trPr>
        <w:tc>
          <w:tcPr>
            <w:tcW w:w="1872" w:type="dxa"/>
            <w:shd w:val="clear" w:color="auto" w:fill="F3F6FC"/>
          </w:tcPr>
          <w:p w14:paraId="48D92040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2 · Separation</w:t>
            </w:r>
          </w:p>
        </w:tc>
        <w:tc>
          <w:tcPr>
            <w:tcW w:w="3168" w:type="dxa"/>
            <w:shd w:val="clear" w:color="auto" w:fill="F3F6FC"/>
          </w:tcPr>
          <w:p w14:paraId="4CB719A1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Silhouette per cluster; share of negative-silhouette points; Davies–Bouldin</w:t>
            </w:r>
          </w:p>
        </w:tc>
        <w:tc>
          <w:tcPr>
            <w:tcW w:w="2592" w:type="dxa"/>
            <w:shd w:val="clear" w:color="auto" w:fill="F3F6FC"/>
          </w:tcPr>
          <w:p w14:paraId="275F224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No cluster near zero with many negative points</w:t>
            </w:r>
          </w:p>
        </w:tc>
        <w:tc>
          <w:tcPr>
            <w:tcW w:w="2304" w:type="dxa"/>
            <w:shd w:val="clear" w:color="auto" w:fill="F3F6FC"/>
          </w:tcPr>
          <w:p w14:paraId="07B31A7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Overall 0.23; clusters 0.12–0.40; the long tail is the weak one (by construction)</w:t>
            </w:r>
          </w:p>
        </w:tc>
      </w:tr>
      <w:tr w:rsidR="00DC71C0" w14:paraId="3A41911F" w14:textId="77777777">
        <w:trPr>
          <w:jc w:val="center"/>
        </w:trPr>
        <w:tc>
          <w:tcPr>
            <w:tcW w:w="1872" w:type="dxa"/>
          </w:tcPr>
          <w:p w14:paraId="33A96B8B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3 · Commercial interpretability</w:t>
            </w:r>
          </w:p>
        </w:tc>
        <w:tc>
          <w:tcPr>
            <w:tcW w:w="3168" w:type="dxa"/>
          </w:tcPr>
          <w:p w14:paraId="058F76B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segment card table: size, brand TRx, headroom, calls per brand TRx, channel response; one play per row</w:t>
            </w:r>
          </w:p>
        </w:tc>
        <w:tc>
          <w:tcPr>
            <w:tcW w:w="2592" w:type="dxa"/>
          </w:tcPr>
          <w:p w14:paraId="6BC9D4F8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Every row has a different play and an exit trigger</w:t>
            </w:r>
          </w:p>
        </w:tc>
        <w:tc>
          <w:tcPr>
            <w:tcW w:w="2304" w:type="dxa"/>
          </w:tcPr>
          <w:p w14:paraId="38FC186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Five plays: protect / grow / fix access / test / cheap digital</w:t>
            </w:r>
          </w:p>
        </w:tc>
      </w:tr>
    </w:tbl>
    <w:p w14:paraId="00691A59" w14:textId="77777777" w:rsidR="00DC71C0" w:rsidRDefault="00DC71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C71C0" w14:paraId="06773671" w14:textId="77777777">
        <w:trPr>
          <w:jc w:val="center"/>
        </w:trPr>
        <w:tc>
          <w:tcPr>
            <w:tcW w:w="9936" w:type="dxa"/>
            <w:shd w:val="clear" w:color="auto" w:fill="E9EFFB"/>
          </w:tcPr>
          <w:p w14:paraId="5B2471C4" w14:textId="77777777" w:rsidR="00DC71C0" w:rsidRDefault="00000000">
            <w:pPr>
              <w:spacing w:after="40"/>
            </w:pPr>
            <w:r>
              <w:rPr>
                <w:b/>
                <w:color w:val="1E2761"/>
              </w:rPr>
              <w:t>Why this order</w:t>
            </w:r>
          </w:p>
          <w:p w14:paraId="202D5734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Naming an unstable cluster is fiction. Separation before interpretability because a leftover cluster should be merged, not named. Report the minimum stability run, not just the mean — it tells you which boundary is fragile, and that boundary is where the second stage or the supervised score goes.</w:t>
            </w:r>
          </w:p>
        </w:tc>
      </w:tr>
    </w:tbl>
    <w:p w14:paraId="26704AA5" w14:textId="77777777" w:rsidR="00DC71C0" w:rsidRDefault="00DC71C0">
      <w:pPr>
        <w:spacing w:after="80"/>
      </w:pPr>
    </w:p>
    <w:p w14:paraId="3CEC5B42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5 · From segments to personas and activation</w:t>
      </w:r>
    </w:p>
    <w:p w14:paraId="5275B91C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The segment card (one per segment)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4608"/>
      </w:tblGrid>
      <w:tr w:rsidR="00DC71C0" w14:paraId="234B5A48" w14:textId="77777777">
        <w:trPr>
          <w:jc w:val="center"/>
        </w:trPr>
        <w:tc>
          <w:tcPr>
            <w:tcW w:w="1584" w:type="dxa"/>
            <w:shd w:val="clear" w:color="auto" w:fill="1E2761"/>
          </w:tcPr>
          <w:p w14:paraId="094B419D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744" w:type="dxa"/>
            <w:shd w:val="clear" w:color="auto" w:fill="1E2761"/>
          </w:tcPr>
          <w:p w14:paraId="2720E0B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What goes in it</w:t>
            </w:r>
          </w:p>
        </w:tc>
        <w:tc>
          <w:tcPr>
            <w:tcW w:w="4608" w:type="dxa"/>
            <w:shd w:val="clear" w:color="auto" w:fill="1E2761"/>
          </w:tcPr>
          <w:p w14:paraId="335A1E5B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Tonight's example: The Movers (cluster 4 / segment 1.1)</w:t>
            </w:r>
          </w:p>
        </w:tc>
      </w:tr>
      <w:tr w:rsidR="00DC71C0" w14:paraId="2B29D71D" w14:textId="77777777">
        <w:trPr>
          <w:jc w:val="center"/>
        </w:trPr>
        <w:tc>
          <w:tcPr>
            <w:tcW w:w="1584" w:type="dxa"/>
          </w:tcPr>
          <w:p w14:paraId="1CD3521A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Name</w:t>
            </w:r>
          </w:p>
        </w:tc>
        <w:tc>
          <w:tcPr>
            <w:tcW w:w="3744" w:type="dxa"/>
          </w:tcPr>
          <w:p w14:paraId="72017008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behavior, never a number</w:t>
            </w:r>
          </w:p>
        </w:tc>
        <w:tc>
          <w:tcPr>
            <w:tcW w:w="4608" w:type="dxa"/>
          </w:tcPr>
          <w:p w14:paraId="3C33D2C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Movers</w:t>
            </w:r>
          </w:p>
        </w:tc>
      </w:tr>
      <w:tr w:rsidR="00DC71C0" w14:paraId="0CC48391" w14:textId="77777777">
        <w:trPr>
          <w:jc w:val="center"/>
        </w:trPr>
        <w:tc>
          <w:tcPr>
            <w:tcW w:w="1584" w:type="dxa"/>
            <w:shd w:val="clear" w:color="auto" w:fill="F3F6FC"/>
          </w:tcPr>
          <w:p w14:paraId="7F2E3D90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Who</w:t>
            </w:r>
          </w:p>
        </w:tc>
        <w:tc>
          <w:tcPr>
            <w:tcW w:w="3744" w:type="dxa"/>
            <w:shd w:val="clear" w:color="auto" w:fill="F3F6FC"/>
          </w:tcPr>
          <w:p w14:paraId="2BFCA8D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Size (% of HCPs), value (% of brand TRx), the two or three features that define them</w:t>
            </w:r>
          </w:p>
        </w:tc>
        <w:tc>
          <w:tcPr>
            <w:tcW w:w="4608" w:type="dxa"/>
            <w:shd w:val="clear" w:color="auto" w:fill="F3F6FC"/>
          </w:tcPr>
          <w:p w14:paraId="16E5E66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15% of HCPs · 16% of brand TRx · share 16% rising 8 pts per half-year · half of NBRx switched in · most digital</w:t>
            </w:r>
          </w:p>
        </w:tc>
      </w:tr>
      <w:tr w:rsidR="00DC71C0" w14:paraId="0D17E26A" w14:textId="77777777">
        <w:trPr>
          <w:jc w:val="center"/>
        </w:trPr>
        <w:tc>
          <w:tcPr>
            <w:tcW w:w="1584" w:type="dxa"/>
          </w:tcPr>
          <w:p w14:paraId="69F8011A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Needs</w:t>
            </w:r>
          </w:p>
        </w:tc>
        <w:tc>
          <w:tcPr>
            <w:tcW w:w="3744" w:type="dxa"/>
          </w:tcPr>
          <w:p w14:paraId="6A4F41D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What they are looking for (hypothesis until research confirms)</w:t>
            </w:r>
          </w:p>
        </w:tc>
        <w:tc>
          <w:tcPr>
            <w:tcW w:w="4608" w:type="dxa"/>
          </w:tcPr>
          <w:p w14:paraId="7D9D0D65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Evidence for switching: head-to-head data, access wins, samples at the moment of the switch</w:t>
            </w:r>
          </w:p>
        </w:tc>
      </w:tr>
      <w:tr w:rsidR="00DC71C0" w14:paraId="121128C3" w14:textId="77777777">
        <w:trPr>
          <w:jc w:val="center"/>
        </w:trPr>
        <w:tc>
          <w:tcPr>
            <w:tcW w:w="1584" w:type="dxa"/>
            <w:shd w:val="clear" w:color="auto" w:fill="F3F6FC"/>
          </w:tcPr>
          <w:p w14:paraId="6855C69C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Play</w:t>
            </w:r>
          </w:p>
        </w:tc>
        <w:tc>
          <w:tcPr>
            <w:tcW w:w="3744" w:type="dxa"/>
            <w:shd w:val="clear" w:color="auto" w:fill="F3F6FC"/>
          </w:tcPr>
          <w:p w14:paraId="3DB1412A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Channel, frequency, message, program</w:t>
            </w:r>
          </w:p>
        </w:tc>
        <w:tc>
          <w:tcPr>
            <w:tcW w:w="4608" w:type="dxa"/>
            <w:shd w:val="clear" w:color="auto" w:fill="F3F6FC"/>
          </w:tcPr>
          <w:p w14:paraId="541DB0B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Sequence email → web → call around switching triggers; do not saturate (16.8 calls/year already)</w:t>
            </w:r>
          </w:p>
        </w:tc>
      </w:tr>
      <w:tr w:rsidR="00DC71C0" w14:paraId="40C45FDB" w14:textId="77777777">
        <w:trPr>
          <w:jc w:val="center"/>
        </w:trPr>
        <w:tc>
          <w:tcPr>
            <w:tcW w:w="1584" w:type="dxa"/>
          </w:tcPr>
          <w:p w14:paraId="375570DF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Exit trigger</w:t>
            </w:r>
          </w:p>
        </w:tc>
        <w:tc>
          <w:tcPr>
            <w:tcW w:w="3744" w:type="dxa"/>
          </w:tcPr>
          <w:p w14:paraId="63D7DF0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observable event that moves an HCP out (the NBA trigger)</w:t>
            </w:r>
          </w:p>
        </w:tc>
        <w:tc>
          <w:tcPr>
            <w:tcW w:w="4608" w:type="dxa"/>
          </w:tcPr>
          <w:p w14:paraId="6B94A680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NBRx share falls below 30% — they have finished moving</w:t>
            </w:r>
          </w:p>
        </w:tc>
      </w:tr>
      <w:tr w:rsidR="00DC71C0" w14:paraId="6786A4A9" w14:textId="77777777">
        <w:trPr>
          <w:jc w:val="center"/>
        </w:trPr>
        <w:tc>
          <w:tcPr>
            <w:tcW w:w="1584" w:type="dxa"/>
            <w:shd w:val="clear" w:color="auto" w:fill="F3F6FC"/>
          </w:tcPr>
          <w:p w14:paraId="489E28DA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Owner and refresh</w:t>
            </w:r>
          </w:p>
        </w:tc>
        <w:tc>
          <w:tcPr>
            <w:tcW w:w="3744" w:type="dxa"/>
            <w:shd w:val="clear" w:color="auto" w:fill="F3F6FC"/>
          </w:tcPr>
          <w:p w14:paraId="76921A4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Who re-scores and when</w:t>
            </w:r>
          </w:p>
        </w:tc>
        <w:tc>
          <w:tcPr>
            <w:tcW w:w="4608" w:type="dxa"/>
            <w:shd w:val="clear" w:color="auto" w:fill="F3F6FC"/>
          </w:tcPr>
          <w:p w14:paraId="5E07AD0D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Marketing analytics; re-score monthly, re-cluster semi-annually</w:t>
            </w:r>
          </w:p>
        </w:tc>
      </w:tr>
    </w:tbl>
    <w:p w14:paraId="3367D88A" w14:textId="77777777" w:rsidR="00DC71C0" w:rsidRDefault="00DC71C0">
      <w:pPr>
        <w:spacing w:after="80"/>
      </w:pPr>
    </w:p>
    <w:p w14:paraId="31EAE440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The activation matrix</w:t>
      </w:r>
    </w:p>
    <w:p w14:paraId="1B4334FB" w14:textId="77777777" w:rsidR="00DC71C0" w:rsidRDefault="00000000">
      <w:r>
        <w:rPr>
          <w:color w:val="333333"/>
        </w:rPr>
        <w:t>Rows = segments, columns = channels, cells = affinity index (the segment's response measure relative to the universe mean; 1.0 = average). Tonight: core and movers respond to every channel (the risk is fatigue → frequency caps); the access-constrained segment is average on email and web but 86% churn risk — the channel is not the problem, coverage is; the entrenched and the long tail are below average on every channel — experiments, not frequency. The matrix, the growth score and the exit triggers are the three inputs to Week 5's Next Best Action layer.</w:t>
      </w:r>
    </w:p>
    <w:p w14:paraId="7C5450D4" w14:textId="77777777" w:rsidR="00DC71C0" w:rsidRDefault="00000000">
      <w:pPr>
        <w:keepNext/>
        <w:spacing w:before="160" w:after="60"/>
      </w:pPr>
      <w:r>
        <w:rPr>
          <w:b/>
          <w:color w:val="1E2761"/>
          <w:sz w:val="25"/>
        </w:rPr>
        <w:t>Reconciling with the decile</w:t>
      </w:r>
    </w:p>
    <w:p w14:paraId="49ADD871" w14:textId="77777777" w:rsidR="00DC71C0" w:rsidRDefault="00000000">
      <w:r>
        <w:rPr>
          <w:color w:val="333333"/>
        </w:rPr>
        <w:t xml:space="preserve">Sales operations will not give up its deciles, and it should not: deciles drive call capacity and incentive compensation. Present the segmentation as decile × behavior — a two-way table with call frequency in the </w:t>
      </w:r>
      <w:r>
        <w:rPr>
          <w:color w:val="333333"/>
        </w:rPr>
        <w:lastRenderedPageBreak/>
        <w:t>decile dimension and the play in the behavior dimension. Two-stage clustering (value tier, then behavior) makes this reconciliation automatic.</w:t>
      </w:r>
    </w:p>
    <w:p w14:paraId="2D553175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6 · Patient segmentation — same machinery, different questions, real governance</w:t>
      </w:r>
    </w:p>
    <w:p w14:paraId="38571724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Features come from the patient journey </w:t>
      </w:r>
      <w:r>
        <w:rPr>
          <w:color w:val="333333"/>
        </w:rPr>
        <w:t>(Week 2 pipeline): time from diagnosis to first fill, months on therapy, prior lines, PDC, refill gaps, switches, copay, PSP enrollment, portal logins, comorbidity, ER visits, discontinuation.</w:t>
      </w:r>
    </w:p>
    <w:p w14:paraId="001F9E6B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Questions are different: </w:t>
      </w:r>
      <w:r>
        <w:rPr>
          <w:color w:val="333333"/>
        </w:rPr>
        <w:t>who is about to stop, who needs affordability routing, which patients need HCP support. The plays are programs (copay assistance, adherence outreach, nurse support), not messages.</w:t>
      </w:r>
    </w:p>
    <w:p w14:paraId="580D1648" w14:textId="77777777" w:rsidR="00DC71C0" w:rsidRDefault="00000000">
      <w:pPr>
        <w:pStyle w:val="ListBullet"/>
        <w:spacing w:after="60"/>
      </w:pPr>
      <w:r>
        <w:rPr>
          <w:b/>
          <w:color w:val="333333"/>
        </w:rPr>
        <w:t xml:space="preserve">Tonight: </w:t>
      </w:r>
      <w:r>
        <w:rPr>
          <w:color w:val="333333"/>
        </w:rPr>
        <w:t>k = 4; ARI 0.84 vs planted. Stable long-term (33%, 5% discontinue) · engaged new starters (28%, 55% in PSP) · complex late-line (15%, 3.3 prior lines, 27% discontinue) · cost-sensitive strugglers (23%, copay $69, PDC 0.51, 42% discontinue).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C71C0" w14:paraId="45D560EB" w14:textId="77777777">
        <w:trPr>
          <w:jc w:val="center"/>
        </w:trPr>
        <w:tc>
          <w:tcPr>
            <w:tcW w:w="9936" w:type="dxa"/>
            <w:shd w:val="clear" w:color="auto" w:fill="E9EFFB"/>
          </w:tcPr>
          <w:p w14:paraId="091CB6D5" w14:textId="77777777" w:rsidR="00DC71C0" w:rsidRDefault="00000000">
            <w:pPr>
              <w:spacing w:after="40"/>
            </w:pPr>
            <w:r>
              <w:rPr>
                <w:b/>
                <w:color w:val="1E2761"/>
              </w:rPr>
              <w:t>Governance is part of the model</w:t>
            </w:r>
          </w:p>
          <w:p w14:paraId="2D9EAFBE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Purpose limitation: a segment built for adherence support is used for adherence support. Never re-purposed for HCP targeting; never joined back to a prescriber list. Label every output with its purpose, refresh date and owner.</w:t>
            </w:r>
          </w:p>
          <w:p w14:paraId="3BC8E5DD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Data minimization: only features with modeling utility and low re-identification risk. No names, ZIPs or dates of birth — and none are needed.</w:t>
            </w:r>
          </w:p>
          <w:p w14:paraId="252720F5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Who may act: a patient program may; a sales rep may not know a patient's segment; marketing sees aggregates.</w:t>
            </w:r>
          </w:p>
          <w:p w14:paraId="69283064" w14:textId="77777777" w:rsidR="00DC71C0" w:rsidRDefault="00000000">
            <w:pPr>
              <w:spacing w:after="40"/>
            </w:pPr>
            <w:r>
              <w:rPr>
                <w:color w:val="333333"/>
                <w:sz w:val="21"/>
              </w:rPr>
              <w:t>IQVIA's own wording (reading pack, Part D): patient segments 'are labeled with metadata that restricts downstream use to a specific context and time frame.'</w:t>
            </w:r>
          </w:p>
        </w:tc>
      </w:tr>
    </w:tbl>
    <w:p w14:paraId="25F3E320" w14:textId="77777777" w:rsidR="00DC71C0" w:rsidRDefault="00DC71C0">
      <w:pPr>
        <w:spacing w:after="80"/>
      </w:pPr>
    </w:p>
    <w:p w14:paraId="185D0E9B" w14:textId="77777777" w:rsidR="00DC71C0" w:rsidRDefault="00000000">
      <w:pPr>
        <w:keepNext/>
        <w:spacing w:before="240" w:after="80"/>
      </w:pPr>
      <w:r>
        <w:rPr>
          <w:b/>
          <w:color w:val="1E2761"/>
          <w:sz w:val="30"/>
        </w:rPr>
        <w:t>Part 7 · Vocabulary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DC71C0" w14:paraId="362ACC6A" w14:textId="77777777">
        <w:trPr>
          <w:jc w:val="center"/>
        </w:trPr>
        <w:tc>
          <w:tcPr>
            <w:tcW w:w="2592" w:type="dxa"/>
            <w:shd w:val="clear" w:color="auto" w:fill="1E2761"/>
          </w:tcPr>
          <w:p w14:paraId="45060AD4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344" w:type="dxa"/>
            <w:shd w:val="clear" w:color="auto" w:fill="1E2761"/>
          </w:tcPr>
          <w:p w14:paraId="13DA3B8A" w14:textId="77777777" w:rsidR="00DC71C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DC71C0" w14:paraId="5FDFA34A" w14:textId="77777777">
        <w:trPr>
          <w:jc w:val="center"/>
        </w:trPr>
        <w:tc>
          <w:tcPr>
            <w:tcW w:w="2592" w:type="dxa"/>
          </w:tcPr>
          <w:p w14:paraId="22F0C997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Decile</w:t>
            </w:r>
          </w:p>
        </w:tc>
        <w:tc>
          <w:tcPr>
            <w:tcW w:w="7344" w:type="dxa"/>
          </w:tcPr>
          <w:p w14:paraId="0A72597C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Ten equal-count groups of HCPs ranked by (category or brand) volume; decile 10 = highest</w:t>
            </w:r>
          </w:p>
        </w:tc>
      </w:tr>
      <w:tr w:rsidR="00DC71C0" w14:paraId="04021ED6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21884565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Behavioral segmentation</w:t>
            </w:r>
          </w:p>
        </w:tc>
        <w:tc>
          <w:tcPr>
            <w:tcW w:w="7344" w:type="dxa"/>
            <w:shd w:val="clear" w:color="auto" w:fill="F3F6FC"/>
          </w:tcPr>
          <w:p w14:paraId="03DB02A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Clustering HCPs on observed prescribing, switching, patient mix and channel response</w:t>
            </w:r>
          </w:p>
        </w:tc>
      </w:tr>
      <w:tr w:rsidR="00DC71C0" w14:paraId="5C821639" w14:textId="77777777">
        <w:trPr>
          <w:jc w:val="center"/>
        </w:trPr>
        <w:tc>
          <w:tcPr>
            <w:tcW w:w="2592" w:type="dxa"/>
          </w:tcPr>
          <w:p w14:paraId="60659A82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Needs-based segmentation</w:t>
            </w:r>
          </w:p>
        </w:tc>
        <w:tc>
          <w:tcPr>
            <w:tcW w:w="7344" w:type="dxa"/>
          </w:tcPr>
          <w:p w14:paraId="34E551D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Clustering on surveyed attitudes and needs; scored onto the universe with a typing tool</w:t>
            </w:r>
          </w:p>
        </w:tc>
      </w:tr>
      <w:tr w:rsidR="00DC71C0" w14:paraId="4C344FB6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059B767B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Typing tool</w:t>
            </w:r>
          </w:p>
        </w:tc>
        <w:tc>
          <w:tcPr>
            <w:tcW w:w="7344" w:type="dxa"/>
            <w:shd w:val="clear" w:color="auto" w:fill="F3F6FC"/>
          </w:tcPr>
          <w:p w14:paraId="381D042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classifier that assigns a needs-based segment from available data; the weak link of needs-based work</w:t>
            </w:r>
          </w:p>
        </w:tc>
      </w:tr>
      <w:tr w:rsidR="00DC71C0" w14:paraId="6BFE85BA" w14:textId="77777777">
        <w:trPr>
          <w:jc w:val="center"/>
        </w:trPr>
        <w:tc>
          <w:tcPr>
            <w:tcW w:w="2592" w:type="dxa"/>
          </w:tcPr>
          <w:p w14:paraId="0DE2DE46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NBRx</w:t>
            </w:r>
          </w:p>
        </w:tc>
        <w:tc>
          <w:tcPr>
            <w:tcW w:w="7344" w:type="dxa"/>
          </w:tcPr>
          <w:p w14:paraId="5375DF2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New-to-brand prescriptions; NBRx share of brand TRx measures acquisition vs refills</w:t>
            </w:r>
          </w:p>
        </w:tc>
      </w:tr>
      <w:tr w:rsidR="00DC71C0" w14:paraId="171F8491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1E5D110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Switch-in / switch-out</w:t>
            </w:r>
          </w:p>
        </w:tc>
        <w:tc>
          <w:tcPr>
            <w:tcW w:w="7344" w:type="dxa"/>
            <w:shd w:val="clear" w:color="auto" w:fill="F3F6FC"/>
          </w:tcPr>
          <w:p w14:paraId="7362248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patient's therapy moving from a competitor to the brand / from the brand to a competitor</w:t>
            </w:r>
          </w:p>
        </w:tc>
      </w:tr>
      <w:tr w:rsidR="00DC71C0" w14:paraId="73498B58" w14:textId="77777777">
        <w:trPr>
          <w:jc w:val="center"/>
        </w:trPr>
        <w:tc>
          <w:tcPr>
            <w:tcW w:w="2592" w:type="dxa"/>
          </w:tcPr>
          <w:p w14:paraId="2F2D7363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Reject rate</w:t>
            </w:r>
          </w:p>
        </w:tc>
        <w:tc>
          <w:tcPr>
            <w:tcW w:w="7344" w:type="dxa"/>
          </w:tcPr>
          <w:p w14:paraId="7DB06617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Share of a brand's pharmacy claims rejected at adjudication (formulary, prior auth); an access signal</w:t>
            </w:r>
          </w:p>
        </w:tc>
      </w:tr>
      <w:tr w:rsidR="00DC71C0" w14:paraId="761FDD5A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6773AD12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Call response</w:t>
            </w:r>
          </w:p>
        </w:tc>
        <w:tc>
          <w:tcPr>
            <w:tcW w:w="7344" w:type="dxa"/>
            <w:shd w:val="clear" w:color="auto" w:fill="F3F6FC"/>
          </w:tcPr>
          <w:p w14:paraId="5BC3805A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Correlation of an HCP's brand TRx with the previous month's rep calls — a crude response measure</w:t>
            </w:r>
          </w:p>
        </w:tc>
      </w:tr>
      <w:tr w:rsidR="00DC71C0" w14:paraId="6F75D699" w14:textId="77777777">
        <w:trPr>
          <w:jc w:val="center"/>
        </w:trPr>
        <w:tc>
          <w:tcPr>
            <w:tcW w:w="2592" w:type="dxa"/>
          </w:tcPr>
          <w:p w14:paraId="3F7BABAC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Winsorize / shrink</w:t>
            </w:r>
          </w:p>
        </w:tc>
        <w:tc>
          <w:tcPr>
            <w:tcW w:w="7344" w:type="dxa"/>
          </w:tcPr>
          <w:p w14:paraId="0675C792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Clip a feature at percentiles / pull a noisy rate toward the mean in proportion to its denominator</w:t>
            </w:r>
          </w:p>
        </w:tc>
      </w:tr>
      <w:tr w:rsidR="00DC71C0" w14:paraId="7B6F50EB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16B68C05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Silhouette</w:t>
            </w:r>
          </w:p>
        </w:tc>
        <w:tc>
          <w:tcPr>
            <w:tcW w:w="7344" w:type="dxa"/>
            <w:shd w:val="clear" w:color="auto" w:fill="F3F6FC"/>
          </w:tcPr>
          <w:p w14:paraId="7426469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For each point, (b − a) / max(a, b): a = mean distance to own cluster, b = to the nearest other; −1…1</w:t>
            </w:r>
          </w:p>
        </w:tc>
      </w:tr>
      <w:tr w:rsidR="00DC71C0" w14:paraId="73838111" w14:textId="77777777">
        <w:trPr>
          <w:jc w:val="center"/>
        </w:trPr>
        <w:tc>
          <w:tcPr>
            <w:tcW w:w="2592" w:type="dxa"/>
          </w:tcPr>
          <w:p w14:paraId="7880327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Adjusted Rand index (ARI)</w:t>
            </w:r>
          </w:p>
        </w:tc>
        <w:tc>
          <w:tcPr>
            <w:tcW w:w="7344" w:type="dxa"/>
          </w:tcPr>
          <w:p w14:paraId="691C089E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Agreement between two partitions, corrected for chance: 0 = chance, 1 = identical</w:t>
            </w:r>
          </w:p>
        </w:tc>
      </w:tr>
      <w:tr w:rsidR="00DC71C0" w14:paraId="62DFA00C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16FB6A0E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Two-stage segmentation</w:t>
            </w:r>
          </w:p>
        </w:tc>
        <w:tc>
          <w:tcPr>
            <w:tcW w:w="7344" w:type="dxa"/>
            <w:shd w:val="clear" w:color="auto" w:fill="F3F6FC"/>
          </w:tcPr>
          <w:p w14:paraId="46205EBF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value tier first (often the decile), then behavior within the high-value tier</w:t>
            </w:r>
          </w:p>
        </w:tc>
      </w:tr>
      <w:tr w:rsidR="00DC71C0" w14:paraId="120619F7" w14:textId="77777777">
        <w:trPr>
          <w:jc w:val="center"/>
        </w:trPr>
        <w:tc>
          <w:tcPr>
            <w:tcW w:w="2592" w:type="dxa"/>
          </w:tcPr>
          <w:p w14:paraId="380BE452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Persona</w:t>
            </w:r>
          </w:p>
        </w:tc>
        <w:tc>
          <w:tcPr>
            <w:tcW w:w="7344" w:type="dxa"/>
          </w:tcPr>
          <w:p w14:paraId="3B42F036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 segment written as a person: name (a behavior), who, needs, play, exit trigger</w:t>
            </w:r>
          </w:p>
        </w:tc>
      </w:tr>
      <w:tr w:rsidR="00DC71C0" w14:paraId="400EF69C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0F1EE41D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Activation matrix</w:t>
            </w:r>
          </w:p>
        </w:tc>
        <w:tc>
          <w:tcPr>
            <w:tcW w:w="7344" w:type="dxa"/>
            <w:shd w:val="clear" w:color="auto" w:fill="F3F6FC"/>
          </w:tcPr>
          <w:p w14:paraId="2F21D5AC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Segment × channel table of affinity; the input to Next Best Action</w:t>
            </w:r>
          </w:p>
        </w:tc>
      </w:tr>
      <w:tr w:rsidR="00DC71C0" w14:paraId="73494D39" w14:textId="77777777">
        <w:trPr>
          <w:jc w:val="center"/>
        </w:trPr>
        <w:tc>
          <w:tcPr>
            <w:tcW w:w="2592" w:type="dxa"/>
          </w:tcPr>
          <w:p w14:paraId="19179152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Exit trigger</w:t>
            </w:r>
          </w:p>
        </w:tc>
        <w:tc>
          <w:tcPr>
            <w:tcW w:w="7344" w:type="dxa"/>
          </w:tcPr>
          <w:p w14:paraId="382EB7AE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The observable event that moves an HCP out of a segment; the NBA trigger</w:t>
            </w:r>
          </w:p>
        </w:tc>
      </w:tr>
      <w:tr w:rsidR="00DC71C0" w14:paraId="31E54344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5E247AB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Purpose limitation</w:t>
            </w:r>
          </w:p>
        </w:tc>
        <w:tc>
          <w:tcPr>
            <w:tcW w:w="7344" w:type="dxa"/>
            <w:shd w:val="clear" w:color="auto" w:fill="F3F6FC"/>
          </w:tcPr>
          <w:p w14:paraId="3883C33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An output may be used only for the purpose it was built for; labeled with context and time frame</w:t>
            </w:r>
          </w:p>
        </w:tc>
      </w:tr>
      <w:tr w:rsidR="00DC71C0" w14:paraId="5E450A38" w14:textId="77777777">
        <w:trPr>
          <w:jc w:val="center"/>
        </w:trPr>
        <w:tc>
          <w:tcPr>
            <w:tcW w:w="2592" w:type="dxa"/>
          </w:tcPr>
          <w:p w14:paraId="43524E36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lastRenderedPageBreak/>
              <w:t>PDC</w:t>
            </w:r>
          </w:p>
        </w:tc>
        <w:tc>
          <w:tcPr>
            <w:tcW w:w="7344" w:type="dxa"/>
          </w:tcPr>
          <w:p w14:paraId="478F4489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Proportion of days covered — an adherence measure from pharmacy claims</w:t>
            </w:r>
          </w:p>
        </w:tc>
      </w:tr>
      <w:tr w:rsidR="00DC71C0" w14:paraId="50ACE8D3" w14:textId="77777777">
        <w:trPr>
          <w:jc w:val="center"/>
        </w:trPr>
        <w:tc>
          <w:tcPr>
            <w:tcW w:w="2592" w:type="dxa"/>
            <w:shd w:val="clear" w:color="auto" w:fill="F3F6FC"/>
          </w:tcPr>
          <w:p w14:paraId="19A5E701" w14:textId="77777777" w:rsidR="00DC71C0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PSP</w:t>
            </w:r>
          </w:p>
        </w:tc>
        <w:tc>
          <w:tcPr>
            <w:tcW w:w="7344" w:type="dxa"/>
            <w:shd w:val="clear" w:color="auto" w:fill="F3F6FC"/>
          </w:tcPr>
          <w:p w14:paraId="0C9BD0FB" w14:textId="77777777" w:rsidR="00DC71C0" w:rsidRDefault="00000000">
            <w:pPr>
              <w:spacing w:after="0"/>
            </w:pPr>
            <w:r>
              <w:rPr>
                <w:color w:val="333333"/>
                <w:sz w:val="19"/>
              </w:rPr>
              <w:t>Patient support program (hub, nurse, copay assistance) run by the manufacturer</w:t>
            </w:r>
          </w:p>
        </w:tc>
      </w:tr>
    </w:tbl>
    <w:p w14:paraId="146CD6F9" w14:textId="77777777" w:rsidR="00DC71C0" w:rsidRDefault="00DC71C0">
      <w:pPr>
        <w:spacing w:after="80"/>
      </w:pPr>
    </w:p>
    <w:sectPr w:rsidR="00DC71C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2B31F" w14:textId="77777777" w:rsidR="00BE64DA" w:rsidRDefault="00BE64DA">
      <w:pPr>
        <w:spacing w:after="0" w:line="240" w:lineRule="auto"/>
      </w:pPr>
      <w:r>
        <w:separator/>
      </w:r>
    </w:p>
  </w:endnote>
  <w:endnote w:type="continuationSeparator" w:id="0">
    <w:p w14:paraId="566C5DE0" w14:textId="77777777" w:rsidR="00BE64DA" w:rsidRDefault="00BE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F5063B" w14:textId="77777777" w:rsidR="00DC71C0" w:rsidRDefault="00000000">
    <w:pPr>
      <w:pStyle w:val="Footer"/>
      <w:jc w:val="center"/>
    </w:pPr>
    <w:r>
      <w:rPr>
        <w:color w:val="666666"/>
        <w:sz w:val="17"/>
      </w:rPr>
      <w:t>Week 4 Segmentation Field Guide · Applied Data Science and AI in Pharma Commercial · Columbia DSI · Fall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A57463" w14:textId="77777777" w:rsidR="00BE64DA" w:rsidRDefault="00BE64DA">
      <w:pPr>
        <w:spacing w:after="0" w:line="240" w:lineRule="auto"/>
      </w:pPr>
      <w:r>
        <w:separator/>
      </w:r>
    </w:p>
  </w:footnote>
  <w:footnote w:type="continuationSeparator" w:id="0">
    <w:p w14:paraId="4BC5C03B" w14:textId="77777777" w:rsidR="00BE64DA" w:rsidRDefault="00BE6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549611">
    <w:abstractNumId w:val="8"/>
  </w:num>
  <w:num w:numId="2" w16cid:durableId="1402218103">
    <w:abstractNumId w:val="6"/>
  </w:num>
  <w:num w:numId="3" w16cid:durableId="1510175073">
    <w:abstractNumId w:val="5"/>
  </w:num>
  <w:num w:numId="4" w16cid:durableId="98645810">
    <w:abstractNumId w:val="4"/>
  </w:num>
  <w:num w:numId="5" w16cid:durableId="550464564">
    <w:abstractNumId w:val="7"/>
  </w:num>
  <w:num w:numId="6" w16cid:durableId="730346699">
    <w:abstractNumId w:val="3"/>
  </w:num>
  <w:num w:numId="7" w16cid:durableId="1712071468">
    <w:abstractNumId w:val="2"/>
  </w:num>
  <w:num w:numId="8" w16cid:durableId="68818007">
    <w:abstractNumId w:val="1"/>
  </w:num>
  <w:num w:numId="9" w16cid:durableId="1883516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64DA"/>
    <w:rsid w:val="00CB0664"/>
    <w:rsid w:val="00DC2E1E"/>
    <w:rsid w:val="00DC71C0"/>
    <w:rsid w:val="00F745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8F418"/>
  <w14:defaultImageDpi w14:val="300"/>
  <w15:docId w15:val="{55E7CAB2-5CF2-A349-A80D-5EB60DC1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Andi Cupallari</cp:lastModifiedBy>
  <cp:revision>2</cp:revision>
  <dcterms:created xsi:type="dcterms:W3CDTF">2013-12-23T23:15:00Z</dcterms:created>
  <dcterms:modified xsi:type="dcterms:W3CDTF">2026-10-04T23:15:00Z</dcterms:modified>
  <cp:category/>
</cp:coreProperties>
</file>