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E2761"/>
          <w:sz w:val="44"/>
        </w:rPr>
        <w:t>Week 5 — In-Class Exercise</w:t>
      </w:r>
    </w:p>
    <w:p>
      <w:pPr>
        <w:spacing w:after="80" w:before="0"/>
      </w:pPr>
      <w:r>
        <w:rPr>
          <w:rFonts w:ascii="Calibri" w:hAnsi="Calibri"/>
          <w:b/>
          <w:i w:val="0"/>
          <w:color w:val="1E2761"/>
          <w:sz w:val="28"/>
        </w:rPr>
        <w:t>From response to uplift to a rule a brand team can run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666666"/>
          <w:sz w:val="22"/>
        </w:rPr>
        <w:t>Applied Data Science and AI in Pharma Commercial · Columbia University · Fall 2026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Groups of 3–4 · 20 minutes + 5-minute debrief · one sheet per group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Materials: this sheet, a calculator (or one notebook cell), tonight's slides 6, 18, 24 and 25</w:t>
      </w:r>
    </w:p>
    <w:p>
      <w:pPr>
        <w:spacing w:after="160"/>
        <w:pBdr>
          <w:bottom w:val="single" w:sz="8" w:space="1" w:color="1E2761"/>
        </w:pBdr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A · Uplift by hand (7 minutes)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Eight GLUCOREN prescribers from the exploration arm. For each, the mean NBRx over the following two weeks when the randomized action was none, a rep call, or an approved email (each over about six randomized weeks), the segment, the touches already delivered in the trailing four weeks, and email consent. Conventions: $1,200 per incremental NBRx; $180 per call; $2 per email.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016"/>
        <w:gridCol w:w="1296"/>
        <w:gridCol w:w="1296"/>
        <w:gridCol w:w="1296"/>
        <w:gridCol w:w="1296"/>
        <w:gridCol w:w="1296"/>
      </w:tblGrid>
      <w:tr>
        <w:tc>
          <w:tcPr>
            <w:tcW w:type="dxa" w:w="144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HCP</w:t>
            </w:r>
          </w:p>
        </w:tc>
        <w:tc>
          <w:tcPr>
            <w:tcW w:type="dxa" w:w="201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129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Touches (4 wks)</w:t>
            </w:r>
          </w:p>
        </w:tc>
        <w:tc>
          <w:tcPr>
            <w:tcW w:type="dxa" w:w="129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Email consent</w:t>
            </w:r>
          </w:p>
        </w:tc>
        <w:tc>
          <w:tcPr>
            <w:tcW w:type="dxa" w:w="129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NBRx | none</w:t>
            </w:r>
          </w:p>
        </w:tc>
        <w:tc>
          <w:tcPr>
            <w:tcW w:type="dxa" w:w="129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NBRx | call</w:t>
            </w:r>
          </w:p>
        </w:tc>
        <w:tc>
          <w:tcPr>
            <w:tcW w:type="dxa" w:w="129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NBRx | email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Adler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Core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yes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4.60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4.70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4.75</w:t>
            </w:r>
          </w:p>
        </w:tc>
      </w:tr>
      <w:tr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Bakshi</w:t>
            </w:r>
          </w:p>
        </w:tc>
        <w:tc>
          <w:tcPr>
            <w:tcW w:type="dxa" w:w="20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Movers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yes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2.00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2.90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2.30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Costa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Entrenched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yes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0.50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0.30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0.45</w:t>
            </w:r>
          </w:p>
        </w:tc>
      </w:tr>
      <w:tr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Dunn</w:t>
            </w:r>
          </w:p>
        </w:tc>
        <w:tc>
          <w:tcPr>
            <w:tcW w:type="dxa" w:w="20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Long tail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yes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0.25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0.30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0.28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Eng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Access-constrained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yes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1.40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1.45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1.75</w:t>
            </w:r>
          </w:p>
        </w:tc>
      </w:tr>
      <w:tr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Farah</w:t>
            </w:r>
          </w:p>
        </w:tc>
        <w:tc>
          <w:tcPr>
            <w:tcW w:type="dxa" w:w="20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Core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yes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5.00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4.70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4.90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Goyal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Movers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no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1.60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2.30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1.60</w:t>
            </w:r>
          </w:p>
        </w:tc>
      </w:tr>
      <w:tr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Hale</w:t>
            </w:r>
          </w:p>
        </w:tc>
        <w:tc>
          <w:tcPr>
            <w:tcW w:type="dxa" w:w="20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Core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yes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6.20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6.30</w:t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6.25</w:t>
            </w:r>
          </w:p>
        </w:tc>
      </w:tr>
    </w:tbl>
    <w:p>
      <w:pPr>
        <w:spacing w:after="80"/>
      </w:pPr>
    </w:p>
    <w:p>
      <w:pPr>
        <w:pStyle w:val="ListNumber"/>
        <w:spacing w:after="60"/>
      </w:pPr>
      <w:r>
        <w:rPr>
          <w:rFonts w:ascii="Calibri" w:hAnsi="Calibri"/>
          <w:b w:val="0"/>
          <w:color w:val="333333"/>
          <w:sz w:val="22"/>
        </w:rPr>
        <w:t>For each HCP compute: response to the call (NBRx | call), uplift of the call (NBRx | call − NBRx | none), net value of the call (uplift × $1,200 − $180), and the same for the email.</w:t>
      </w:r>
    </w:p>
    <w:p>
      <w:pPr>
        <w:pStyle w:val="ListNumber"/>
        <w:spacing w:after="60"/>
      </w:pPr>
      <w:r>
        <w:rPr>
          <w:rFonts w:ascii="Calibri" w:hAnsi="Calibri"/>
          <w:b w:val="0"/>
          <w:color w:val="333333"/>
          <w:sz w:val="22"/>
        </w:rPr>
        <w:t>Label each HCP: sure thing, persuadable, sleeping dog, lost cause — or 'ineligible', and say which rule.</w:t>
      </w:r>
    </w:p>
    <w:p>
      <w:pPr>
        <w:pStyle w:val="ListNumber"/>
        <w:spacing w:after="60"/>
      </w:pPr>
      <w:r>
        <w:rPr>
          <w:rFonts w:ascii="Calibri" w:hAnsi="Calibri"/>
          <w:b w:val="0"/>
          <w:color w:val="333333"/>
          <w:sz w:val="22"/>
        </w:rPr>
        <w:t>Rank the eight by response to the call. Which two does a response model rank first? Which would the NBA engine actually touch this week, with which action? Where does the money leak?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224"/>
        <w:gridCol w:w="1152"/>
        <w:gridCol w:w="1152"/>
        <w:gridCol w:w="1224"/>
        <w:gridCol w:w="1152"/>
        <w:gridCol w:w="1440"/>
        <w:gridCol w:w="1152"/>
      </w:tblGrid>
      <w:tr>
        <w:tc>
          <w:tcPr>
            <w:tcW w:type="dxa" w:w="144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HCP</w:t>
            </w:r>
          </w:p>
        </w:tc>
        <w:tc>
          <w:tcPr>
            <w:tcW w:type="dxa" w:w="12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Response (call)</w:t>
            </w:r>
          </w:p>
        </w:tc>
        <w:tc>
          <w:tcPr>
            <w:tcW w:type="dxa" w:w="115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Uplift (call)</w:t>
            </w:r>
          </w:p>
        </w:tc>
        <w:tc>
          <w:tcPr>
            <w:tcW w:type="dxa" w:w="115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Net $ (call)</w:t>
            </w:r>
          </w:p>
        </w:tc>
        <w:tc>
          <w:tcPr>
            <w:tcW w:type="dxa" w:w="12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Uplift (email)</w:t>
            </w:r>
          </w:p>
        </w:tc>
        <w:tc>
          <w:tcPr>
            <w:tcW w:type="dxa" w:w="115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Net $ (email)</w:t>
            </w:r>
          </w:p>
        </w:tc>
        <w:tc>
          <w:tcPr>
            <w:tcW w:type="dxa" w:w="144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Kind / rule</w:t>
            </w:r>
          </w:p>
        </w:tc>
        <w:tc>
          <w:tcPr>
            <w:tcW w:type="dxa" w:w="115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Engine's action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Adler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Bakshi</w:t>
            </w:r>
          </w:p>
        </w:tc>
        <w:tc>
          <w:tcPr>
            <w:tcW w:type="dxa" w:w="12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2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Costa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Dunn</w:t>
            </w:r>
          </w:p>
        </w:tc>
        <w:tc>
          <w:tcPr>
            <w:tcW w:type="dxa" w:w="12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2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Eng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Farah</w:t>
            </w:r>
          </w:p>
        </w:tc>
        <w:tc>
          <w:tcPr>
            <w:tcW w:type="dxa" w:w="12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2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Goyal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Dr. Hale</w:t>
            </w:r>
          </w:p>
        </w:tc>
        <w:tc>
          <w:tcPr>
            <w:tcW w:type="dxa" w:w="12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2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B · Write the rules (8 minutes)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Your five segments from Week 4 (Core, Movers, Access-constrained, Entrenched, Long tail), tonight's saturation curve (slide 24) and the affinity matrix (slide 18). For each segment write: the default action for a typical week (check it against the affinity matrix), the frequency cap, one suppression rule, and one trigger that changes the action. Then answer the two questions below the table.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304"/>
        <w:gridCol w:w="1440"/>
        <w:gridCol w:w="2160"/>
        <w:gridCol w:w="2160"/>
      </w:tblGrid>
      <w:tr>
        <w:tc>
          <w:tcPr>
            <w:tcW w:type="dxa" w:w="187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230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Default action</w:t>
            </w:r>
          </w:p>
        </w:tc>
        <w:tc>
          <w:tcPr>
            <w:tcW w:type="dxa" w:w="144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Cap (touches / 4 wks)</w:t>
            </w:r>
          </w:p>
        </w:tc>
        <w:tc>
          <w:tcPr>
            <w:tcW w:type="dxa" w:w="216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One suppression rule</w:t>
            </w:r>
          </w:p>
        </w:tc>
        <w:tc>
          <w:tcPr>
            <w:tcW w:type="dxa" w:w="216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One trigger that changes the action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Core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87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Movers</w:t>
            </w:r>
          </w:p>
        </w:tc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Access-constrained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87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Entrenched</w:t>
            </w:r>
          </w:p>
        </w:tc>
        <w:tc>
          <w:tcPr>
            <w:tcW w:type="dxa" w:w="230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Long tail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</w:tbl>
    <w:p>
      <w:pPr>
        <w:spacing w:after="80"/>
      </w:pPr>
    </w:p>
    <w:p>
      <w:pPr>
        <w:pStyle w:val="ListNumber"/>
        <w:spacing w:after="60"/>
      </w:pPr>
      <w:r>
        <w:rPr>
          <w:rFonts w:ascii="Calibri" w:hAnsi="Calibri"/>
          <w:b w:val="0"/>
          <w:color w:val="333333"/>
          <w:sz w:val="22"/>
        </w:rPr>
        <w:t>Which segment should the engine leave alone, and what would make you change your mind?</w:t>
      </w:r>
    </w:p>
    <w:p>
      <w:pPr>
        <w:pStyle w:val="ListNumber"/>
        <w:spacing w:after="60"/>
      </w:pPr>
      <w:r>
        <w:rPr>
          <w:rFonts w:ascii="Calibri" w:hAnsi="Calibri"/>
          <w:b w:val="0"/>
          <w:color w:val="333333"/>
          <w:sz w:val="22"/>
        </w:rPr>
        <w:t>The field director says: 'your engine cut rep calls from 955 to 281 a week.' Write the two-sentence answer — one sentence with a number from tonight, one with what you would offer to measure.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C · Pick the evaluation (5 minutes)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For each scenario: offline policy evaluation (IPS / doubly robust), a global holdout, an A/B test, a geo test, or 'this cannot be evaluated causally'. One sentence of justification each.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5760"/>
        <w:gridCol w:w="3744"/>
      </w:tblGrid>
      <w:tr>
        <w:tc>
          <w:tcPr>
            <w:tcW w:type="dxa" w:w="43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576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374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Method and why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1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brand wants to know what the NBA engine would earn vs. the legacy engine before any field change. The log has 25% randomized HCP-weeks and the legacy rules were logged as probabilities.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4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2</w:t>
            </w:r>
          </w:p>
        </w:tc>
        <w:tc>
          <w:tcPr>
            <w:tcW w:type="dxa" w:w="57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engine has been live for two quarters with a 10% global holdout. The CFO asks what the program earned in total.</w:t>
            </w:r>
          </w:p>
        </w:tc>
        <w:tc>
          <w:tcPr>
            <w:tcW w:type="dxa" w:w="37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3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Analytics has a new uplift model (X-learner) and wants to replace the old one (T-learner) in production.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4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4</w:t>
            </w:r>
          </w:p>
        </w:tc>
        <w:tc>
          <w:tcPr>
            <w:tcW w:type="dxa" w:w="57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digital agency buys placements by DMA and cannot log a propensity per HCP.</w:t>
            </w:r>
          </w:p>
        </w:tc>
        <w:tc>
          <w:tcPr>
            <w:tcW w:type="dxa" w:w="37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5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field director refused any randomization; the only data is the CRM log of who was called and when.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43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6</w:t>
            </w:r>
          </w:p>
        </w:tc>
        <w:tc>
          <w:tcPr>
            <w:tcW w:type="dxa" w:w="57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Someone proposes a policy that calls every HCP every week and asks for its OPE value.</w:t>
            </w:r>
          </w:p>
        </w:tc>
        <w:tc>
          <w:tcPr>
            <w:tcW w:type="dxa" w:w="37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Week 5 In-Class Exercise · Applied Data Science and AI in Pharma Commercial · Columbia DSI · Fall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