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i w:val="0"/>
          <w:color w:val="1E2761"/>
          <w:sz w:val="44"/>
        </w:rPr>
        <w:t>Week 7 Field Guide — NLP in Pharma Commercial</w:t>
      </w:r>
    </w:p>
    <w:p>
      <w:pPr>
        <w:spacing w:after="80" w:before="0"/>
      </w:pPr>
      <w:r>
        <w:rPr>
          <w:rFonts w:ascii="Calibri" w:hAnsi="Calibri"/>
          <w:b/>
          <w:i w:val="0"/>
          <w:color w:val="1E2761"/>
          <w:sz w:val="28"/>
        </w:rPr>
        <w:t>Adverse events, field notes and social listening</w:t>
      </w:r>
    </w:p>
    <w:p>
      <w:pPr>
        <w:spacing w:after="80" w:before="0"/>
      </w:pPr>
      <w:r>
        <w:rPr>
          <w:rFonts w:ascii="Calibri" w:hAnsi="Calibri"/>
          <w:b w:val="0"/>
          <w:i w:val="0"/>
          <w:color w:val="666666"/>
          <w:sz w:val="22"/>
        </w:rPr>
        <w:t>Applied Data Science and AI in Pharma Commercial · Columbia University · Fall 2026</w:t>
      </w:r>
    </w:p>
    <w:p>
      <w:pPr>
        <w:spacing w:after="40" w:before="0"/>
      </w:pPr>
      <w:r>
        <w:rPr>
          <w:rFonts w:ascii="Calibri" w:hAnsi="Calibri"/>
          <w:b/>
          <w:i w:val="0"/>
          <w:color w:val="333333"/>
          <w:sz w:val="22"/>
        </w:rPr>
        <w:t>Monday, October 26, 2026 · Pairs with Week_07_NLP_Notebook.ipynb and the slides</w:t>
      </w:r>
    </w:p>
    <w:p>
      <w:pPr>
        <w:spacing w:after="160"/>
        <w:pBdr>
          <w:bottom w:val="single" w:sz="8" w:space="1" w:color="1E2761"/>
        </w:pBdr>
      </w:pPr>
    </w:p>
    <w:p>
      <w:pPr>
        <w:keepNext/>
        <w:spacing w:after="80" w:before="240"/>
      </w:pPr>
      <w:r>
        <w:rPr>
          <w:rFonts w:ascii="Calibri" w:hAnsi="Calibri"/>
          <w:b/>
          <w:i w:val="0"/>
          <w:color w:val="1E2761"/>
          <w:sz w:val="30"/>
        </w:rPr>
        <w:t>1. What this week is for</w:t>
      </w:r>
    </w:p>
    <w:p>
      <w:pPr>
        <w:spacing w:after="120" w:before="0"/>
      </w:pPr>
      <w:r>
        <w:rPr>
          <w:rFonts w:ascii="Calibri" w:hAnsi="Calibri"/>
          <w:b w:val="0"/>
          <w:i w:val="0"/>
          <w:color w:val="333333"/>
          <w:sz w:val="22"/>
        </w:rPr>
        <w:t>Most of what a commercial organization knows about its brand was typed, not tabulated: call notes, medical-information transcripts, forum posts, survey verbatims, advisory-board minutes. This week gives you one toolbox for all of it and one anchor use case where the stakes are highest — adverse-event (AE) detection — because an AE detector that misses a case is not a weaker model, it is an unreported case. Everything else (topics, sentiment, social listening, routing, search) reuses the same parts.</w:t>
      </w:r>
    </w:p>
    <w:tbl>
      <w:tblPr>
        <w:tblW w:type="auto" w:w="0"/>
        <w:jc w:val="center"/>
        <w:tblLook w:firstColumn="1" w:firstRow="1" w:lastColumn="0" w:lastRow="0" w:noHBand="0" w:noVBand="1" w:val="04A0"/>
      </w:tblPr>
      <w:tblGrid>
        <w:gridCol w:w="9936"/>
      </w:tblGrid>
      <w:tr>
        <w:tc>
          <w:tcPr>
            <w:tcW w:type="dxa" w:w="9936"/>
            <w:shd w:val="clear" w:color="auto" w:fill="E9EFFB"/>
          </w:tcPr>
          <w:p>
            <w:pPr>
              <w:spacing w:after="40"/>
            </w:pPr>
            <w:r/>
            <w:r>
              <w:rPr>
                <w:rFonts w:ascii="Calibri" w:hAnsi="Calibri"/>
                <w:b/>
                <w:color w:val="1E2761"/>
                <w:sz w:val="22"/>
              </w:rPr>
              <w:t>The one-sentence version</w:t>
            </w:r>
          </w:p>
          <w:p>
            <w:pPr>
              <w:spacing w:after="40"/>
            </w:pPr>
            <w:r>
              <w:rPr>
                <w:rFonts w:ascii="Calibri" w:hAnsi="Calibri"/>
                <w:color w:val="333333"/>
                <w:sz w:val="21"/>
              </w:rPr>
              <w:t>Define the target in the regulator's words → build the simplest detector that reads context → choose the threshold by cost → show the reviewer why → put rules and a human after the model → expect every new stream to behave differently.</w:t>
            </w:r>
          </w:p>
        </w:tc>
      </w:tr>
    </w:tbl>
    <w:p>
      <w:pPr>
        <w:spacing w:after="80"/>
      </w:pPr>
    </w:p>
    <w:p>
      <w:pPr>
        <w:keepNext/>
        <w:spacing w:after="80" w:before="240"/>
      </w:pPr>
      <w:r>
        <w:rPr>
          <w:rFonts w:ascii="Calibri" w:hAnsi="Calibri"/>
          <w:b/>
          <w:i w:val="0"/>
          <w:color w:val="1E2761"/>
          <w:sz w:val="30"/>
        </w:rPr>
        <w:t>2. The regulatory frame (what the detector must output)</w:t>
      </w:r>
    </w:p>
    <w:tbl>
      <w:tblPr>
        <w:tblStyle w:val="TableGrid"/>
        <w:tblW w:type="auto" w:w="0"/>
        <w:jc w:val="center"/>
        <w:tblLayout w:type="fixed"/>
        <w:tblLook w:firstColumn="1" w:firstRow="1" w:lastColumn="0" w:lastRow="0" w:noHBand="0" w:noVBand="1" w:val="04A0"/>
      </w:tblPr>
      <w:tblGrid>
        <w:gridCol w:w="2304"/>
        <w:gridCol w:w="5760"/>
        <w:gridCol w:w="1872"/>
      </w:tblGrid>
      <w:tr>
        <w:tc>
          <w:tcPr>
            <w:tcW w:type="dxa" w:w="2304"/>
            <w:shd w:val="clear" w:color="auto" w:fill="1E2761"/>
          </w:tcPr>
          <w:p>
            <w:pPr>
              <w:spacing w:after="0"/>
            </w:pPr>
            <w:r/>
            <w:r>
              <w:rPr>
                <w:rFonts w:ascii="Calibri" w:hAnsi="Calibri"/>
                <w:b/>
                <w:color w:val="FFFFFF"/>
                <w:sz w:val="19"/>
              </w:rPr>
              <w:t>Term</w:t>
            </w:r>
          </w:p>
        </w:tc>
        <w:tc>
          <w:tcPr>
            <w:tcW w:type="dxa" w:w="5760"/>
            <w:shd w:val="clear" w:color="auto" w:fill="1E2761"/>
          </w:tcPr>
          <w:p>
            <w:pPr>
              <w:spacing w:after="0"/>
            </w:pPr>
            <w:r/>
            <w:r>
              <w:rPr>
                <w:rFonts w:ascii="Calibri" w:hAnsi="Calibri"/>
                <w:b/>
                <w:color w:val="FFFFFF"/>
                <w:sz w:val="19"/>
              </w:rPr>
              <w:t>Meaning</w:t>
            </w:r>
          </w:p>
        </w:tc>
        <w:tc>
          <w:tcPr>
            <w:tcW w:type="dxa" w:w="1872"/>
            <w:shd w:val="clear" w:color="auto" w:fill="1E2761"/>
          </w:tcPr>
          <w:p>
            <w:pPr>
              <w:spacing w:after="0"/>
            </w:pPr>
            <w:r/>
            <w:r>
              <w:rPr>
                <w:rFonts w:ascii="Calibri" w:hAnsi="Calibri"/>
                <w:b/>
                <w:color w:val="FFFFFF"/>
                <w:sz w:val="19"/>
              </w:rPr>
              <w:t>Source</w:t>
            </w:r>
          </w:p>
        </w:tc>
      </w:tr>
      <w:tr>
        <w:tc>
          <w:tcPr>
            <w:tcW w:type="dxa" w:w="2304"/>
          </w:tcPr>
          <w:p>
            <w:pPr>
              <w:spacing w:after="0"/>
            </w:pPr>
            <w:r/>
            <w:r>
              <w:rPr>
                <w:rFonts w:ascii="Calibri" w:hAnsi="Calibri"/>
                <w:b/>
                <w:color w:val="1E2761"/>
                <w:sz w:val="19"/>
              </w:rPr>
              <w:t>Adverse drug experience</w:t>
            </w:r>
          </w:p>
        </w:tc>
        <w:tc>
          <w:tcPr>
            <w:tcW w:type="dxa" w:w="5760"/>
          </w:tcPr>
          <w:p>
            <w:pPr>
              <w:spacing w:after="0"/>
            </w:pPr>
            <w:r/>
            <w:r>
              <w:rPr>
                <w:rFonts w:ascii="Calibri" w:hAnsi="Calibri"/>
                <w:color w:val="333333"/>
                <w:sz w:val="19"/>
              </w:rPr>
              <w:t>Any adverse event associated with the use of a drug in humans, whether or not considered drug related.</w:t>
            </w:r>
          </w:p>
        </w:tc>
        <w:tc>
          <w:tcPr>
            <w:tcW w:type="dxa" w:w="1872"/>
          </w:tcPr>
          <w:p>
            <w:pPr>
              <w:spacing w:after="0"/>
            </w:pPr>
            <w:r/>
            <w:r>
              <w:rPr>
                <w:rFonts w:ascii="Calibri" w:hAnsi="Calibri"/>
                <w:color w:val="333333"/>
                <w:sz w:val="19"/>
              </w:rPr>
              <w:t>21 CFR §314.80(a)</w:t>
            </w:r>
          </w:p>
        </w:tc>
      </w:tr>
      <w:tr>
        <w:tc>
          <w:tcPr>
            <w:tcW w:type="dxa" w:w="2304"/>
            <w:shd w:val="clear" w:color="auto" w:fill="F3F6FC"/>
          </w:tcPr>
          <w:p>
            <w:pPr>
              <w:spacing w:after="0"/>
            </w:pPr>
            <w:r/>
            <w:r>
              <w:rPr>
                <w:rFonts w:ascii="Calibri" w:hAnsi="Calibri"/>
                <w:b/>
                <w:color w:val="1E2761"/>
                <w:sz w:val="19"/>
              </w:rPr>
              <w:t>Serious</w:t>
            </w:r>
          </w:p>
        </w:tc>
        <w:tc>
          <w:tcPr>
            <w:tcW w:type="dxa" w:w="5760"/>
            <w:shd w:val="clear" w:color="auto" w:fill="F3F6FC"/>
          </w:tcPr>
          <w:p>
            <w:pPr>
              <w:spacing w:after="0"/>
            </w:pPr>
            <w:r/>
            <w:r>
              <w:rPr>
                <w:rFonts w:ascii="Calibri" w:hAnsi="Calibri"/>
                <w:color w:val="333333"/>
                <w:sz w:val="19"/>
              </w:rPr>
              <w:t>Death; life-threatening; hospitalization (initial or prolonged); persistent or significant disability; congenital anomaly; other medically important event.</w:t>
            </w:r>
          </w:p>
        </w:tc>
        <w:tc>
          <w:tcPr>
            <w:tcW w:type="dxa" w:w="1872"/>
            <w:shd w:val="clear" w:color="auto" w:fill="F3F6FC"/>
          </w:tcPr>
          <w:p>
            <w:pPr>
              <w:spacing w:after="0"/>
            </w:pPr>
            <w:r/>
            <w:r>
              <w:rPr>
                <w:rFonts w:ascii="Calibri" w:hAnsi="Calibri"/>
                <w:color w:val="333333"/>
                <w:sz w:val="19"/>
              </w:rPr>
              <w:t>21 CFR §314.80(a)</w:t>
            </w:r>
          </w:p>
        </w:tc>
      </w:tr>
      <w:tr>
        <w:tc>
          <w:tcPr>
            <w:tcW w:type="dxa" w:w="2304"/>
          </w:tcPr>
          <w:p>
            <w:pPr>
              <w:spacing w:after="0"/>
            </w:pPr>
            <w:r/>
            <w:r>
              <w:rPr>
                <w:rFonts w:ascii="Calibri" w:hAnsi="Calibri"/>
                <w:b/>
                <w:color w:val="1E2761"/>
                <w:sz w:val="19"/>
              </w:rPr>
              <w:t>Unexpected</w:t>
            </w:r>
          </w:p>
        </w:tc>
        <w:tc>
          <w:tcPr>
            <w:tcW w:type="dxa" w:w="5760"/>
          </w:tcPr>
          <w:p>
            <w:pPr>
              <w:spacing w:after="0"/>
            </w:pPr>
            <w:r/>
            <w:r>
              <w:rPr>
                <w:rFonts w:ascii="Calibri" w:hAnsi="Calibri"/>
                <w:color w:val="333333"/>
                <w:sz w:val="19"/>
              </w:rPr>
              <w:t>Not listed in the current labeling, or more severe or specific than listed.</w:t>
            </w:r>
          </w:p>
        </w:tc>
        <w:tc>
          <w:tcPr>
            <w:tcW w:type="dxa" w:w="1872"/>
          </w:tcPr>
          <w:p>
            <w:pPr>
              <w:spacing w:after="0"/>
            </w:pPr>
            <w:r/>
            <w:r>
              <w:rPr>
                <w:rFonts w:ascii="Calibri" w:hAnsi="Calibri"/>
                <w:color w:val="333333"/>
                <w:sz w:val="19"/>
              </w:rPr>
              <w:t>21 CFR §314.80(a)</w:t>
            </w:r>
          </w:p>
        </w:tc>
      </w:tr>
      <w:tr>
        <w:tc>
          <w:tcPr>
            <w:tcW w:type="dxa" w:w="2304"/>
            <w:shd w:val="clear" w:color="auto" w:fill="F3F6FC"/>
          </w:tcPr>
          <w:p>
            <w:pPr>
              <w:spacing w:after="0"/>
            </w:pPr>
            <w:r/>
            <w:r>
              <w:rPr>
                <w:rFonts w:ascii="Calibri" w:hAnsi="Calibri"/>
                <w:b/>
                <w:color w:val="1E2761"/>
                <w:sz w:val="19"/>
              </w:rPr>
              <w:t>15-day Alert report</w:t>
            </w:r>
          </w:p>
        </w:tc>
        <w:tc>
          <w:tcPr>
            <w:tcW w:type="dxa" w:w="5760"/>
            <w:shd w:val="clear" w:color="auto" w:fill="F3F6FC"/>
          </w:tcPr>
          <w:p>
            <w:pPr>
              <w:spacing w:after="0"/>
            </w:pPr>
            <w:r/>
            <w:r>
              <w:rPr>
                <w:rFonts w:ascii="Calibri" w:hAnsi="Calibri"/>
                <w:color w:val="333333"/>
                <w:sz w:val="19"/>
              </w:rPr>
              <w:t>Serious and unexpected → report within 15 calendar days of initial receipt of the information.</w:t>
            </w:r>
          </w:p>
        </w:tc>
        <w:tc>
          <w:tcPr>
            <w:tcW w:type="dxa" w:w="1872"/>
            <w:shd w:val="clear" w:color="auto" w:fill="F3F6FC"/>
          </w:tcPr>
          <w:p>
            <w:pPr>
              <w:spacing w:after="0"/>
            </w:pPr>
            <w:r/>
            <w:r>
              <w:rPr>
                <w:rFonts w:ascii="Calibri" w:hAnsi="Calibri"/>
                <w:color w:val="333333"/>
                <w:sz w:val="19"/>
              </w:rPr>
              <w:t>21 CFR §314.80(c)(1)</w:t>
            </w:r>
          </w:p>
        </w:tc>
      </w:tr>
      <w:tr>
        <w:tc>
          <w:tcPr>
            <w:tcW w:type="dxa" w:w="2304"/>
          </w:tcPr>
          <w:p>
            <w:pPr>
              <w:spacing w:after="0"/>
            </w:pPr>
            <w:r/>
            <w:r>
              <w:rPr>
                <w:rFonts w:ascii="Calibri" w:hAnsi="Calibri"/>
                <w:b/>
                <w:color w:val="1E2761"/>
                <w:sz w:val="19"/>
              </w:rPr>
              <w:t>The four elements</w:t>
            </w:r>
          </w:p>
        </w:tc>
        <w:tc>
          <w:tcPr>
            <w:tcW w:type="dxa" w:w="5760"/>
          </w:tcPr>
          <w:p>
            <w:pPr>
              <w:spacing w:after="0"/>
            </w:pPr>
            <w:r/>
            <w:r>
              <w:rPr>
                <w:rFonts w:ascii="Calibri" w:hAnsi="Calibri"/>
                <w:color w:val="333333"/>
                <w:sz w:val="19"/>
              </w:rPr>
              <w:t>Identifiable patient; identifiable reporter; suspect drug; adverse experience. All four → a valid case.</w:t>
            </w:r>
          </w:p>
        </w:tc>
        <w:tc>
          <w:tcPr>
            <w:tcW w:type="dxa" w:w="1872"/>
          </w:tcPr>
          <w:p>
            <w:pPr>
              <w:spacing w:after="0"/>
            </w:pPr>
            <w:r/>
            <w:r>
              <w:rPr>
                <w:rFonts w:ascii="Calibri" w:hAnsi="Calibri"/>
                <w:color w:val="333333"/>
                <w:sz w:val="19"/>
              </w:rPr>
              <w:t>FDA draft guidance 2001, §IV.B; ICH E2D</w:t>
            </w:r>
          </w:p>
        </w:tc>
      </w:tr>
      <w:tr>
        <w:tc>
          <w:tcPr>
            <w:tcW w:type="dxa" w:w="2304"/>
            <w:shd w:val="clear" w:color="auto" w:fill="F3F6FC"/>
          </w:tcPr>
          <w:p>
            <w:pPr>
              <w:spacing w:after="0"/>
            </w:pPr>
            <w:r/>
            <w:r>
              <w:rPr>
                <w:rFonts w:ascii="Calibri" w:hAnsi="Calibri"/>
                <w:b/>
                <w:color w:val="1E2761"/>
                <w:sz w:val="19"/>
              </w:rPr>
              <w:t>Company knowledge</w:t>
            </w:r>
          </w:p>
        </w:tc>
        <w:tc>
          <w:tcPr>
            <w:tcW w:type="dxa" w:w="5760"/>
            <w:shd w:val="clear" w:color="auto" w:fill="F3F6FC"/>
          </w:tcPr>
          <w:p>
            <w:pPr>
              <w:spacing w:after="0"/>
            </w:pPr>
            <w:r/>
            <w:r>
              <w:rPr>
                <w:rFonts w:ascii="Calibri" w:hAnsi="Calibri"/>
                <w:color w:val="333333"/>
                <w:sz w:val="19"/>
              </w:rPr>
              <w:t>FDA “will consider an applicant responsible for information known to its employees, affiliates, and contractors.”</w:t>
            </w:r>
          </w:p>
        </w:tc>
        <w:tc>
          <w:tcPr>
            <w:tcW w:type="dxa" w:w="1872"/>
            <w:shd w:val="clear" w:color="auto" w:fill="F3F6FC"/>
          </w:tcPr>
          <w:p>
            <w:pPr>
              <w:spacing w:after="0"/>
            </w:pPr>
            <w:r/>
            <w:r>
              <w:rPr>
                <w:rFonts w:ascii="Calibri" w:hAnsi="Calibri"/>
                <w:color w:val="333333"/>
                <w:sz w:val="19"/>
              </w:rPr>
              <w:t>FDA draft guidance 2001, §X</w:t>
            </w:r>
          </w:p>
        </w:tc>
      </w:tr>
      <w:tr>
        <w:tc>
          <w:tcPr>
            <w:tcW w:type="dxa" w:w="2304"/>
          </w:tcPr>
          <w:p>
            <w:pPr>
              <w:spacing w:after="0"/>
            </w:pPr>
            <w:r/>
            <w:r>
              <w:rPr>
                <w:rFonts w:ascii="Calibri" w:hAnsi="Calibri"/>
                <w:b/>
                <w:color w:val="1E2761"/>
                <w:sz w:val="19"/>
              </w:rPr>
              <w:t>Sponsored sites</w:t>
            </w:r>
          </w:p>
        </w:tc>
        <w:tc>
          <w:tcPr>
            <w:tcW w:type="dxa" w:w="5760"/>
          </w:tcPr>
          <w:p>
            <w:pPr>
              <w:spacing w:after="0"/>
            </w:pPr>
            <w:r/>
            <w:r>
              <w:rPr>
                <w:rFonts w:ascii="Calibri" w:hAnsi="Calibri"/>
                <w:color w:val="333333"/>
                <w:sz w:val="19"/>
              </w:rPr>
              <w:t>“Applicants should review any Internet sites sponsored by them for adverse experience information.” Sites not sponsored: no review duty; act if aware.</w:t>
            </w:r>
          </w:p>
        </w:tc>
        <w:tc>
          <w:tcPr>
            <w:tcW w:type="dxa" w:w="1872"/>
          </w:tcPr>
          <w:p>
            <w:pPr>
              <w:spacing w:after="0"/>
            </w:pPr>
            <w:r/>
            <w:r>
              <w:rPr>
                <w:rFonts w:ascii="Calibri" w:hAnsi="Calibri"/>
                <w:color w:val="333333"/>
                <w:sz w:val="19"/>
              </w:rPr>
              <w:t>FDA draft guidance 2001, §VI.G</w:t>
            </w:r>
          </w:p>
        </w:tc>
      </w:tr>
      <w:tr>
        <w:tc>
          <w:tcPr>
            <w:tcW w:type="dxa" w:w="2304"/>
            <w:shd w:val="clear" w:color="auto" w:fill="F3F6FC"/>
          </w:tcPr>
          <w:p>
            <w:pPr>
              <w:spacing w:after="0"/>
            </w:pPr>
            <w:r/>
            <w:r>
              <w:rPr>
                <w:rFonts w:ascii="Calibri" w:hAnsi="Calibri"/>
                <w:b/>
                <w:color w:val="1E2761"/>
                <w:sz w:val="19"/>
              </w:rPr>
              <w:t>EU digital media</w:t>
            </w:r>
          </w:p>
        </w:tc>
        <w:tc>
          <w:tcPr>
            <w:tcW w:type="dxa" w:w="5760"/>
            <w:shd w:val="clear" w:color="auto" w:fill="F3F6FC"/>
          </w:tcPr>
          <w:p>
            <w:pPr>
              <w:spacing w:after="0"/>
            </w:pPr>
            <w:r/>
            <w:r>
              <w:rPr>
                <w:rFonts w:ascii="Calibri" w:hAnsi="Calibri"/>
                <w:color w:val="333333"/>
                <w:sz w:val="19"/>
              </w:rPr>
              <w:t>MAHs “should regularly screen internet or digital media under their management or responsibility.”</w:t>
            </w:r>
          </w:p>
        </w:tc>
        <w:tc>
          <w:tcPr>
            <w:tcW w:type="dxa" w:w="1872"/>
            <w:shd w:val="clear" w:color="auto" w:fill="F3F6FC"/>
          </w:tcPr>
          <w:p>
            <w:pPr>
              <w:spacing w:after="0"/>
            </w:pPr>
            <w:r/>
            <w:r>
              <w:rPr>
                <w:rFonts w:ascii="Calibri" w:hAnsi="Calibri"/>
                <w:color w:val="333333"/>
                <w:sz w:val="19"/>
              </w:rPr>
              <w:t>EMA GVP Module VI Rev 2, VI.B.1.1.4</w:t>
            </w:r>
          </w:p>
        </w:tc>
      </w:tr>
      <w:tr>
        <w:tc>
          <w:tcPr>
            <w:tcW w:type="dxa" w:w="2304"/>
          </w:tcPr>
          <w:p>
            <w:pPr>
              <w:spacing w:after="0"/>
            </w:pPr>
            <w:r/>
            <w:r>
              <w:rPr>
                <w:rFonts w:ascii="Calibri" w:hAnsi="Calibri"/>
                <w:b/>
                <w:color w:val="1E2761"/>
                <w:sz w:val="19"/>
              </w:rPr>
              <w:t>De-identification</w:t>
            </w:r>
          </w:p>
        </w:tc>
        <w:tc>
          <w:tcPr>
            <w:tcW w:type="dxa" w:w="5760"/>
          </w:tcPr>
          <w:p>
            <w:pPr>
              <w:spacing w:after="0"/>
            </w:pPr>
            <w:r/>
            <w:r>
              <w:rPr>
                <w:rFonts w:ascii="Calibri" w:hAnsi="Calibri"/>
                <w:color w:val="333333"/>
                <w:sz w:val="19"/>
              </w:rPr>
              <w:t>Safe Harbor: 18 identifiers (names, dates, MRNs, …) removed before text counts as de-identified.</w:t>
            </w:r>
          </w:p>
        </w:tc>
        <w:tc>
          <w:tcPr>
            <w:tcW w:type="dxa" w:w="1872"/>
          </w:tcPr>
          <w:p>
            <w:pPr>
              <w:spacing w:after="0"/>
            </w:pPr>
            <w:r/>
            <w:r>
              <w:rPr>
                <w:rFonts w:ascii="Calibri" w:hAnsi="Calibri"/>
                <w:color w:val="333333"/>
                <w:sz w:val="19"/>
              </w:rPr>
              <w:t>45 CFR §164.514(b)</w:t>
            </w:r>
          </w:p>
        </w:tc>
      </w:tr>
    </w:tbl>
    <w:p>
      <w:pPr>
        <w:spacing w:after="80"/>
      </w:pPr>
    </w:p>
    <w:p>
      <w:pPr>
        <w:spacing w:after="120" w:before="0"/>
      </w:pPr>
      <w:r>
        <w:rPr>
          <w:rFonts w:ascii="Calibri" w:hAnsi="Calibri"/>
          <w:b w:val="0"/>
          <w:i w:val="0"/>
          <w:color w:val="333333"/>
          <w:sz w:val="22"/>
        </w:rPr>
        <w:t>The pipeline therefore answers four questions per record, in order: AE mentioned? → four elements present? → serious? → expected? — and computes a due date (awareness date + 15 days when serious and unexpected). Under-reporting is severe: a systematic review of 37 studies found a median under-reporting rate of 94% (Hazell &amp; Shakir 2006). That is why mining the text is worth the trouble.</w:t>
      </w:r>
    </w:p>
    <w:p>
      <w:pPr>
        <w:keepNext/>
        <w:spacing w:after="60" w:before="160"/>
      </w:pPr>
      <w:r>
        <w:rPr>
          <w:rFonts w:ascii="Calibri" w:hAnsi="Calibri"/>
          <w:b/>
          <w:i w:val="0"/>
          <w:color w:val="1E2761"/>
          <w:sz w:val="25"/>
        </w:rPr>
        <w:t>Insight versus obligation</w:t>
      </w:r>
    </w:p>
    <w:p>
      <w:pPr>
        <w:spacing w:after="120" w:before="0"/>
      </w:pPr>
      <w:r>
        <w:rPr>
          <w:rFonts w:ascii="Calibri" w:hAnsi="Calibri"/>
          <w:b w:val="0"/>
          <w:i w:val="0"/>
          <w:color w:val="333333"/>
          <w:sz w:val="22"/>
        </w:rPr>
        <w:t>The same detector feeds two very different consumers. Commercial analytics wants aggregates (“tolerability mentions rose after June”) and can tolerate error. Pharmacovigilance needs individual cases with dates and cannot. Route to Safety first, insights second, and never let the analytics team be the only owner of an AE model.</w:t>
      </w:r>
    </w:p>
    <w:p>
      <w:pPr>
        <w:keepNext/>
        <w:spacing w:after="80" w:before="240"/>
      </w:pPr>
      <w:r>
        <w:rPr>
          <w:rFonts w:ascii="Calibri" w:hAnsi="Calibri"/>
          <w:b/>
          <w:i w:val="0"/>
          <w:color w:val="1E2761"/>
          <w:sz w:val="30"/>
        </w:rPr>
        <w:t>3. The data (all synthetic)</w:t>
      </w:r>
    </w:p>
    <w:tbl>
      <w:tblPr>
        <w:tblStyle w:val="TableGrid"/>
        <w:tblW w:type="auto" w:w="0"/>
        <w:jc w:val="center"/>
        <w:tblLayout w:type="fixed"/>
        <w:tblLook w:firstColumn="1" w:firstRow="1" w:lastColumn="0" w:lastRow="0" w:noHBand="0" w:noVBand="1" w:val="04A0"/>
      </w:tblPr>
      <w:tblGrid>
        <w:gridCol w:w="2880"/>
        <w:gridCol w:w="864"/>
        <w:gridCol w:w="3744"/>
        <w:gridCol w:w="2448"/>
      </w:tblGrid>
      <w:tr>
        <w:tc>
          <w:tcPr>
            <w:tcW w:type="dxa" w:w="2880"/>
            <w:shd w:val="clear" w:color="auto" w:fill="1E2761"/>
          </w:tcPr>
          <w:p>
            <w:pPr>
              <w:spacing w:after="0"/>
            </w:pPr>
            <w:r/>
            <w:r>
              <w:rPr>
                <w:rFonts w:ascii="Calibri" w:hAnsi="Calibri"/>
                <w:b/>
                <w:color w:val="FFFFFF"/>
                <w:sz w:val="19"/>
              </w:rPr>
              <w:t>File</w:t>
            </w:r>
          </w:p>
        </w:tc>
        <w:tc>
          <w:tcPr>
            <w:tcW w:type="dxa" w:w="864"/>
            <w:shd w:val="clear" w:color="auto" w:fill="1E2761"/>
          </w:tcPr>
          <w:p>
            <w:pPr>
              <w:spacing w:after="0"/>
            </w:pPr>
            <w:r/>
            <w:r>
              <w:rPr>
                <w:rFonts w:ascii="Calibri" w:hAnsi="Calibri"/>
                <w:b/>
                <w:color w:val="FFFFFF"/>
                <w:sz w:val="19"/>
              </w:rPr>
              <w:t>Rows</w:t>
            </w:r>
          </w:p>
        </w:tc>
        <w:tc>
          <w:tcPr>
            <w:tcW w:type="dxa" w:w="3744"/>
            <w:shd w:val="clear" w:color="auto" w:fill="1E2761"/>
          </w:tcPr>
          <w:p>
            <w:pPr>
              <w:spacing w:after="0"/>
            </w:pPr>
            <w:r/>
            <w:r>
              <w:rPr>
                <w:rFonts w:ascii="Calibri" w:hAnsi="Calibri"/>
                <w:b/>
                <w:color w:val="FFFFFF"/>
                <w:sz w:val="19"/>
              </w:rPr>
              <w:t>What it is</w:t>
            </w:r>
          </w:p>
        </w:tc>
        <w:tc>
          <w:tcPr>
            <w:tcW w:type="dxa" w:w="2448"/>
            <w:shd w:val="clear" w:color="auto" w:fill="1E2761"/>
          </w:tcPr>
          <w:p>
            <w:pPr>
              <w:spacing w:after="0"/>
            </w:pPr>
            <w:r/>
            <w:r>
              <w:rPr>
                <w:rFonts w:ascii="Calibri" w:hAnsi="Calibri"/>
                <w:b/>
                <w:color w:val="FFFFFF"/>
                <w:sz w:val="19"/>
              </w:rPr>
              <w:t>Labels for students</w:t>
            </w:r>
          </w:p>
        </w:tc>
      </w:tr>
      <w:tr>
        <w:tc>
          <w:tcPr>
            <w:tcW w:type="dxa" w:w="2880"/>
          </w:tcPr>
          <w:p>
            <w:pPr>
              <w:spacing w:after="0"/>
            </w:pPr>
            <w:r/>
            <w:r>
              <w:rPr>
                <w:rFonts w:ascii="Calibri" w:hAnsi="Calibri"/>
                <w:b/>
                <w:color w:val="1E2761"/>
                <w:sz w:val="19"/>
              </w:rPr>
              <w:t>glucoren_field_notes.csv</w:t>
            </w:r>
          </w:p>
        </w:tc>
        <w:tc>
          <w:tcPr>
            <w:tcW w:type="dxa" w:w="864"/>
          </w:tcPr>
          <w:p>
            <w:pPr>
              <w:spacing w:after="0"/>
            </w:pPr>
            <w:r/>
            <w:r>
              <w:rPr>
                <w:rFonts w:ascii="Calibri" w:hAnsi="Calibri"/>
                <w:color w:val="333333"/>
                <w:sz w:val="19"/>
              </w:rPr>
              <w:t>4,200</w:t>
            </w:r>
          </w:p>
        </w:tc>
        <w:tc>
          <w:tcPr>
            <w:tcW w:type="dxa" w:w="3744"/>
          </w:tcPr>
          <w:p>
            <w:pPr>
              <w:spacing w:after="0"/>
            </w:pPr>
            <w:r/>
            <w:r>
              <w:rPr>
                <w:rFonts w:ascii="Calibri" w:hAnsi="Calibri"/>
                <w:color w:val="333333"/>
                <w:sz w:val="19"/>
              </w:rPr>
              <w:t>CRM call notes, Nov 2025–Oct 2026, 60 reps, 2,400 HCPs</w:t>
            </w:r>
          </w:p>
        </w:tc>
        <w:tc>
          <w:tcPr>
            <w:tcW w:type="dxa" w:w="2448"/>
          </w:tcPr>
          <w:p>
            <w:pPr>
              <w:spacing w:after="0"/>
            </w:pPr>
            <w:r/>
            <w:r>
              <w:rPr>
                <w:rFonts w:ascii="Calibri" w:hAnsi="Calibri"/>
                <w:color w:val="333333"/>
                <w:sz w:val="19"/>
              </w:rPr>
              <w:t>pv_reviewed / pv_label_ae / pv_label_serious on 1,458 notes</w:t>
            </w:r>
          </w:p>
        </w:tc>
      </w:tr>
      <w:tr>
        <w:tc>
          <w:tcPr>
            <w:tcW w:type="dxa" w:w="2880"/>
            <w:shd w:val="clear" w:color="auto" w:fill="F3F6FC"/>
          </w:tcPr>
          <w:p>
            <w:pPr>
              <w:spacing w:after="0"/>
            </w:pPr>
            <w:r/>
            <w:r>
              <w:rPr>
                <w:rFonts w:ascii="Calibri" w:hAnsi="Calibri"/>
                <w:b/>
                <w:color w:val="1E2761"/>
                <w:sz w:val="19"/>
              </w:rPr>
              <w:t>patient_forum_posts.csv</w:t>
            </w:r>
          </w:p>
        </w:tc>
        <w:tc>
          <w:tcPr>
            <w:tcW w:type="dxa" w:w="864"/>
            <w:shd w:val="clear" w:color="auto" w:fill="F3F6FC"/>
          </w:tcPr>
          <w:p>
            <w:pPr>
              <w:spacing w:after="0"/>
            </w:pPr>
            <w:r/>
            <w:r>
              <w:rPr>
                <w:rFonts w:ascii="Calibri" w:hAnsi="Calibri"/>
                <w:color w:val="333333"/>
                <w:sz w:val="19"/>
              </w:rPr>
              <w:t>3,000</w:t>
            </w:r>
          </w:p>
        </w:tc>
        <w:tc>
          <w:tcPr>
            <w:tcW w:type="dxa" w:w="3744"/>
            <w:shd w:val="clear" w:color="auto" w:fill="F3F6FC"/>
          </w:tcPr>
          <w:p>
            <w:pPr>
              <w:spacing w:after="0"/>
            </w:pPr>
            <w:r/>
            <w:r>
              <w:rPr>
                <w:rFonts w:ascii="Calibri" w:hAnsi="Calibri"/>
                <w:color w:val="333333"/>
                <w:sz w:val="19"/>
              </w:rPr>
              <w:t>Company-sponsored community + independent forum</w:t>
            </w:r>
          </w:p>
        </w:tc>
        <w:tc>
          <w:tcPr>
            <w:tcW w:type="dxa" w:w="2448"/>
            <w:shd w:val="clear" w:color="auto" w:fill="F3F6FC"/>
          </w:tcPr>
          <w:p>
            <w:pPr>
              <w:spacing w:after="0"/>
            </w:pPr>
            <w:r/>
            <w:r>
              <w:rPr>
                <w:rFonts w:ascii="Calibri" w:hAnsi="Calibri"/>
                <w:color w:val="333333"/>
                <w:sz w:val="19"/>
              </w:rPr>
              <w:t>pv_label_ae on 741 posts</w:t>
            </w:r>
          </w:p>
        </w:tc>
      </w:tr>
      <w:tr>
        <w:tc>
          <w:tcPr>
            <w:tcW w:type="dxa" w:w="2880"/>
          </w:tcPr>
          <w:p>
            <w:pPr>
              <w:spacing w:after="0"/>
            </w:pPr>
            <w:r/>
            <w:r>
              <w:rPr>
                <w:rFonts w:ascii="Calibri" w:hAnsi="Calibri"/>
                <w:b/>
                <w:color w:val="1E2761"/>
                <w:sz w:val="19"/>
              </w:rPr>
              <w:t>medinfo_inquiries.csv</w:t>
            </w:r>
          </w:p>
        </w:tc>
        <w:tc>
          <w:tcPr>
            <w:tcW w:type="dxa" w:w="864"/>
          </w:tcPr>
          <w:p>
            <w:pPr>
              <w:spacing w:after="0"/>
            </w:pPr>
            <w:r/>
            <w:r>
              <w:rPr>
                <w:rFonts w:ascii="Calibri" w:hAnsi="Calibri"/>
                <w:color w:val="333333"/>
                <w:sz w:val="19"/>
              </w:rPr>
              <w:t>1,200</w:t>
            </w:r>
          </w:p>
        </w:tc>
        <w:tc>
          <w:tcPr>
            <w:tcW w:type="dxa" w:w="3744"/>
          </w:tcPr>
          <w:p>
            <w:pPr>
              <w:spacing w:after="0"/>
            </w:pPr>
            <w:r/>
            <w:r>
              <w:rPr>
                <w:rFonts w:ascii="Calibri" w:hAnsi="Calibri"/>
                <w:color w:val="333333"/>
                <w:sz w:val="19"/>
              </w:rPr>
              <w:t>Contact-center inquiries, 8 intents</w:t>
            </w:r>
          </w:p>
        </w:tc>
        <w:tc>
          <w:tcPr>
            <w:tcW w:type="dxa" w:w="2448"/>
          </w:tcPr>
          <w:p>
            <w:pPr>
              <w:spacing w:after="0"/>
            </w:pPr>
            <w:r/>
            <w:r>
              <w:rPr>
                <w:rFonts w:ascii="Calibri" w:hAnsi="Calibri"/>
                <w:color w:val="333333"/>
                <w:sz w:val="19"/>
              </w:rPr>
              <w:t>mi_team_intent / mi_team_ae_flag on 585</w:t>
            </w:r>
          </w:p>
        </w:tc>
      </w:tr>
      <w:tr>
        <w:tc>
          <w:tcPr>
            <w:tcW w:type="dxa" w:w="2880"/>
            <w:shd w:val="clear" w:color="auto" w:fill="F3F6FC"/>
          </w:tcPr>
          <w:p>
            <w:pPr>
              <w:spacing w:after="0"/>
            </w:pPr>
            <w:r/>
            <w:r>
              <w:rPr>
                <w:rFonts w:ascii="Calibri" w:hAnsi="Calibri"/>
                <w:b/>
                <w:color w:val="1E2761"/>
                <w:sz w:val="19"/>
              </w:rPr>
              <w:t>ae_lexicon.csv</w:t>
            </w:r>
          </w:p>
        </w:tc>
        <w:tc>
          <w:tcPr>
            <w:tcW w:type="dxa" w:w="864"/>
            <w:shd w:val="clear" w:color="auto" w:fill="F3F6FC"/>
          </w:tcPr>
          <w:p>
            <w:pPr>
              <w:spacing w:after="0"/>
            </w:pPr>
            <w:r/>
            <w:r>
              <w:rPr>
                <w:rFonts w:ascii="Calibri" w:hAnsi="Calibri"/>
                <w:color w:val="333333"/>
                <w:sz w:val="19"/>
              </w:rPr>
              <w:t>77</w:t>
            </w:r>
          </w:p>
        </w:tc>
        <w:tc>
          <w:tcPr>
            <w:tcW w:type="dxa" w:w="3744"/>
            <w:shd w:val="clear" w:color="auto" w:fill="F3F6FC"/>
          </w:tcPr>
          <w:p>
            <w:pPr>
              <w:spacing w:after="0"/>
            </w:pPr>
            <w:r/>
            <w:r>
              <w:rPr>
                <w:rFonts w:ascii="Calibri" w:hAnsi="Calibri"/>
                <w:color w:val="333333"/>
                <w:sz w:val="19"/>
              </w:rPr>
              <w:t>Lay term → course preferred term (29 PTs), in_label, serious_default</w:t>
            </w:r>
          </w:p>
        </w:tc>
        <w:tc>
          <w:tcPr>
            <w:tcW w:type="dxa" w:w="2448"/>
            <w:shd w:val="clear" w:color="auto" w:fill="F3F6FC"/>
          </w:tcPr>
          <w:p>
            <w:pPr>
              <w:spacing w:after="0"/>
            </w:pPr>
            <w:r/>
            <w:r>
              <w:rPr>
                <w:rFonts w:ascii="Calibri" w:hAnsi="Calibri"/>
                <w:color w:val="333333"/>
                <w:sz w:val="19"/>
              </w:rPr>
              <w:t>—</w:t>
            </w:r>
          </w:p>
        </w:tc>
      </w:tr>
      <w:tr>
        <w:tc>
          <w:tcPr>
            <w:tcW w:type="dxa" w:w="2880"/>
          </w:tcPr>
          <w:p>
            <w:pPr>
              <w:spacing w:after="0"/>
            </w:pPr>
            <w:r/>
            <w:r>
              <w:rPr>
                <w:rFonts w:ascii="Calibri" w:hAnsi="Calibri"/>
                <w:b/>
                <w:color w:val="1E2761"/>
                <w:sz w:val="19"/>
              </w:rPr>
              <w:t>faers_style_counts_glucoren.csv</w:t>
            </w:r>
          </w:p>
        </w:tc>
        <w:tc>
          <w:tcPr>
            <w:tcW w:type="dxa" w:w="864"/>
          </w:tcPr>
          <w:p>
            <w:pPr>
              <w:spacing w:after="0"/>
            </w:pPr>
            <w:r/>
            <w:r>
              <w:rPr>
                <w:rFonts w:ascii="Calibri" w:hAnsi="Calibri"/>
                <w:color w:val="333333"/>
                <w:sz w:val="19"/>
              </w:rPr>
              <w:t>26</w:t>
            </w:r>
          </w:p>
        </w:tc>
        <w:tc>
          <w:tcPr>
            <w:tcW w:type="dxa" w:w="3744"/>
          </w:tcPr>
          <w:p>
            <w:pPr>
              <w:spacing w:after="0"/>
            </w:pPr>
            <w:r/>
            <w:r>
              <w:rPr>
                <w:rFonts w:ascii="Calibri" w:hAnsi="Calibri"/>
                <w:color w:val="333333"/>
                <w:sz w:val="19"/>
              </w:rPr>
              <w:t>Event counts for GLUCOREN vs all other drugs, FAERS-shaped</w:t>
            </w:r>
          </w:p>
        </w:tc>
        <w:tc>
          <w:tcPr>
            <w:tcW w:type="dxa" w:w="2448"/>
          </w:tcPr>
          <w:p>
            <w:pPr>
              <w:spacing w:after="0"/>
            </w:pPr>
            <w:r/>
            <w:r>
              <w:rPr>
                <w:rFonts w:ascii="Calibri" w:hAnsi="Calibri"/>
                <w:color w:val="333333"/>
                <w:sz w:val="19"/>
              </w:rPr>
              <w:t>—</w:t>
            </w:r>
          </w:p>
        </w:tc>
      </w:tr>
      <w:tr>
        <w:tc>
          <w:tcPr>
            <w:tcW w:type="dxa" w:w="2880"/>
            <w:shd w:val="clear" w:color="auto" w:fill="F3F6FC"/>
          </w:tcPr>
          <w:p>
            <w:pPr>
              <w:spacing w:after="0"/>
            </w:pPr>
            <w:r/>
            <w:r>
              <w:rPr>
                <w:rFonts w:ascii="Calibri" w:hAnsi="Calibri"/>
                <w:b/>
                <w:color w:val="1E2761"/>
                <w:sz w:val="19"/>
              </w:rPr>
              <w:t>hcp_master_w7.csv</w:t>
            </w:r>
          </w:p>
        </w:tc>
        <w:tc>
          <w:tcPr>
            <w:tcW w:type="dxa" w:w="864"/>
            <w:shd w:val="clear" w:color="auto" w:fill="F3F6FC"/>
          </w:tcPr>
          <w:p>
            <w:pPr>
              <w:spacing w:after="0"/>
            </w:pPr>
            <w:r/>
            <w:r>
              <w:rPr>
                <w:rFonts w:ascii="Calibri" w:hAnsi="Calibri"/>
                <w:color w:val="333333"/>
                <w:sz w:val="19"/>
              </w:rPr>
              <w:t>2,400</w:t>
            </w:r>
          </w:p>
        </w:tc>
        <w:tc>
          <w:tcPr>
            <w:tcW w:type="dxa" w:w="3744"/>
            <w:shd w:val="clear" w:color="auto" w:fill="F3F6FC"/>
          </w:tcPr>
          <w:p>
            <w:pPr>
              <w:spacing w:after="0"/>
            </w:pPr>
            <w:r/>
            <w:r>
              <w:rPr>
                <w:rFonts w:ascii="Calibri" w:hAnsi="Calibri"/>
                <w:color w:val="333333"/>
                <w:sz w:val="19"/>
              </w:rPr>
              <w:t>Specialty, region, segment per HCP</w:t>
            </w:r>
          </w:p>
        </w:tc>
        <w:tc>
          <w:tcPr>
            <w:tcW w:type="dxa" w:w="2448"/>
            <w:shd w:val="clear" w:color="auto" w:fill="F3F6FC"/>
          </w:tcPr>
          <w:p>
            <w:pPr>
              <w:spacing w:after="0"/>
            </w:pPr>
            <w:r/>
            <w:r>
              <w:rPr>
                <w:rFonts w:ascii="Calibri" w:hAnsi="Calibri"/>
                <w:color w:val="333333"/>
                <w:sz w:val="19"/>
              </w:rPr>
              <w:t>—</w:t>
            </w:r>
          </w:p>
        </w:tc>
      </w:tr>
    </w:tbl>
    <w:p>
      <w:pPr>
        <w:spacing w:after="80"/>
      </w:pPr>
    </w:p>
    <w:p>
      <w:pPr>
        <w:spacing w:after="120" w:before="0"/>
      </w:pPr>
      <w:r>
        <w:rPr>
          <w:rFonts w:ascii="Calibri" w:hAnsi="Calibri"/>
          <w:b w:val="0"/>
          <w:i w:val="0"/>
          <w:color w:val="333333"/>
          <w:sz w:val="22"/>
        </w:rPr>
        <w:t>The “course PTs” are plain-English event names we made up for teaching. In practice events are coded in MedDRA, a licensed terminology maintained by the MSSO under ICH; your company's safety database uses it, and a real lexicon maps lay terms to MedDRA Lowest Level Terms.</w:t>
      </w:r>
    </w:p>
    <w:p>
      <w:pPr>
        <w:keepNext/>
        <w:spacing w:after="80" w:before="240"/>
      </w:pPr>
      <w:r>
        <w:rPr>
          <w:rFonts w:ascii="Calibri" w:hAnsi="Calibri"/>
          <w:b/>
          <w:i w:val="0"/>
          <w:color w:val="1E2761"/>
          <w:sz w:val="30"/>
        </w:rPr>
        <w:t>4. Detector 1 — a lexicon</w:t>
      </w:r>
    </w:p>
    <w:p>
      <w:pPr>
        <w:spacing w:after="120" w:before="0"/>
      </w:pPr>
      <w:r>
        <w:rPr>
          <w:rFonts w:ascii="Calibri" w:hAnsi="Calibri"/>
          <w:b w:val="0"/>
          <w:i w:val="0"/>
          <w:color w:val="333333"/>
          <w:sz w:val="22"/>
        </w:rPr>
        <w:t>Flag a note if any of the 77 lay terms appears. On the reviewed notes: recall 79%, precision 42%, 270 flags. It fails in two families:</w:t>
      </w:r>
    </w:p>
    <w:p>
      <w:pPr>
        <w:pStyle w:val="ListBullet"/>
        <w:spacing w:after="60"/>
      </w:pPr>
      <w:r>
        <w:rPr>
          <w:rFonts w:ascii="Calibri" w:hAnsi="Calibri"/>
          <w:b w:val="0"/>
          <w:color w:val="333333"/>
          <w:sz w:val="22"/>
        </w:rPr>
        <w:t xml:space="preserve">Negation and general statements — </w:t>
      </w:r>
      <w:r>
        <w:rPr>
          <w:rFonts w:ascii="Calibri" w:hAnsi="Calibri"/>
          <w:b w:val="0"/>
          <w:color w:val="333333"/>
          <w:sz w:val="22"/>
        </w:rPr>
        <w:t>“no reports of nausea”, “asked about the nausea rate in the label”. The word is present; nobody had anything. A lexicon has no notion of who or whether.</w:t>
      </w:r>
    </w:p>
    <w:p>
      <w:pPr>
        <w:pStyle w:val="ListBullet"/>
        <w:spacing w:after="60"/>
      </w:pPr>
      <w:r>
        <w:rPr>
          <w:rFonts w:ascii="Calibri" w:hAnsi="Calibri"/>
          <w:b w:val="0"/>
          <w:color w:val="333333"/>
          <w:sz w:val="22"/>
        </w:rPr>
        <w:t xml:space="preserve">Paraphrase, typos, abbreviations — </w:t>
      </w:r>
      <w:r>
        <w:rPr>
          <w:rFonts w:ascii="Calibri" w:hAnsi="Calibri"/>
          <w:b w:val="0"/>
          <w:color w:val="333333"/>
          <w:sz w:val="22"/>
        </w:rPr>
        <w:t>“N/V”, “GI issues”, “sugar lows”, “nuasea”. The event is there; the string is not.</w:t>
      </w:r>
    </w:p>
    <w:p>
      <w:pPr>
        <w:spacing w:after="120" w:before="0"/>
      </w:pPr>
      <w:r>
        <w:rPr>
          <w:rFonts w:ascii="Calibri" w:hAnsi="Calibri"/>
          <w:b w:val="0"/>
          <w:i w:val="0"/>
          <w:color w:val="333333"/>
          <w:sz w:val="22"/>
        </w:rPr>
        <w:t>Keep the lexicon: it becomes the seriousness and expectedness lookup in §7. Stop using it as the detector.</w:t>
      </w:r>
    </w:p>
    <w:p>
      <w:pPr>
        <w:keepNext/>
        <w:spacing w:after="80" w:before="240"/>
      </w:pPr>
      <w:r>
        <w:rPr>
          <w:rFonts w:ascii="Calibri" w:hAnsi="Calibri"/>
          <w:b/>
          <w:i w:val="0"/>
          <w:color w:val="1E2761"/>
          <w:sz w:val="30"/>
        </w:rPr>
        <w:t>5. Detector 2 — TF-IDF + logistic regression</w:t>
      </w:r>
    </w:p>
    <w:p>
      <w:pPr>
        <w:spacing w:after="120" w:before="0"/>
      </w:pPr>
      <w:r>
        <w:rPr>
          <w:rFonts w:ascii="Calibri" w:hAnsi="Calibri"/>
          <w:b w:val="0"/>
          <w:i w:val="0"/>
          <w:color w:val="333333"/>
          <w:sz w:val="22"/>
        </w:rPr>
        <w:t>Bag of words with 1–2-grams, TF-IDF weighting, L2-regularized logistic regression with class weights, trained on the reviewer's labels. One classic trick: negation scope marking — the three words after “no”, “denied” or “without” get a NOT_ prefix (Pang, Lee &amp; Vaithyanathan 2002), so “no nausea” and “nausea” are different features. Five-fold cross-validation: ROC-AUC 0.99, average precision 0.94. At the chosen threshold (0.47): recall 95%, precision 95%. On the 2,742 notes the reviewer never saw (instructor truth), recall 96% and precision 94%; the lexicon's recall there is 79%.</w:t>
      </w:r>
    </w:p>
    <w:p>
      <w:pPr>
        <w:keepNext/>
        <w:spacing w:after="60" w:before="160"/>
      </w:pPr>
      <w:r>
        <w:rPr>
          <w:rFonts w:ascii="Calibri" w:hAnsi="Calibri"/>
          <w:b/>
          <w:i w:val="0"/>
          <w:color w:val="1E2761"/>
          <w:sz w:val="25"/>
        </w:rPr>
        <w:t>The threshold is a business decision</w:t>
      </w:r>
    </w:p>
    <w:tbl>
      <w:tblPr>
        <w:tblStyle w:val="TableGrid"/>
        <w:tblW w:type="auto" w:w="0"/>
        <w:jc w:val="center"/>
        <w:tblLayout w:type="fixed"/>
        <w:tblLook w:firstColumn="1" w:firstRow="1" w:lastColumn="0" w:lastRow="0" w:noHBand="0" w:noVBand="1" w:val="04A0"/>
      </w:tblPr>
      <w:tblGrid>
        <w:gridCol w:w="1440"/>
        <w:gridCol w:w="1296"/>
        <w:gridCol w:w="1440"/>
        <w:gridCol w:w="1584"/>
        <w:gridCol w:w="2304"/>
        <w:gridCol w:w="1872"/>
      </w:tblGrid>
      <w:tr>
        <w:tc>
          <w:tcPr>
            <w:tcW w:type="dxa" w:w="1440"/>
            <w:shd w:val="clear" w:color="auto" w:fill="1E2761"/>
          </w:tcPr>
          <w:p>
            <w:pPr>
              <w:spacing w:after="0"/>
            </w:pPr>
            <w:r/>
            <w:r>
              <w:rPr>
                <w:rFonts w:ascii="Calibri" w:hAnsi="Calibri"/>
                <w:b/>
                <w:color w:val="FFFFFF"/>
                <w:sz w:val="19"/>
              </w:rPr>
              <w:t>Threshold</w:t>
            </w:r>
          </w:p>
        </w:tc>
        <w:tc>
          <w:tcPr>
            <w:tcW w:type="dxa" w:w="1296"/>
            <w:shd w:val="clear" w:color="auto" w:fill="1E2761"/>
          </w:tcPr>
          <w:p>
            <w:pPr>
              <w:spacing w:after="0"/>
            </w:pPr>
            <w:r/>
            <w:r>
              <w:rPr>
                <w:rFonts w:ascii="Calibri" w:hAnsi="Calibri"/>
                <w:b/>
                <w:color w:val="FFFFFF"/>
                <w:sz w:val="19"/>
              </w:rPr>
              <w:t>Recall</w:t>
            </w:r>
          </w:p>
        </w:tc>
        <w:tc>
          <w:tcPr>
            <w:tcW w:type="dxa" w:w="1440"/>
            <w:shd w:val="clear" w:color="auto" w:fill="1E2761"/>
          </w:tcPr>
          <w:p>
            <w:pPr>
              <w:spacing w:after="0"/>
            </w:pPr>
            <w:r/>
            <w:r>
              <w:rPr>
                <w:rFonts w:ascii="Calibri" w:hAnsi="Calibri"/>
                <w:b/>
                <w:color w:val="FFFFFF"/>
                <w:sz w:val="19"/>
              </w:rPr>
              <w:t>Precision</w:t>
            </w:r>
          </w:p>
        </w:tc>
        <w:tc>
          <w:tcPr>
            <w:tcW w:type="dxa" w:w="1584"/>
            <w:shd w:val="clear" w:color="auto" w:fill="1E2761"/>
          </w:tcPr>
          <w:p>
            <w:pPr>
              <w:spacing w:after="0"/>
            </w:pPr>
            <w:r/>
            <w:r>
              <w:rPr>
                <w:rFonts w:ascii="Calibri" w:hAnsi="Calibri"/>
                <w:b/>
                <w:color w:val="FFFFFF"/>
                <w:sz w:val="19"/>
              </w:rPr>
              <w:t>Flags / week</w:t>
            </w:r>
          </w:p>
        </w:tc>
        <w:tc>
          <w:tcPr>
            <w:tcW w:type="dxa" w:w="2304"/>
            <w:shd w:val="clear" w:color="auto" w:fill="1E2761"/>
          </w:tcPr>
          <w:p>
            <w:pPr>
              <w:spacing w:after="0"/>
            </w:pPr>
            <w:r/>
            <w:r>
              <w:rPr>
                <w:rFonts w:ascii="Calibri" w:hAnsi="Calibri"/>
                <w:b/>
                <w:color w:val="FFFFFF"/>
                <w:sz w:val="19"/>
              </w:rPr>
              <w:t>Reviewer hours / week</w:t>
            </w:r>
          </w:p>
        </w:tc>
        <w:tc>
          <w:tcPr>
            <w:tcW w:type="dxa" w:w="1872"/>
            <w:shd w:val="clear" w:color="auto" w:fill="1E2761"/>
          </w:tcPr>
          <w:p>
            <w:pPr>
              <w:spacing w:after="0"/>
            </w:pPr>
            <w:r/>
            <w:r>
              <w:rPr>
                <w:rFonts w:ascii="Calibri" w:hAnsi="Calibri"/>
                <w:b/>
                <w:color w:val="FFFFFF"/>
                <w:sz w:val="19"/>
              </w:rPr>
              <w:t>AEs missed / year</w:t>
            </w:r>
          </w:p>
        </w:tc>
      </w:tr>
      <w:tr>
        <w:tc>
          <w:tcPr>
            <w:tcW w:type="dxa" w:w="1440"/>
          </w:tcPr>
          <w:p>
            <w:pPr>
              <w:spacing w:after="0"/>
            </w:pPr>
            <w:r/>
            <w:r>
              <w:rPr>
                <w:rFonts w:ascii="Calibri" w:hAnsi="Calibri"/>
                <w:b/>
                <w:color w:val="1E2761"/>
                <w:sz w:val="19"/>
              </w:rPr>
              <w:t>0.20</w:t>
            </w:r>
          </w:p>
        </w:tc>
        <w:tc>
          <w:tcPr>
            <w:tcW w:type="dxa" w:w="1296"/>
          </w:tcPr>
          <w:p>
            <w:pPr>
              <w:spacing w:after="0"/>
            </w:pPr>
            <w:r/>
            <w:r>
              <w:rPr>
                <w:rFonts w:ascii="Calibri" w:hAnsi="Calibri"/>
                <w:color w:val="333333"/>
                <w:sz w:val="19"/>
              </w:rPr>
              <w:t>97%</w:t>
            </w:r>
          </w:p>
        </w:tc>
        <w:tc>
          <w:tcPr>
            <w:tcW w:type="dxa" w:w="1440"/>
          </w:tcPr>
          <w:p>
            <w:pPr>
              <w:spacing w:after="0"/>
            </w:pPr>
            <w:r/>
            <w:r>
              <w:rPr>
                <w:rFonts w:ascii="Calibri" w:hAnsi="Calibri"/>
                <w:color w:val="333333"/>
                <w:sz w:val="19"/>
              </w:rPr>
              <w:t>62%</w:t>
            </w:r>
          </w:p>
        </w:tc>
        <w:tc>
          <w:tcPr>
            <w:tcW w:type="dxa" w:w="1584"/>
          </w:tcPr>
          <w:p>
            <w:pPr>
              <w:spacing w:after="0"/>
            </w:pPr>
            <w:r/>
            <w:r>
              <w:rPr>
                <w:rFonts w:ascii="Calibri" w:hAnsi="Calibri"/>
                <w:color w:val="333333"/>
                <w:sz w:val="19"/>
              </w:rPr>
              <w:t>13</w:t>
            </w:r>
          </w:p>
        </w:tc>
        <w:tc>
          <w:tcPr>
            <w:tcW w:type="dxa" w:w="2304"/>
          </w:tcPr>
          <w:p>
            <w:pPr>
              <w:spacing w:after="0"/>
            </w:pPr>
            <w:r/>
            <w:r>
              <w:rPr>
                <w:rFonts w:ascii="Calibri" w:hAnsi="Calibri"/>
                <w:color w:val="333333"/>
                <w:sz w:val="19"/>
              </w:rPr>
              <w:t>1.3</w:t>
            </w:r>
          </w:p>
        </w:tc>
        <w:tc>
          <w:tcPr>
            <w:tcW w:type="dxa" w:w="1872"/>
          </w:tcPr>
          <w:p>
            <w:pPr>
              <w:spacing w:after="0"/>
            </w:pPr>
            <w:r/>
            <w:r>
              <w:rPr>
                <w:rFonts w:ascii="Calibri" w:hAnsi="Calibri"/>
                <w:color w:val="333333"/>
                <w:sz w:val="19"/>
              </w:rPr>
              <w:t>12</w:t>
            </w:r>
          </w:p>
        </w:tc>
      </w:tr>
      <w:tr>
        <w:tc>
          <w:tcPr>
            <w:tcW w:type="dxa" w:w="1440"/>
            <w:shd w:val="clear" w:color="auto" w:fill="F3F6FC"/>
          </w:tcPr>
          <w:p>
            <w:pPr>
              <w:spacing w:after="0"/>
            </w:pPr>
            <w:r/>
            <w:r>
              <w:rPr>
                <w:rFonts w:ascii="Calibri" w:hAnsi="Calibri"/>
                <w:b/>
                <w:color w:val="1E2761"/>
                <w:sz w:val="19"/>
              </w:rPr>
              <w:t>0.30</w:t>
            </w:r>
          </w:p>
        </w:tc>
        <w:tc>
          <w:tcPr>
            <w:tcW w:type="dxa" w:w="1296"/>
            <w:shd w:val="clear" w:color="auto" w:fill="F3F6FC"/>
          </w:tcPr>
          <w:p>
            <w:pPr>
              <w:spacing w:after="0"/>
            </w:pPr>
            <w:r/>
            <w:r>
              <w:rPr>
                <w:rFonts w:ascii="Calibri" w:hAnsi="Calibri"/>
                <w:color w:val="333333"/>
                <w:sz w:val="19"/>
              </w:rPr>
              <w:t>97%</w:t>
            </w:r>
          </w:p>
        </w:tc>
        <w:tc>
          <w:tcPr>
            <w:tcW w:type="dxa" w:w="1440"/>
            <w:shd w:val="clear" w:color="auto" w:fill="F3F6FC"/>
          </w:tcPr>
          <w:p>
            <w:pPr>
              <w:spacing w:after="0"/>
            </w:pPr>
            <w:r/>
            <w:r>
              <w:rPr>
                <w:rFonts w:ascii="Calibri" w:hAnsi="Calibri"/>
                <w:color w:val="333333"/>
                <w:sz w:val="19"/>
              </w:rPr>
              <w:t>80%</w:t>
            </w:r>
          </w:p>
        </w:tc>
        <w:tc>
          <w:tcPr>
            <w:tcW w:type="dxa" w:w="1584"/>
            <w:shd w:val="clear" w:color="auto" w:fill="F3F6FC"/>
          </w:tcPr>
          <w:p>
            <w:pPr>
              <w:spacing w:after="0"/>
            </w:pPr>
            <w:r/>
            <w:r>
              <w:rPr>
                <w:rFonts w:ascii="Calibri" w:hAnsi="Calibri"/>
                <w:color w:val="333333"/>
                <w:sz w:val="19"/>
              </w:rPr>
              <w:t>10</w:t>
            </w:r>
          </w:p>
        </w:tc>
        <w:tc>
          <w:tcPr>
            <w:tcW w:type="dxa" w:w="2304"/>
            <w:shd w:val="clear" w:color="auto" w:fill="F3F6FC"/>
          </w:tcPr>
          <w:p>
            <w:pPr>
              <w:spacing w:after="0"/>
            </w:pPr>
            <w:r/>
            <w:r>
              <w:rPr>
                <w:rFonts w:ascii="Calibri" w:hAnsi="Calibri"/>
                <w:color w:val="333333"/>
                <w:sz w:val="19"/>
              </w:rPr>
              <w:t>1.0</w:t>
            </w:r>
          </w:p>
        </w:tc>
        <w:tc>
          <w:tcPr>
            <w:tcW w:type="dxa" w:w="1872"/>
            <w:shd w:val="clear" w:color="auto" w:fill="F3F6FC"/>
          </w:tcPr>
          <w:p>
            <w:pPr>
              <w:spacing w:after="0"/>
            </w:pPr>
            <w:r/>
            <w:r>
              <w:rPr>
                <w:rFonts w:ascii="Calibri" w:hAnsi="Calibri"/>
                <w:color w:val="333333"/>
                <w:sz w:val="19"/>
              </w:rPr>
              <w:t>14</w:t>
            </w:r>
          </w:p>
        </w:tc>
      </w:tr>
      <w:tr>
        <w:tc>
          <w:tcPr>
            <w:tcW w:type="dxa" w:w="1440"/>
          </w:tcPr>
          <w:p>
            <w:pPr>
              <w:spacing w:after="0"/>
            </w:pPr>
            <w:r/>
            <w:r>
              <w:rPr>
                <w:rFonts w:ascii="Calibri" w:hAnsi="Calibri"/>
                <w:b/>
                <w:color w:val="1E2761"/>
                <w:sz w:val="19"/>
              </w:rPr>
              <w:t>0.47</w:t>
            </w:r>
          </w:p>
        </w:tc>
        <w:tc>
          <w:tcPr>
            <w:tcW w:type="dxa" w:w="1296"/>
          </w:tcPr>
          <w:p>
            <w:pPr>
              <w:spacing w:after="0"/>
            </w:pPr>
            <w:r/>
            <w:r>
              <w:rPr>
                <w:rFonts w:ascii="Calibri" w:hAnsi="Calibri"/>
                <w:color w:val="333333"/>
                <w:sz w:val="19"/>
              </w:rPr>
              <w:t>95%</w:t>
            </w:r>
          </w:p>
        </w:tc>
        <w:tc>
          <w:tcPr>
            <w:tcW w:type="dxa" w:w="1440"/>
          </w:tcPr>
          <w:p>
            <w:pPr>
              <w:spacing w:after="0"/>
            </w:pPr>
            <w:r/>
            <w:r>
              <w:rPr>
                <w:rFonts w:ascii="Calibri" w:hAnsi="Calibri"/>
                <w:color w:val="333333"/>
                <w:sz w:val="19"/>
              </w:rPr>
              <w:t>95%</w:t>
            </w:r>
          </w:p>
        </w:tc>
        <w:tc>
          <w:tcPr>
            <w:tcW w:type="dxa" w:w="1584"/>
          </w:tcPr>
          <w:p>
            <w:pPr>
              <w:spacing w:after="0"/>
            </w:pPr>
            <w:r/>
            <w:r>
              <w:rPr>
                <w:rFonts w:ascii="Calibri" w:hAnsi="Calibri"/>
                <w:color w:val="333333"/>
                <w:sz w:val="19"/>
              </w:rPr>
              <w:t>8</w:t>
            </w:r>
          </w:p>
        </w:tc>
        <w:tc>
          <w:tcPr>
            <w:tcW w:type="dxa" w:w="2304"/>
          </w:tcPr>
          <w:p>
            <w:pPr>
              <w:spacing w:after="0"/>
            </w:pPr>
            <w:r/>
            <w:r>
              <w:rPr>
                <w:rFonts w:ascii="Calibri" w:hAnsi="Calibri"/>
                <w:color w:val="333333"/>
                <w:sz w:val="19"/>
              </w:rPr>
              <w:t>0.8</w:t>
            </w:r>
          </w:p>
        </w:tc>
        <w:tc>
          <w:tcPr>
            <w:tcW w:type="dxa" w:w="1872"/>
          </w:tcPr>
          <w:p>
            <w:pPr>
              <w:spacing w:after="0"/>
            </w:pPr>
            <w:r/>
            <w:r>
              <w:rPr>
                <w:rFonts w:ascii="Calibri" w:hAnsi="Calibri"/>
                <w:color w:val="333333"/>
                <w:sz w:val="19"/>
              </w:rPr>
              <w:t>20</w:t>
            </w:r>
          </w:p>
        </w:tc>
      </w:tr>
      <w:tr>
        <w:tc>
          <w:tcPr>
            <w:tcW w:type="dxa" w:w="1440"/>
            <w:shd w:val="clear" w:color="auto" w:fill="F3F6FC"/>
          </w:tcPr>
          <w:p>
            <w:pPr>
              <w:spacing w:after="0"/>
            </w:pPr>
            <w:r/>
            <w:r>
              <w:rPr>
                <w:rFonts w:ascii="Calibri" w:hAnsi="Calibri"/>
                <w:b/>
                <w:color w:val="1E2761"/>
                <w:sz w:val="19"/>
              </w:rPr>
              <w:t>0.50</w:t>
            </w:r>
          </w:p>
        </w:tc>
        <w:tc>
          <w:tcPr>
            <w:tcW w:type="dxa" w:w="1296"/>
            <w:shd w:val="clear" w:color="auto" w:fill="F3F6FC"/>
          </w:tcPr>
          <w:p>
            <w:pPr>
              <w:spacing w:after="0"/>
            </w:pPr>
            <w:r/>
            <w:r>
              <w:rPr>
                <w:rFonts w:ascii="Calibri" w:hAnsi="Calibri"/>
                <w:color w:val="333333"/>
                <w:sz w:val="19"/>
              </w:rPr>
              <w:t>93%</w:t>
            </w:r>
          </w:p>
        </w:tc>
        <w:tc>
          <w:tcPr>
            <w:tcW w:type="dxa" w:w="1440"/>
            <w:shd w:val="clear" w:color="auto" w:fill="F3F6FC"/>
          </w:tcPr>
          <w:p>
            <w:pPr>
              <w:spacing w:after="0"/>
            </w:pPr>
            <w:r/>
            <w:r>
              <w:rPr>
                <w:rFonts w:ascii="Calibri" w:hAnsi="Calibri"/>
                <w:color w:val="333333"/>
                <w:sz w:val="19"/>
              </w:rPr>
              <w:t>94%</w:t>
            </w:r>
          </w:p>
        </w:tc>
        <w:tc>
          <w:tcPr>
            <w:tcW w:type="dxa" w:w="1584"/>
            <w:shd w:val="clear" w:color="auto" w:fill="F3F6FC"/>
          </w:tcPr>
          <w:p>
            <w:pPr>
              <w:spacing w:after="0"/>
            </w:pPr>
            <w:r/>
            <w:r>
              <w:rPr>
                <w:rFonts w:ascii="Calibri" w:hAnsi="Calibri"/>
                <w:color w:val="333333"/>
                <w:sz w:val="19"/>
              </w:rPr>
              <w:t>8</w:t>
            </w:r>
          </w:p>
        </w:tc>
        <w:tc>
          <w:tcPr>
            <w:tcW w:type="dxa" w:w="2304"/>
            <w:shd w:val="clear" w:color="auto" w:fill="F3F6FC"/>
          </w:tcPr>
          <w:p>
            <w:pPr>
              <w:spacing w:after="0"/>
            </w:pPr>
            <w:r/>
            <w:r>
              <w:rPr>
                <w:rFonts w:ascii="Calibri" w:hAnsi="Calibri"/>
                <w:color w:val="333333"/>
                <w:sz w:val="19"/>
              </w:rPr>
              <w:t>0.8</w:t>
            </w:r>
          </w:p>
        </w:tc>
        <w:tc>
          <w:tcPr>
            <w:tcW w:type="dxa" w:w="1872"/>
            <w:shd w:val="clear" w:color="auto" w:fill="F3F6FC"/>
          </w:tcPr>
          <w:p>
            <w:pPr>
              <w:spacing w:after="0"/>
            </w:pPr>
            <w:r/>
            <w:r>
              <w:rPr>
                <w:rFonts w:ascii="Calibri" w:hAnsi="Calibri"/>
                <w:color w:val="333333"/>
                <w:sz w:val="19"/>
              </w:rPr>
              <w:t>29</w:t>
            </w:r>
          </w:p>
        </w:tc>
      </w:tr>
      <w:tr>
        <w:tc>
          <w:tcPr>
            <w:tcW w:type="dxa" w:w="1440"/>
          </w:tcPr>
          <w:p>
            <w:pPr>
              <w:spacing w:after="0"/>
            </w:pPr>
            <w:r/>
            <w:r>
              <w:rPr>
                <w:rFonts w:ascii="Calibri" w:hAnsi="Calibri"/>
                <w:b/>
                <w:color w:val="1E2761"/>
                <w:sz w:val="19"/>
              </w:rPr>
              <w:t>0.70</w:t>
            </w:r>
          </w:p>
        </w:tc>
        <w:tc>
          <w:tcPr>
            <w:tcW w:type="dxa" w:w="1296"/>
          </w:tcPr>
          <w:p>
            <w:pPr>
              <w:spacing w:after="0"/>
            </w:pPr>
            <w:r/>
            <w:r>
              <w:rPr>
                <w:rFonts w:ascii="Calibri" w:hAnsi="Calibri"/>
                <w:color w:val="333333"/>
                <w:sz w:val="19"/>
              </w:rPr>
              <w:t>79%</w:t>
            </w:r>
          </w:p>
        </w:tc>
        <w:tc>
          <w:tcPr>
            <w:tcW w:type="dxa" w:w="1440"/>
          </w:tcPr>
          <w:p>
            <w:pPr>
              <w:spacing w:after="0"/>
            </w:pPr>
            <w:r/>
            <w:r>
              <w:rPr>
                <w:rFonts w:ascii="Calibri" w:hAnsi="Calibri"/>
                <w:color w:val="333333"/>
                <w:sz w:val="19"/>
              </w:rPr>
              <w:t>95%</w:t>
            </w:r>
          </w:p>
        </w:tc>
        <w:tc>
          <w:tcPr>
            <w:tcW w:type="dxa" w:w="1584"/>
          </w:tcPr>
          <w:p>
            <w:pPr>
              <w:spacing w:after="0"/>
            </w:pPr>
            <w:r/>
            <w:r>
              <w:rPr>
                <w:rFonts w:ascii="Calibri" w:hAnsi="Calibri"/>
                <w:color w:val="333333"/>
                <w:sz w:val="19"/>
              </w:rPr>
              <w:t>7</w:t>
            </w:r>
          </w:p>
        </w:tc>
        <w:tc>
          <w:tcPr>
            <w:tcW w:type="dxa" w:w="2304"/>
          </w:tcPr>
          <w:p>
            <w:pPr>
              <w:spacing w:after="0"/>
            </w:pPr>
            <w:r/>
            <w:r>
              <w:rPr>
                <w:rFonts w:ascii="Calibri" w:hAnsi="Calibri"/>
                <w:color w:val="333333"/>
                <w:sz w:val="19"/>
              </w:rPr>
              <w:t>0.7</w:t>
            </w:r>
          </w:p>
        </w:tc>
        <w:tc>
          <w:tcPr>
            <w:tcW w:type="dxa" w:w="1872"/>
          </w:tcPr>
          <w:p>
            <w:pPr>
              <w:spacing w:after="0"/>
            </w:pPr>
            <w:r/>
            <w:r>
              <w:rPr>
                <w:rFonts w:ascii="Calibri" w:hAnsi="Calibri"/>
                <w:color w:val="333333"/>
                <w:sz w:val="19"/>
              </w:rPr>
              <w:t>89</w:t>
            </w:r>
          </w:p>
        </w:tc>
      </w:tr>
    </w:tbl>
    <w:p>
      <w:pPr>
        <w:spacing w:after="80"/>
      </w:pPr>
    </w:p>
    <w:p>
      <w:pPr>
        <w:spacing w:after="120" w:before="0"/>
      </w:pPr>
      <w:r>
        <w:rPr>
          <w:rFonts w:ascii="Calibri" w:hAnsi="Calibri"/>
          <w:b w:val="0"/>
          <w:i w:val="0"/>
          <w:color w:val="333333"/>
          <w:sz w:val="22"/>
        </w:rPr>
        <w:t>Assumptions, stated: six minutes per note for a trained reviewer; about 84 notes a week; the reviewed sample is representative of the stream. In a safety setting the answer is almost always “high recall, and a human reads the flags”. Put the cost table in the model documentation — it is the justification an inspector will ask for.</w:t>
      </w:r>
    </w:p>
    <w:p>
      <w:pPr>
        <w:keepNext/>
        <w:spacing w:after="60" w:before="160"/>
      </w:pPr>
      <w:r>
        <w:rPr>
          <w:rFonts w:ascii="Calibri" w:hAnsi="Calibri"/>
          <w:b/>
          <w:i w:val="0"/>
          <w:color w:val="1E2761"/>
          <w:sz w:val="25"/>
        </w:rPr>
        <w:t>Behavioural probes</w:t>
      </w:r>
    </w:p>
    <w:p>
      <w:pPr>
        <w:spacing w:after="120" w:before="0"/>
      </w:pPr>
      <w:r>
        <w:rPr>
          <w:rFonts w:ascii="Calibri" w:hAnsi="Calibri"/>
          <w:b w:val="0"/>
          <w:i w:val="0"/>
          <w:color w:val="333333"/>
          <w:sz w:val="22"/>
        </w:rPr>
        <w:t>Five sentences the model must get right on every retrain — a positive, its negation, a general statement, an abbreviated paraphrase, a serious case:</w:t>
      </w:r>
    </w:p>
    <w:tbl>
      <w:tblPr>
        <w:tblStyle w:val="TableGrid"/>
        <w:tblW w:type="auto" w:w="0"/>
        <w:jc w:val="center"/>
        <w:tblLayout w:type="fixed"/>
        <w:tblLook w:firstColumn="1" w:firstRow="1" w:lastColumn="0" w:lastRow="0" w:noHBand="0" w:noVBand="1" w:val="04A0"/>
      </w:tblPr>
      <w:tblGrid>
        <w:gridCol w:w="8064"/>
        <w:gridCol w:w="1296"/>
      </w:tblGrid>
      <w:tr>
        <w:tc>
          <w:tcPr>
            <w:tcW w:type="dxa" w:w="8064"/>
            <w:shd w:val="clear" w:color="auto" w:fill="1E2761"/>
          </w:tcPr>
          <w:p>
            <w:pPr>
              <w:spacing w:after="0"/>
            </w:pPr>
            <w:r/>
            <w:r>
              <w:rPr>
                <w:rFonts w:ascii="Calibri" w:hAnsi="Calibri"/>
                <w:b/>
                <w:color w:val="FFFFFF"/>
                <w:sz w:val="19"/>
              </w:rPr>
              <w:t>Probe</w:t>
            </w:r>
          </w:p>
        </w:tc>
        <w:tc>
          <w:tcPr>
            <w:tcW w:type="dxa" w:w="1296"/>
            <w:shd w:val="clear" w:color="auto" w:fill="1E2761"/>
          </w:tcPr>
          <w:p>
            <w:pPr>
              <w:spacing w:after="0"/>
            </w:pPr>
            <w:r/>
            <w:r>
              <w:rPr>
                <w:rFonts w:ascii="Calibri" w:hAnsi="Calibri"/>
                <w:b/>
                <w:color w:val="FFFFFF"/>
                <w:sz w:val="19"/>
              </w:rPr>
              <w:t>p(AE)</w:t>
            </w:r>
          </w:p>
        </w:tc>
      </w:tr>
      <w:tr>
        <w:tc>
          <w:tcPr>
            <w:tcW w:type="dxa" w:w="8064"/>
          </w:tcPr>
          <w:p>
            <w:pPr>
              <w:spacing w:after="0"/>
            </w:pPr>
            <w:r/>
            <w:r>
              <w:rPr>
                <w:rFonts w:ascii="Calibri" w:hAnsi="Calibri"/>
                <w:b/>
                <w:color w:val="1E2761"/>
                <w:sz w:val="19"/>
              </w:rPr>
              <w:t>Patient developed nausea after starting GLUCOREN and stopped the drug.</w:t>
            </w:r>
          </w:p>
        </w:tc>
        <w:tc>
          <w:tcPr>
            <w:tcW w:type="dxa" w:w="1296"/>
          </w:tcPr>
          <w:p>
            <w:pPr>
              <w:spacing w:after="0"/>
            </w:pPr>
            <w:r/>
            <w:r>
              <w:rPr>
                <w:rFonts w:ascii="Calibri" w:hAnsi="Calibri"/>
                <w:color w:val="333333"/>
                <w:sz w:val="19"/>
              </w:rPr>
              <w:t>0.94</w:t>
            </w:r>
          </w:p>
        </w:tc>
      </w:tr>
      <w:tr>
        <w:tc>
          <w:tcPr>
            <w:tcW w:type="dxa" w:w="8064"/>
            <w:shd w:val="clear" w:color="auto" w:fill="F3F6FC"/>
          </w:tcPr>
          <w:p>
            <w:pPr>
              <w:spacing w:after="0"/>
            </w:pPr>
            <w:r/>
            <w:r>
              <w:rPr>
                <w:rFonts w:ascii="Calibri" w:hAnsi="Calibri"/>
                <w:b/>
                <w:color w:val="1E2761"/>
                <w:sz w:val="19"/>
              </w:rPr>
              <w:t>Patient had no nausea after starting GLUCOREN; tolerating well.</w:t>
            </w:r>
          </w:p>
        </w:tc>
        <w:tc>
          <w:tcPr>
            <w:tcW w:type="dxa" w:w="1296"/>
            <w:shd w:val="clear" w:color="auto" w:fill="F3F6FC"/>
          </w:tcPr>
          <w:p>
            <w:pPr>
              <w:spacing w:after="0"/>
            </w:pPr>
            <w:r/>
            <w:r>
              <w:rPr>
                <w:rFonts w:ascii="Calibri" w:hAnsi="Calibri"/>
                <w:color w:val="333333"/>
                <w:sz w:val="19"/>
              </w:rPr>
              <w:t>0.34</w:t>
            </w:r>
          </w:p>
        </w:tc>
      </w:tr>
      <w:tr>
        <w:tc>
          <w:tcPr>
            <w:tcW w:type="dxa" w:w="8064"/>
          </w:tcPr>
          <w:p>
            <w:pPr>
              <w:spacing w:after="0"/>
            </w:pPr>
            <w:r/>
            <w:r>
              <w:rPr>
                <w:rFonts w:ascii="Calibri" w:hAnsi="Calibri"/>
                <w:b/>
                <w:color w:val="1E2761"/>
                <w:sz w:val="19"/>
              </w:rPr>
              <w:t>HCP asked about the nausea rate in the label; no specific patient discussed.</w:t>
            </w:r>
          </w:p>
        </w:tc>
        <w:tc>
          <w:tcPr>
            <w:tcW w:type="dxa" w:w="1296"/>
          </w:tcPr>
          <w:p>
            <w:pPr>
              <w:spacing w:after="0"/>
            </w:pPr>
            <w:r/>
            <w:r>
              <w:rPr>
                <w:rFonts w:ascii="Calibri" w:hAnsi="Calibri"/>
                <w:color w:val="333333"/>
                <w:sz w:val="19"/>
              </w:rPr>
              <w:t>0.07</w:t>
            </w:r>
          </w:p>
        </w:tc>
      </w:tr>
      <w:tr>
        <w:tc>
          <w:tcPr>
            <w:tcW w:type="dxa" w:w="8064"/>
            <w:shd w:val="clear" w:color="auto" w:fill="F3F6FC"/>
          </w:tcPr>
          <w:p>
            <w:pPr>
              <w:spacing w:after="0"/>
            </w:pPr>
            <w:r/>
            <w:r>
              <w:rPr>
                <w:rFonts w:ascii="Calibri" w:hAnsi="Calibri"/>
                <w:b/>
                <w:color w:val="1E2761"/>
                <w:sz w:val="19"/>
              </w:rPr>
              <w:t>One of his pts had N/V within 2 wks of starting, dose reduced.</w:t>
            </w:r>
          </w:p>
        </w:tc>
        <w:tc>
          <w:tcPr>
            <w:tcW w:type="dxa" w:w="1296"/>
            <w:shd w:val="clear" w:color="auto" w:fill="F3F6FC"/>
          </w:tcPr>
          <w:p>
            <w:pPr>
              <w:spacing w:after="0"/>
            </w:pPr>
            <w:r/>
            <w:r>
              <w:rPr>
                <w:rFonts w:ascii="Calibri" w:hAnsi="Calibri"/>
                <w:color w:val="333333"/>
                <w:sz w:val="19"/>
              </w:rPr>
              <w:t>0.99</w:t>
            </w:r>
          </w:p>
        </w:tc>
      </w:tr>
      <w:tr>
        <w:tc>
          <w:tcPr>
            <w:tcW w:type="dxa" w:w="8064"/>
          </w:tcPr>
          <w:p>
            <w:pPr>
              <w:spacing w:after="0"/>
            </w:pPr>
            <w:r/>
            <w:r>
              <w:rPr>
                <w:rFonts w:ascii="Calibri" w:hAnsi="Calibri"/>
                <w:b/>
                <w:color w:val="1E2761"/>
                <w:sz w:val="19"/>
              </w:rPr>
              <w:t>A 61 y/o F was hospitalized with pancreatitis three weeks after starting GLUCOREN.</w:t>
            </w:r>
          </w:p>
        </w:tc>
        <w:tc>
          <w:tcPr>
            <w:tcW w:type="dxa" w:w="1296"/>
          </w:tcPr>
          <w:p>
            <w:pPr>
              <w:spacing w:after="0"/>
            </w:pPr>
            <w:r/>
            <w:r>
              <w:rPr>
                <w:rFonts w:ascii="Calibri" w:hAnsi="Calibri"/>
                <w:color w:val="333333"/>
                <w:sz w:val="19"/>
              </w:rPr>
              <w:t>0.87</w:t>
            </w:r>
          </w:p>
        </w:tc>
      </w:tr>
    </w:tbl>
    <w:p>
      <w:pPr>
        <w:spacing w:after="80"/>
      </w:pPr>
    </w:p>
    <w:p>
      <w:pPr>
        <w:keepNext/>
        <w:spacing w:after="80" w:before="240"/>
      </w:pPr>
      <w:r>
        <w:rPr>
          <w:rFonts w:ascii="Calibri" w:hAnsi="Calibri"/>
          <w:b/>
          <w:i w:val="0"/>
          <w:color w:val="1E2761"/>
          <w:sz w:val="30"/>
        </w:rPr>
        <w:t>6. Opening the model — interpretability</w:t>
      </w:r>
    </w:p>
    <w:p>
      <w:pPr>
        <w:spacing w:after="40"/>
        <w:ind w:left="504" w:right="288"/>
        <w:pBdr>
          <w:left w:val="single" w:sz="18" w:space="8" w:color="FF6B6B"/>
        </w:pBdr>
      </w:pPr>
      <w:r>
        <w:rPr>
          <w:rFonts w:ascii="Calibri" w:hAnsi="Calibri"/>
          <w:i/>
          <w:color w:val="333333"/>
          <w:sz w:val="21"/>
        </w:rPr>
        <w:t>If you cannot explain how your AI came to a decision, it does not belong in a compliance system.</w:t>
      </w:r>
    </w:p>
    <w:p>
      <w:pPr>
        <w:spacing w:after="160"/>
        <w:ind w:left="504"/>
      </w:pPr>
      <w:r>
        <w:rPr>
          <w:rFonts w:ascii="Calibri" w:hAnsi="Calibri"/>
          <w:color w:val="666666"/>
          <w:sz w:val="19"/>
        </w:rPr>
        <w:t>— IQVIA, A New, AI-Augmented Horizon for Safety and Pharmacovigilance: Expert Predictions for 2026</w:t>
      </w:r>
    </w:p>
    <w:tbl>
      <w:tblPr>
        <w:tblStyle w:val="TableGrid"/>
        <w:tblW w:type="auto" w:w="0"/>
        <w:jc w:val="center"/>
        <w:tblLayout w:type="fixed"/>
        <w:tblLook w:firstColumn="1" w:firstRow="1" w:lastColumn="0" w:lastRow="0" w:noHBand="0" w:noVBand="1" w:val="04A0"/>
      </w:tblPr>
      <w:tblGrid>
        <w:gridCol w:w="2592"/>
        <w:gridCol w:w="1440"/>
        <w:gridCol w:w="4320"/>
        <w:gridCol w:w="1584"/>
      </w:tblGrid>
      <w:tr>
        <w:tc>
          <w:tcPr>
            <w:tcW w:type="dxa" w:w="2592"/>
            <w:shd w:val="clear" w:color="auto" w:fill="1E2761"/>
          </w:tcPr>
          <w:p>
            <w:pPr>
              <w:spacing w:after="0"/>
            </w:pPr>
            <w:r/>
            <w:r>
              <w:rPr>
                <w:rFonts w:ascii="Calibri" w:hAnsi="Calibri"/>
                <w:b/>
                <w:color w:val="FFFFFF"/>
                <w:sz w:val="19"/>
              </w:rPr>
              <w:t>Question</w:t>
            </w:r>
          </w:p>
        </w:tc>
        <w:tc>
          <w:tcPr>
            <w:tcW w:type="dxa" w:w="1440"/>
            <w:shd w:val="clear" w:color="auto" w:fill="1E2761"/>
          </w:tcPr>
          <w:p>
            <w:pPr>
              <w:spacing w:after="0"/>
            </w:pPr>
            <w:r/>
            <w:r>
              <w:rPr>
                <w:rFonts w:ascii="Calibri" w:hAnsi="Calibri"/>
                <w:b/>
                <w:color w:val="FFFFFF"/>
                <w:sz w:val="19"/>
              </w:rPr>
              <w:t>Scope</w:t>
            </w:r>
          </w:p>
        </w:tc>
        <w:tc>
          <w:tcPr>
            <w:tcW w:type="dxa" w:w="4320"/>
            <w:shd w:val="clear" w:color="auto" w:fill="1E2761"/>
          </w:tcPr>
          <w:p>
            <w:pPr>
              <w:spacing w:after="0"/>
            </w:pPr>
            <w:r/>
            <w:r>
              <w:rPr>
                <w:rFonts w:ascii="Calibri" w:hAnsi="Calibri"/>
                <w:b/>
                <w:color w:val="FFFFFF"/>
                <w:sz w:val="19"/>
              </w:rPr>
              <w:t>Method</w:t>
            </w:r>
          </w:p>
        </w:tc>
        <w:tc>
          <w:tcPr>
            <w:tcW w:type="dxa" w:w="1584"/>
            <w:shd w:val="clear" w:color="auto" w:fill="1E2761"/>
          </w:tcPr>
          <w:p>
            <w:pPr>
              <w:spacing w:after="0"/>
            </w:pPr>
            <w:r/>
            <w:r>
              <w:rPr>
                <w:rFonts w:ascii="Calibri" w:hAnsi="Calibri"/>
                <w:b/>
                <w:color w:val="FFFFFF"/>
                <w:sz w:val="19"/>
              </w:rPr>
              <w:t>Reference</w:t>
            </w:r>
          </w:p>
        </w:tc>
      </w:tr>
      <w:tr>
        <w:tc>
          <w:tcPr>
            <w:tcW w:type="dxa" w:w="2592"/>
          </w:tcPr>
          <w:p>
            <w:pPr>
              <w:spacing w:after="0"/>
            </w:pPr>
            <w:r/>
            <w:r>
              <w:rPr>
                <w:rFonts w:ascii="Calibri" w:hAnsi="Calibri"/>
                <w:b/>
                <w:color w:val="1E2761"/>
                <w:sz w:val="19"/>
              </w:rPr>
              <w:t>What does the model think an AE looks like?</w:t>
            </w:r>
          </w:p>
        </w:tc>
        <w:tc>
          <w:tcPr>
            <w:tcW w:type="dxa" w:w="1440"/>
          </w:tcPr>
          <w:p>
            <w:pPr>
              <w:spacing w:after="0"/>
            </w:pPr>
            <w:r/>
            <w:r>
              <w:rPr>
                <w:rFonts w:ascii="Calibri" w:hAnsi="Calibri"/>
                <w:color w:val="333333"/>
                <w:sz w:val="19"/>
              </w:rPr>
              <w:t>global</w:t>
            </w:r>
          </w:p>
        </w:tc>
        <w:tc>
          <w:tcPr>
            <w:tcW w:type="dxa" w:w="4320"/>
          </w:tcPr>
          <w:p>
            <w:pPr>
              <w:spacing w:after="0"/>
            </w:pPr>
            <w:r/>
            <w:r>
              <w:rPr>
                <w:rFonts w:ascii="Calibri" w:hAnsi="Calibri"/>
                <w:color w:val="333333"/>
                <w:sz w:val="19"/>
              </w:rPr>
              <w:t>Coefficients of the linear model. Event words + case words on one side; negation and generality on the other.</w:t>
            </w:r>
          </w:p>
        </w:tc>
        <w:tc>
          <w:tcPr>
            <w:tcW w:type="dxa" w:w="1584"/>
          </w:tcPr>
          <w:p>
            <w:pPr>
              <w:spacing w:after="0"/>
            </w:pPr>
            <w:r/>
            <w:r>
              <w:rPr>
                <w:rFonts w:ascii="Calibri" w:hAnsi="Calibri"/>
                <w:color w:val="333333"/>
                <w:sz w:val="19"/>
              </w:rPr>
              <w:t>Molnar 2022, ch. 5</w:t>
            </w:r>
          </w:p>
        </w:tc>
      </w:tr>
      <w:tr>
        <w:tc>
          <w:tcPr>
            <w:tcW w:type="dxa" w:w="2592"/>
            <w:shd w:val="clear" w:color="auto" w:fill="F3F6FC"/>
          </w:tcPr>
          <w:p>
            <w:pPr>
              <w:spacing w:after="0"/>
            </w:pPr>
            <w:r/>
            <w:r>
              <w:rPr>
                <w:rFonts w:ascii="Calibri" w:hAnsi="Calibri"/>
                <w:b/>
                <w:color w:val="1E2761"/>
                <w:sz w:val="19"/>
              </w:rPr>
              <w:t>Why was this note flagged?</w:t>
            </w:r>
          </w:p>
        </w:tc>
        <w:tc>
          <w:tcPr>
            <w:tcW w:type="dxa" w:w="1440"/>
            <w:shd w:val="clear" w:color="auto" w:fill="F3F6FC"/>
          </w:tcPr>
          <w:p>
            <w:pPr>
              <w:spacing w:after="0"/>
            </w:pPr>
            <w:r/>
            <w:r>
              <w:rPr>
                <w:rFonts w:ascii="Calibri" w:hAnsi="Calibri"/>
                <w:color w:val="333333"/>
                <w:sz w:val="19"/>
              </w:rPr>
              <w:t>local, exact</w:t>
            </w:r>
          </w:p>
        </w:tc>
        <w:tc>
          <w:tcPr>
            <w:tcW w:type="dxa" w:w="4320"/>
            <w:shd w:val="clear" w:color="auto" w:fill="F3F6FC"/>
          </w:tcPr>
          <w:p>
            <w:pPr>
              <w:spacing w:after="0"/>
            </w:pPr>
            <w:r/>
            <w:r>
              <w:rPr>
                <w:rFonts w:ascii="Calibri" w:hAnsi="Calibri"/>
                <w:color w:val="333333"/>
                <w:sz w:val="19"/>
              </w:rPr>
              <w:t>Word contribution = coefficient × TF-IDF weight. Shown as highlighted spans in the note.</w:t>
            </w:r>
          </w:p>
        </w:tc>
        <w:tc>
          <w:tcPr>
            <w:tcW w:type="dxa" w:w="1584"/>
            <w:shd w:val="clear" w:color="auto" w:fill="F3F6FC"/>
          </w:tcPr>
          <w:p>
            <w:pPr>
              <w:spacing w:after="0"/>
            </w:pPr>
            <w:r/>
            <w:r>
              <w:rPr>
                <w:rFonts w:ascii="Calibri" w:hAnsi="Calibri"/>
                <w:color w:val="333333"/>
                <w:sz w:val="19"/>
              </w:rPr>
              <w:t>—</w:t>
            </w:r>
          </w:p>
        </w:tc>
      </w:tr>
      <w:tr>
        <w:tc>
          <w:tcPr>
            <w:tcW w:type="dxa" w:w="2592"/>
          </w:tcPr>
          <w:p>
            <w:pPr>
              <w:spacing w:after="0"/>
            </w:pPr>
            <w:r/>
            <w:r>
              <w:rPr>
                <w:rFonts w:ascii="Calibri" w:hAnsi="Calibri"/>
                <w:b/>
                <w:color w:val="1E2761"/>
                <w:sz w:val="19"/>
              </w:rPr>
              <w:t>Why — if the model were a black box?</w:t>
            </w:r>
          </w:p>
        </w:tc>
        <w:tc>
          <w:tcPr>
            <w:tcW w:type="dxa" w:w="1440"/>
          </w:tcPr>
          <w:p>
            <w:pPr>
              <w:spacing w:after="0"/>
            </w:pPr>
            <w:r/>
            <w:r>
              <w:rPr>
                <w:rFonts w:ascii="Calibri" w:hAnsi="Calibri"/>
                <w:color w:val="333333"/>
                <w:sz w:val="19"/>
              </w:rPr>
              <w:t>local, model-agnostic</w:t>
            </w:r>
          </w:p>
        </w:tc>
        <w:tc>
          <w:tcPr>
            <w:tcW w:type="dxa" w:w="4320"/>
          </w:tcPr>
          <w:p>
            <w:pPr>
              <w:spacing w:after="0"/>
            </w:pPr>
            <w:r/>
            <w:r>
              <w:rPr>
                <w:rFonts w:ascii="Calibri" w:hAnsi="Calibri"/>
                <w:color w:val="333333"/>
                <w:sz w:val="19"/>
              </w:rPr>
              <w:t>LIME: perturb the text (words on/off), query the model, weight neighbours by closeness, fit a local linear surrogate.</w:t>
            </w:r>
          </w:p>
        </w:tc>
        <w:tc>
          <w:tcPr>
            <w:tcW w:type="dxa" w:w="1584"/>
          </w:tcPr>
          <w:p>
            <w:pPr>
              <w:spacing w:after="0"/>
            </w:pPr>
            <w:r/>
            <w:r>
              <w:rPr>
                <w:rFonts w:ascii="Calibri" w:hAnsi="Calibri"/>
                <w:color w:val="333333"/>
                <w:sz w:val="19"/>
              </w:rPr>
              <w:t>Ribeiro, Singh &amp; Guestrin 2016</w:t>
            </w:r>
          </w:p>
        </w:tc>
      </w:tr>
      <w:tr>
        <w:tc>
          <w:tcPr>
            <w:tcW w:type="dxa" w:w="2592"/>
            <w:shd w:val="clear" w:color="auto" w:fill="F3F6FC"/>
          </w:tcPr>
          <w:p>
            <w:pPr>
              <w:spacing w:after="0"/>
            </w:pPr>
            <w:r/>
            <w:r>
              <w:rPr>
                <w:rFonts w:ascii="Calibri" w:hAnsi="Calibri"/>
                <w:b/>
                <w:color w:val="1E2761"/>
                <w:sz w:val="19"/>
              </w:rPr>
              <w:t>Same, with consistent credit</w:t>
            </w:r>
          </w:p>
        </w:tc>
        <w:tc>
          <w:tcPr>
            <w:tcW w:type="dxa" w:w="1440"/>
            <w:shd w:val="clear" w:color="auto" w:fill="F3F6FC"/>
          </w:tcPr>
          <w:p>
            <w:pPr>
              <w:spacing w:after="0"/>
            </w:pPr>
            <w:r/>
            <w:r>
              <w:rPr>
                <w:rFonts w:ascii="Calibri" w:hAnsi="Calibri"/>
                <w:color w:val="333333"/>
                <w:sz w:val="19"/>
              </w:rPr>
              <w:t>local + global</w:t>
            </w:r>
          </w:p>
        </w:tc>
        <w:tc>
          <w:tcPr>
            <w:tcW w:type="dxa" w:w="4320"/>
            <w:shd w:val="clear" w:color="auto" w:fill="F3F6FC"/>
          </w:tcPr>
          <w:p>
            <w:pPr>
              <w:spacing w:after="0"/>
            </w:pPr>
            <w:r/>
            <w:r>
              <w:rPr>
                <w:rFonts w:ascii="Calibri" w:hAnsi="Calibri"/>
                <w:color w:val="333333"/>
                <w:sz w:val="19"/>
              </w:rPr>
              <w:t>SHAP values (Shapley). Mean |SHAP| ranks by how often a term matters, not only how strongly.</w:t>
            </w:r>
          </w:p>
        </w:tc>
        <w:tc>
          <w:tcPr>
            <w:tcW w:type="dxa" w:w="1584"/>
            <w:shd w:val="clear" w:color="auto" w:fill="F3F6FC"/>
          </w:tcPr>
          <w:p>
            <w:pPr>
              <w:spacing w:after="0"/>
            </w:pPr>
            <w:r/>
            <w:r>
              <w:rPr>
                <w:rFonts w:ascii="Calibri" w:hAnsi="Calibri"/>
                <w:color w:val="333333"/>
                <w:sz w:val="19"/>
              </w:rPr>
              <w:t>Lundberg &amp; Lee 2017</w:t>
            </w:r>
          </w:p>
        </w:tc>
      </w:tr>
      <w:tr>
        <w:tc>
          <w:tcPr>
            <w:tcW w:type="dxa" w:w="2592"/>
          </w:tcPr>
          <w:p>
            <w:pPr>
              <w:spacing w:after="0"/>
            </w:pPr>
            <w:r/>
            <w:r>
              <w:rPr>
                <w:rFonts w:ascii="Calibri" w:hAnsi="Calibri"/>
                <w:b/>
                <w:color w:val="1E2761"/>
                <w:sz w:val="19"/>
              </w:rPr>
              <w:t>Which tokens, for a transformer?</w:t>
            </w:r>
          </w:p>
        </w:tc>
        <w:tc>
          <w:tcPr>
            <w:tcW w:type="dxa" w:w="1440"/>
          </w:tcPr>
          <w:p>
            <w:pPr>
              <w:spacing w:after="0"/>
            </w:pPr>
            <w:r/>
            <w:r>
              <w:rPr>
                <w:rFonts w:ascii="Calibri" w:hAnsi="Calibri"/>
                <w:color w:val="333333"/>
                <w:sz w:val="19"/>
              </w:rPr>
              <w:t>local</w:t>
            </w:r>
          </w:p>
        </w:tc>
        <w:tc>
          <w:tcPr>
            <w:tcW w:type="dxa" w:w="4320"/>
          </w:tcPr>
          <w:p>
            <w:pPr>
              <w:spacing w:after="0"/>
            </w:pPr>
            <w:r/>
            <w:r>
              <w:rPr>
                <w:rFonts w:ascii="Calibri" w:hAnsi="Calibri"/>
                <w:color w:val="333333"/>
                <w:sz w:val="19"/>
              </w:rPr>
              <w:t>Integrated Gradients. Attention weights are not reliable explanations by default.</w:t>
            </w:r>
          </w:p>
        </w:tc>
        <w:tc>
          <w:tcPr>
            <w:tcW w:type="dxa" w:w="1584"/>
          </w:tcPr>
          <w:p>
            <w:pPr>
              <w:spacing w:after="0"/>
            </w:pPr>
            <w:r/>
            <w:r>
              <w:rPr>
                <w:rFonts w:ascii="Calibri" w:hAnsi="Calibri"/>
                <w:color w:val="333333"/>
                <w:sz w:val="19"/>
              </w:rPr>
              <w:t>Sundararajan et al. 2017; Jain &amp; Wallace 2019; Wiegreffe &amp; Pinter 2019</w:t>
            </w:r>
          </w:p>
        </w:tc>
      </w:tr>
    </w:tbl>
    <w:p>
      <w:pPr>
        <w:spacing w:after="80"/>
      </w:pPr>
    </w:p>
    <w:p>
      <w:pPr>
        <w:spacing w:after="120" w:before="0"/>
      </w:pPr>
      <w:r>
        <w:rPr>
          <w:rFonts w:ascii="Calibri" w:hAnsi="Calibri"/>
          <w:b w:val="0"/>
          <w:i w:val="0"/>
          <w:color w:val="333333"/>
          <w:sz w:val="22"/>
        </w:rPr>
        <w:t>Rudin (2019) argues that for high-stakes decisions we should prefer models that are interpretable by construction over post-hoc explanations of black boxes. Tonight's detector is exactly that; LIME and SHAP are taught so that you can read them when a vendor's model is not. Three practical rules:</w:t>
      </w:r>
    </w:p>
    <w:p>
      <w:pPr>
        <w:pStyle w:val="ListBullet"/>
        <w:spacing w:after="60"/>
      </w:pPr>
      <w:r>
        <w:rPr>
          <w:rFonts w:ascii="Calibri" w:hAnsi="Calibri"/>
          <w:b w:val="0"/>
          <w:color w:val="333333"/>
          <w:sz w:val="22"/>
        </w:rPr>
        <w:t>Do the coefficient review before the PR curve. It is the cheapest model review you will ever run.</w:t>
      </w:r>
    </w:p>
    <w:p>
      <w:pPr>
        <w:pStyle w:val="ListBullet"/>
        <w:spacing w:after="60"/>
      </w:pPr>
      <w:r>
        <w:rPr>
          <w:rFonts w:ascii="Calibri" w:hAnsi="Calibri"/>
          <w:b w:val="0"/>
          <w:color w:val="333333"/>
          <w:sz w:val="22"/>
        </w:rPr>
        <w:t>Explanations are for finding problems. The leak check found payer names with large weights (“optumrx moved” +2.0, “cigna is” +1.8, “reports cigna” +1.8) — a shortcut from the training sample. The remedy is to mask entities (payer → “payer”) and re-fit, not to explain the shortcut away.</w:t>
      </w:r>
    </w:p>
    <w:p>
      <w:pPr>
        <w:pStyle w:val="ListBullet"/>
        <w:spacing w:after="60"/>
      </w:pPr>
      <w:r>
        <w:rPr>
          <w:rFonts w:ascii="Calibri" w:hAnsi="Calibri"/>
          <w:b w:val="0"/>
          <w:color w:val="333333"/>
          <w:sz w:val="22"/>
        </w:rPr>
        <w:t>Reviewers want the span, not the number. Build the explanation into the queue's user interface.</w:t>
      </w:r>
    </w:p>
    <w:p>
      <w:pPr>
        <w:keepNext/>
        <w:spacing w:after="60" w:before="160"/>
      </w:pPr>
      <w:r>
        <w:rPr>
          <w:rFonts w:ascii="Calibri" w:hAnsi="Calibri"/>
          <w:b/>
          <w:i w:val="0"/>
          <w:color w:val="1E2761"/>
          <w:sz w:val="25"/>
        </w:rPr>
        <w:t>LIME by hand (the whole idea)</w:t>
      </w:r>
    </w:p>
    <w:p>
      <w:pPr>
        <w:spacing w:after="120" w:before="0"/>
      </w:pPr>
      <w:r>
        <w:rPr>
          <w:rFonts w:ascii="Calibri" w:hAnsi="Calibri"/>
          <w:b w:val="0"/>
          <w:i w:val="0"/>
          <w:color w:val="333333"/>
          <w:sz w:val="22"/>
        </w:rPr>
        <w:t>For one note: (1) make 400 variants with words switched off at random; (2) ask the model for p(AE) on each; (3) weight variants by how close they are to the original; (4) fit a weighted ridge regression from the on/off mask to p; (5) read its coefficients as word effects. Two cautions: explanations are local and can change with the sampling seed, and variants with words removed are sentences nobody writes, so the model is being asked about inputs off its data manifold.</w:t>
      </w:r>
    </w:p>
    <w:p>
      <w:pPr>
        <w:keepNext/>
        <w:spacing w:after="80" w:before="240"/>
      </w:pPr>
      <w:r>
        <w:rPr>
          <w:rFonts w:ascii="Calibri" w:hAnsi="Calibri"/>
          <w:b/>
          <w:i w:val="0"/>
          <w:color w:val="1E2761"/>
          <w:sz w:val="30"/>
        </w:rPr>
        <w:t>7. From flag to case — rules after the model</w:t>
      </w:r>
    </w:p>
    <w:tbl>
      <w:tblPr>
        <w:tblStyle w:val="TableGrid"/>
        <w:tblW w:type="auto" w:w="0"/>
        <w:jc w:val="center"/>
        <w:tblLayout w:type="fixed"/>
        <w:tblLook w:firstColumn="1" w:firstRow="1" w:lastColumn="0" w:lastRow="0" w:noHBand="0" w:noVBand="1" w:val="04A0"/>
      </w:tblPr>
      <w:tblGrid>
        <w:gridCol w:w="2160"/>
        <w:gridCol w:w="4896"/>
        <w:gridCol w:w="2880"/>
      </w:tblGrid>
      <w:tr>
        <w:tc>
          <w:tcPr>
            <w:tcW w:type="dxa" w:w="2160"/>
            <w:shd w:val="clear" w:color="auto" w:fill="1E2761"/>
          </w:tcPr>
          <w:p>
            <w:pPr>
              <w:spacing w:after="0"/>
            </w:pPr>
            <w:r/>
            <w:r>
              <w:rPr>
                <w:rFonts w:ascii="Calibri" w:hAnsi="Calibri"/>
                <w:b/>
                <w:color w:val="FFFFFF"/>
                <w:sz w:val="19"/>
              </w:rPr>
              <w:t>Rule</w:t>
            </w:r>
          </w:p>
        </w:tc>
        <w:tc>
          <w:tcPr>
            <w:tcW w:type="dxa" w:w="4896"/>
            <w:shd w:val="clear" w:color="auto" w:fill="1E2761"/>
          </w:tcPr>
          <w:p>
            <w:pPr>
              <w:spacing w:after="0"/>
            </w:pPr>
            <w:r/>
            <w:r>
              <w:rPr>
                <w:rFonts w:ascii="Calibri" w:hAnsi="Calibri"/>
                <w:b/>
                <w:color w:val="FFFFFF"/>
                <w:sz w:val="19"/>
              </w:rPr>
              <w:t>How</w:t>
            </w:r>
          </w:p>
        </w:tc>
        <w:tc>
          <w:tcPr>
            <w:tcW w:type="dxa" w:w="2880"/>
            <w:shd w:val="clear" w:color="auto" w:fill="1E2761"/>
          </w:tcPr>
          <w:p>
            <w:pPr>
              <w:spacing w:after="0"/>
            </w:pPr>
            <w:r/>
            <w:r>
              <w:rPr>
                <w:rFonts w:ascii="Calibri" w:hAnsi="Calibri"/>
                <w:b/>
                <w:color w:val="FFFFFF"/>
                <w:sz w:val="19"/>
              </w:rPr>
              <w:t>Result on the stream</w:t>
            </w:r>
          </w:p>
        </w:tc>
      </w:tr>
      <w:tr>
        <w:tc>
          <w:tcPr>
            <w:tcW w:type="dxa" w:w="2160"/>
          </w:tcPr>
          <w:p>
            <w:pPr>
              <w:spacing w:after="0"/>
            </w:pPr>
            <w:r/>
            <w:r>
              <w:rPr>
                <w:rFonts w:ascii="Calibri" w:hAnsi="Calibri"/>
                <w:b/>
                <w:color w:val="1E2761"/>
                <w:sz w:val="19"/>
              </w:rPr>
              <w:t>Identifiable patient</w:t>
            </w:r>
          </w:p>
        </w:tc>
        <w:tc>
          <w:tcPr>
            <w:tcW w:type="dxa" w:w="4896"/>
          </w:tcPr>
          <w:p>
            <w:pPr>
              <w:spacing w:after="0"/>
            </w:pPr>
            <w:r/>
            <w:r>
              <w:rPr>
                <w:rFonts w:ascii="Calibri" w:hAnsi="Calibri"/>
                <w:color w:val="333333"/>
                <w:sz w:val="19"/>
              </w:rPr>
              <w:t>Regex: age/sex pattern, “one of his patients”, a name, an MRN</w:t>
            </w:r>
          </w:p>
        </w:tc>
        <w:tc>
          <w:tcPr>
            <w:tcW w:type="dxa" w:w="2880"/>
          </w:tcPr>
          <w:p>
            <w:pPr>
              <w:spacing w:after="0"/>
            </w:pPr>
            <w:r/>
            <w:r>
              <w:rPr>
                <w:rFonts w:ascii="Calibri" w:hAnsi="Calibri"/>
                <w:color w:val="333333"/>
                <w:sz w:val="19"/>
              </w:rPr>
              <w:t>458 flags → 418 valid cases</w:t>
            </w:r>
          </w:p>
        </w:tc>
      </w:tr>
      <w:tr>
        <w:tc>
          <w:tcPr>
            <w:tcW w:type="dxa" w:w="2160"/>
            <w:shd w:val="clear" w:color="auto" w:fill="F3F6FC"/>
          </w:tcPr>
          <w:p>
            <w:pPr>
              <w:spacing w:after="0"/>
            </w:pPr>
            <w:r/>
            <w:r>
              <w:rPr>
                <w:rFonts w:ascii="Calibri" w:hAnsi="Calibri"/>
                <w:b/>
                <w:color w:val="1E2761"/>
                <w:sz w:val="19"/>
              </w:rPr>
              <w:t>Seriousness</w:t>
            </w:r>
          </w:p>
        </w:tc>
        <w:tc>
          <w:tcPr>
            <w:tcW w:type="dxa" w:w="4896"/>
            <w:shd w:val="clear" w:color="auto" w:fill="F3F6FC"/>
          </w:tcPr>
          <w:p>
            <w:pPr>
              <w:spacing w:after="0"/>
            </w:pPr>
            <w:r/>
            <w:r>
              <w:rPr>
                <w:rFonts w:ascii="Calibri" w:hAnsi="Calibri"/>
                <w:color w:val="333333"/>
                <w:sz w:val="19"/>
              </w:rPr>
              <w:t>Lexicon terms: hospitalized, ER, ICU, died, pancreatitis, kidney injury, …</w:t>
            </w:r>
          </w:p>
        </w:tc>
        <w:tc>
          <w:tcPr>
            <w:tcW w:type="dxa" w:w="2880"/>
            <w:shd w:val="clear" w:color="auto" w:fill="F3F6FC"/>
          </w:tcPr>
          <w:p>
            <w:pPr>
              <w:spacing w:after="0"/>
            </w:pPr>
            <w:r/>
            <w:r>
              <w:rPr>
                <w:rFonts w:ascii="Calibri" w:hAnsi="Calibri"/>
                <w:color w:val="333333"/>
                <w:sz w:val="19"/>
              </w:rPr>
              <w:t>51 with serious terms</w:t>
            </w:r>
          </w:p>
        </w:tc>
      </w:tr>
      <w:tr>
        <w:tc>
          <w:tcPr>
            <w:tcW w:type="dxa" w:w="2160"/>
          </w:tcPr>
          <w:p>
            <w:pPr>
              <w:spacing w:after="0"/>
            </w:pPr>
            <w:r/>
            <w:r>
              <w:rPr>
                <w:rFonts w:ascii="Calibri" w:hAnsi="Calibri"/>
                <w:b/>
                <w:color w:val="1E2761"/>
                <w:sz w:val="19"/>
              </w:rPr>
              <w:t>Unexpected</w:t>
            </w:r>
          </w:p>
        </w:tc>
        <w:tc>
          <w:tcPr>
            <w:tcW w:type="dxa" w:w="4896"/>
          </w:tcPr>
          <w:p>
            <w:pPr>
              <w:spacing w:after="0"/>
            </w:pPr>
            <w:r/>
            <w:r>
              <w:rPr>
                <w:rFonts w:ascii="Calibri" w:hAnsi="Calibri"/>
                <w:color w:val="333333"/>
                <w:sz w:val="19"/>
              </w:rPr>
              <w:t>Lexicon column in_label = N</w:t>
            </w:r>
          </w:p>
        </w:tc>
        <w:tc>
          <w:tcPr>
            <w:tcW w:type="dxa" w:w="2880"/>
          </w:tcPr>
          <w:p>
            <w:pPr>
              <w:spacing w:after="0"/>
            </w:pPr>
            <w:r/>
            <w:r>
              <w:rPr>
                <w:rFonts w:ascii="Calibri" w:hAnsi="Calibri"/>
                <w:color w:val="333333"/>
                <w:sz w:val="19"/>
              </w:rPr>
              <w:t>—</w:t>
            </w:r>
          </w:p>
        </w:tc>
      </w:tr>
      <w:tr>
        <w:tc>
          <w:tcPr>
            <w:tcW w:type="dxa" w:w="2160"/>
            <w:shd w:val="clear" w:color="auto" w:fill="F3F6FC"/>
          </w:tcPr>
          <w:p>
            <w:pPr>
              <w:spacing w:after="0"/>
            </w:pPr>
            <w:r/>
            <w:r>
              <w:rPr>
                <w:rFonts w:ascii="Calibri" w:hAnsi="Calibri"/>
                <w:b/>
                <w:color w:val="1E2761"/>
                <w:sz w:val="19"/>
              </w:rPr>
              <w:t>15-day candidate</w:t>
            </w:r>
          </w:p>
        </w:tc>
        <w:tc>
          <w:tcPr>
            <w:tcW w:type="dxa" w:w="4896"/>
            <w:shd w:val="clear" w:color="auto" w:fill="F3F6FC"/>
          </w:tcPr>
          <w:p>
            <w:pPr>
              <w:spacing w:after="0"/>
            </w:pPr>
            <w:r/>
            <w:r>
              <w:rPr>
                <w:rFonts w:ascii="Calibri" w:hAnsi="Calibri"/>
                <w:color w:val="333333"/>
                <w:sz w:val="19"/>
              </w:rPr>
              <w:t>valid ∧ serious ∧ unexpected; due = awareness + 15 days</w:t>
            </w:r>
          </w:p>
        </w:tc>
        <w:tc>
          <w:tcPr>
            <w:tcW w:type="dxa" w:w="2880"/>
            <w:shd w:val="clear" w:color="auto" w:fill="F3F6FC"/>
          </w:tcPr>
          <w:p>
            <w:pPr>
              <w:spacing w:after="0"/>
            </w:pPr>
            <w:r/>
            <w:r>
              <w:rPr>
                <w:rFonts w:ascii="Calibri" w:hAnsi="Calibri"/>
                <w:color w:val="333333"/>
                <w:sz w:val="19"/>
              </w:rPr>
              <w:t>50 candidates (51 true cases in the stream)</w:t>
            </w:r>
          </w:p>
        </w:tc>
      </w:tr>
      <w:tr>
        <w:tc>
          <w:tcPr>
            <w:tcW w:type="dxa" w:w="2160"/>
          </w:tcPr>
          <w:p>
            <w:pPr>
              <w:spacing w:after="0"/>
            </w:pPr>
            <w:r/>
            <w:r>
              <w:rPr>
                <w:rFonts w:ascii="Calibri" w:hAnsi="Calibri"/>
                <w:b/>
                <w:color w:val="1E2761"/>
                <w:sz w:val="19"/>
              </w:rPr>
              <w:t>PHI in note</w:t>
            </w:r>
          </w:p>
        </w:tc>
        <w:tc>
          <w:tcPr>
            <w:tcW w:type="dxa" w:w="4896"/>
          </w:tcPr>
          <w:p>
            <w:pPr>
              <w:spacing w:after="0"/>
            </w:pPr>
            <w:r/>
            <w:r>
              <w:rPr>
                <w:rFonts w:ascii="Calibri" w:hAnsi="Calibri"/>
                <w:color w:val="333333"/>
                <w:sz w:val="19"/>
              </w:rPr>
              <w:t>DOB, MRN, Mr./Mrs. + name, “patient First Last”</w:t>
            </w:r>
          </w:p>
        </w:tc>
        <w:tc>
          <w:tcPr>
            <w:tcW w:type="dxa" w:w="2880"/>
          </w:tcPr>
          <w:p>
            <w:pPr>
              <w:spacing w:after="0"/>
            </w:pPr>
            <w:r/>
            <w:r>
              <w:rPr>
                <w:rFonts w:ascii="Calibri" w:hAnsi="Calibri"/>
                <w:color w:val="333333"/>
                <w:sz w:val="19"/>
              </w:rPr>
              <w:t>28 notes — scrub before storage or any external model</w:t>
            </w:r>
          </w:p>
        </w:tc>
      </w:tr>
    </w:tbl>
    <w:p>
      <w:pPr>
        <w:spacing w:after="80"/>
      </w:pPr>
    </w:p>
    <w:p>
      <w:pPr>
        <w:spacing w:after="120" w:before="0"/>
      </w:pPr>
      <w:r>
        <w:rPr>
          <w:rFonts w:ascii="Calibri" w:hAnsi="Calibri"/>
          <w:b w:val="0"/>
          <w:i w:val="0"/>
          <w:color w:val="333333"/>
          <w:sz w:val="22"/>
        </w:rPr>
        <w:t>The queue runs at about 9 flags a week (0.9 reviewer-hours). Reps are trained to report AEs within one business day; the detector is a safety net on the CRM, not a replacement for the SOP — and when it surfaces a case the clock has been running since the call date. Off-label mentions (unsolicited questions about unapproved uses) are documented and routed to Medical Information; the rep must not engage. The same classifier family detects them — try it.</w:t>
      </w:r>
    </w:p>
    <w:p>
      <w:pPr>
        <w:keepNext/>
        <w:spacing w:after="80" w:before="240"/>
      </w:pPr>
      <w:r>
        <w:rPr>
          <w:rFonts w:ascii="Calibri" w:hAnsi="Calibri"/>
          <w:b/>
          <w:i w:val="0"/>
          <w:color w:val="1E2761"/>
          <w:sz w:val="30"/>
        </w:rPr>
        <w:t>8. The rest of the toolbox</w:t>
      </w:r>
    </w:p>
    <w:p>
      <w:pPr>
        <w:keepNext/>
        <w:spacing w:after="60" w:before="160"/>
      </w:pPr>
      <w:r>
        <w:rPr>
          <w:rFonts w:ascii="Calibri" w:hAnsi="Calibri"/>
          <w:b/>
          <w:i w:val="0"/>
          <w:color w:val="1E2761"/>
          <w:sz w:val="25"/>
        </w:rPr>
        <w:t>What the field hears — topic modeling</w:t>
      </w:r>
    </w:p>
    <w:p>
      <w:pPr>
        <w:spacing w:after="120" w:before="0"/>
      </w:pPr>
      <w:r>
        <w:rPr>
          <w:rFonts w:ascii="Calibri" w:hAnsi="Calibri"/>
          <w:b w:val="0"/>
          <w:i w:val="0"/>
          <w:color w:val="333333"/>
          <w:sz w:val="22"/>
        </w:rPr>
        <w:t>Non-negative matrix factorization (Lee &amp; Seung 1999) on TF-IDF with a domain stop-word list, after concept normalization (every lexicon hit → one token). Topics are word clusters, not business themes: the model separates “copay card” from “prior auth” from “Medicare gap”. Roll them up, name them yourself, and — where you already have a supervised detector — assign that theme with the detector (safety here). LDA (Blei, Ng &amp; Jordan 2003) is the probabilistic classic; BERTopic (Grootendorst 2022) clusters sentence embeddings and usually gives cleaner themes on short notes.</w:t>
      </w:r>
    </w:p>
    <w:tbl>
      <w:tblPr>
        <w:tblStyle w:val="TableGrid"/>
        <w:tblW w:type="auto" w:w="0"/>
        <w:jc w:val="center"/>
        <w:tblLayout w:type="fixed"/>
        <w:tblLook w:firstColumn="1" w:firstRow="1" w:lastColumn="0" w:lastRow="0" w:noHBand="0" w:noVBand="1" w:val="04A0"/>
      </w:tblPr>
      <w:tblGrid>
        <w:gridCol w:w="3744"/>
        <w:gridCol w:w="1296"/>
        <w:gridCol w:w="1872"/>
        <w:gridCol w:w="1728"/>
      </w:tblGrid>
      <w:tr>
        <w:tc>
          <w:tcPr>
            <w:tcW w:type="dxa" w:w="3744"/>
            <w:shd w:val="clear" w:color="auto" w:fill="1E2761"/>
          </w:tcPr>
          <w:p>
            <w:pPr>
              <w:spacing w:after="0"/>
            </w:pPr>
            <w:r/>
            <w:r>
              <w:rPr>
                <w:rFonts w:ascii="Calibri" w:hAnsi="Calibri"/>
                <w:b/>
                <w:color w:val="FFFFFF"/>
                <w:sz w:val="19"/>
              </w:rPr>
              <w:t>Theme</w:t>
            </w:r>
          </w:p>
        </w:tc>
        <w:tc>
          <w:tcPr>
            <w:tcW w:type="dxa" w:w="1296"/>
            <w:shd w:val="clear" w:color="auto" w:fill="1E2761"/>
          </w:tcPr>
          <w:p>
            <w:pPr>
              <w:spacing w:after="0"/>
            </w:pPr>
            <w:r/>
            <w:r>
              <w:rPr>
                <w:rFonts w:ascii="Calibri" w:hAnsi="Calibri"/>
                <w:b/>
                <w:color w:val="FFFFFF"/>
                <w:sz w:val="19"/>
              </w:rPr>
              <w:t>Notes</w:t>
            </w:r>
          </w:p>
        </w:tc>
        <w:tc>
          <w:tcPr>
            <w:tcW w:type="dxa" w:w="1872"/>
            <w:shd w:val="clear" w:color="auto" w:fill="1E2761"/>
          </w:tcPr>
          <w:p>
            <w:pPr>
              <w:spacing w:after="0"/>
            </w:pPr>
            <w:r/>
            <w:r>
              <w:rPr>
                <w:rFonts w:ascii="Calibri" w:hAnsi="Calibri"/>
                <w:b/>
                <w:color w:val="FFFFFF"/>
                <w:sz w:val="19"/>
              </w:rPr>
              <w:t>Negative tone</w:t>
            </w:r>
          </w:p>
        </w:tc>
        <w:tc>
          <w:tcPr>
            <w:tcW w:type="dxa" w:w="1728"/>
            <w:shd w:val="clear" w:color="auto" w:fill="1E2761"/>
          </w:tcPr>
          <w:p>
            <w:pPr>
              <w:spacing w:after="0"/>
            </w:pPr>
            <w:r/>
            <w:r>
              <w:rPr>
                <w:rFonts w:ascii="Calibri" w:hAnsi="Calibri"/>
                <w:b/>
                <w:color w:val="FFFFFF"/>
                <w:sz w:val="19"/>
              </w:rPr>
              <w:t>AE-flag rate</w:t>
            </w:r>
          </w:p>
        </w:tc>
      </w:tr>
      <w:tr>
        <w:tc>
          <w:tcPr>
            <w:tcW w:type="dxa" w:w="3744"/>
          </w:tcPr>
          <w:p>
            <w:pPr>
              <w:spacing w:after="0"/>
            </w:pPr>
            <w:r/>
            <w:r>
              <w:rPr>
                <w:rFonts w:ascii="Calibri" w:hAnsi="Calibri"/>
                <w:b/>
                <w:color w:val="1E2761"/>
                <w:sz w:val="19"/>
              </w:rPr>
              <w:t>Access / payer</w:t>
            </w:r>
          </w:p>
        </w:tc>
        <w:tc>
          <w:tcPr>
            <w:tcW w:type="dxa" w:w="1296"/>
          </w:tcPr>
          <w:p>
            <w:pPr>
              <w:spacing w:after="0"/>
            </w:pPr>
            <w:r/>
            <w:r>
              <w:rPr>
                <w:rFonts w:ascii="Calibri" w:hAnsi="Calibri"/>
                <w:color w:val="333333"/>
                <w:sz w:val="19"/>
              </w:rPr>
              <w:t>945</w:t>
            </w:r>
          </w:p>
        </w:tc>
        <w:tc>
          <w:tcPr>
            <w:tcW w:type="dxa" w:w="1872"/>
          </w:tcPr>
          <w:p>
            <w:pPr>
              <w:spacing w:after="0"/>
            </w:pPr>
            <w:r/>
            <w:r>
              <w:rPr>
                <w:rFonts w:ascii="Calibri" w:hAnsi="Calibri"/>
                <w:color w:val="333333"/>
                <w:sz w:val="19"/>
              </w:rPr>
              <w:t>37%</w:t>
            </w:r>
          </w:p>
        </w:tc>
        <w:tc>
          <w:tcPr>
            <w:tcW w:type="dxa" w:w="1728"/>
          </w:tcPr>
          <w:p>
            <w:pPr>
              <w:spacing w:after="0"/>
            </w:pPr>
            <w:r/>
            <w:r>
              <w:rPr>
                <w:rFonts w:ascii="Calibri" w:hAnsi="Calibri"/>
                <w:color w:val="333333"/>
                <w:sz w:val="19"/>
              </w:rPr>
              <w:t>0%</w:t>
            </w:r>
          </w:p>
        </w:tc>
      </w:tr>
      <w:tr>
        <w:tc>
          <w:tcPr>
            <w:tcW w:type="dxa" w:w="3744"/>
            <w:shd w:val="clear" w:color="auto" w:fill="F3F6FC"/>
          </w:tcPr>
          <w:p>
            <w:pPr>
              <w:spacing w:after="0"/>
            </w:pPr>
            <w:r/>
            <w:r>
              <w:rPr>
                <w:rFonts w:ascii="Calibri" w:hAnsi="Calibri"/>
                <w:b/>
                <w:color w:val="1E2761"/>
                <w:sz w:val="19"/>
              </w:rPr>
              <w:t>Safety / tolerability</w:t>
            </w:r>
          </w:p>
        </w:tc>
        <w:tc>
          <w:tcPr>
            <w:tcW w:type="dxa" w:w="1296"/>
            <w:shd w:val="clear" w:color="auto" w:fill="F3F6FC"/>
          </w:tcPr>
          <w:p>
            <w:pPr>
              <w:spacing w:after="0"/>
            </w:pPr>
            <w:r/>
            <w:r>
              <w:rPr>
                <w:rFonts w:ascii="Calibri" w:hAnsi="Calibri"/>
                <w:color w:val="333333"/>
                <w:sz w:val="19"/>
              </w:rPr>
              <w:t>874</w:t>
            </w:r>
          </w:p>
        </w:tc>
        <w:tc>
          <w:tcPr>
            <w:tcW w:type="dxa" w:w="1872"/>
            <w:shd w:val="clear" w:color="auto" w:fill="F3F6FC"/>
          </w:tcPr>
          <w:p>
            <w:pPr>
              <w:spacing w:after="0"/>
            </w:pPr>
            <w:r/>
            <w:r>
              <w:rPr>
                <w:rFonts w:ascii="Calibri" w:hAnsi="Calibri"/>
                <w:color w:val="333333"/>
                <w:sz w:val="19"/>
              </w:rPr>
              <w:t>34%</w:t>
            </w:r>
          </w:p>
        </w:tc>
        <w:tc>
          <w:tcPr>
            <w:tcW w:type="dxa" w:w="1728"/>
            <w:shd w:val="clear" w:color="auto" w:fill="F3F6FC"/>
          </w:tcPr>
          <w:p>
            <w:pPr>
              <w:spacing w:after="0"/>
            </w:pPr>
            <w:r/>
            <w:r>
              <w:rPr>
                <w:rFonts w:ascii="Calibri" w:hAnsi="Calibri"/>
                <w:color w:val="333333"/>
                <w:sz w:val="19"/>
              </w:rPr>
              <w:t>52%</w:t>
            </w:r>
          </w:p>
        </w:tc>
      </w:tr>
      <w:tr>
        <w:tc>
          <w:tcPr>
            <w:tcW w:type="dxa" w:w="3744"/>
          </w:tcPr>
          <w:p>
            <w:pPr>
              <w:spacing w:after="0"/>
            </w:pPr>
            <w:r/>
            <w:r>
              <w:rPr>
                <w:rFonts w:ascii="Calibri" w:hAnsi="Calibri"/>
                <w:b/>
                <w:color w:val="1E2761"/>
                <w:sz w:val="19"/>
              </w:rPr>
              <w:t>Samples / logistics</w:t>
            </w:r>
          </w:p>
        </w:tc>
        <w:tc>
          <w:tcPr>
            <w:tcW w:type="dxa" w:w="1296"/>
          </w:tcPr>
          <w:p>
            <w:pPr>
              <w:spacing w:after="0"/>
            </w:pPr>
            <w:r/>
            <w:r>
              <w:rPr>
                <w:rFonts w:ascii="Calibri" w:hAnsi="Calibri"/>
                <w:color w:val="333333"/>
                <w:sz w:val="19"/>
              </w:rPr>
              <w:t>586</w:t>
            </w:r>
          </w:p>
        </w:tc>
        <w:tc>
          <w:tcPr>
            <w:tcW w:type="dxa" w:w="1872"/>
          </w:tcPr>
          <w:p>
            <w:pPr>
              <w:spacing w:after="0"/>
            </w:pPr>
            <w:r/>
            <w:r>
              <w:rPr>
                <w:rFonts w:ascii="Calibri" w:hAnsi="Calibri"/>
                <w:color w:val="333333"/>
                <w:sz w:val="19"/>
              </w:rPr>
              <w:t>4%</w:t>
            </w:r>
          </w:p>
        </w:tc>
        <w:tc>
          <w:tcPr>
            <w:tcW w:type="dxa" w:w="1728"/>
          </w:tcPr>
          <w:p>
            <w:pPr>
              <w:spacing w:after="0"/>
            </w:pPr>
            <w:r/>
            <w:r>
              <w:rPr>
                <w:rFonts w:ascii="Calibri" w:hAnsi="Calibri"/>
                <w:color w:val="333333"/>
                <w:sz w:val="19"/>
              </w:rPr>
              <w:t>0%</w:t>
            </w:r>
          </w:p>
        </w:tc>
      </w:tr>
      <w:tr>
        <w:tc>
          <w:tcPr>
            <w:tcW w:type="dxa" w:w="3744"/>
            <w:shd w:val="clear" w:color="auto" w:fill="F3F6FC"/>
          </w:tcPr>
          <w:p>
            <w:pPr>
              <w:spacing w:after="0"/>
            </w:pPr>
            <w:r/>
            <w:r>
              <w:rPr>
                <w:rFonts w:ascii="Calibri" w:hAnsi="Calibri"/>
                <w:b/>
                <w:color w:val="1E2761"/>
                <w:sz w:val="19"/>
              </w:rPr>
              <w:t>No-see / brief contact</w:t>
            </w:r>
          </w:p>
        </w:tc>
        <w:tc>
          <w:tcPr>
            <w:tcW w:type="dxa" w:w="1296"/>
            <w:shd w:val="clear" w:color="auto" w:fill="F3F6FC"/>
          </w:tcPr>
          <w:p>
            <w:pPr>
              <w:spacing w:after="0"/>
            </w:pPr>
            <w:r/>
            <w:r>
              <w:rPr>
                <w:rFonts w:ascii="Calibri" w:hAnsi="Calibri"/>
                <w:color w:val="333333"/>
                <w:sz w:val="19"/>
              </w:rPr>
              <w:t>508</w:t>
            </w:r>
          </w:p>
        </w:tc>
        <w:tc>
          <w:tcPr>
            <w:tcW w:type="dxa" w:w="1872"/>
            <w:shd w:val="clear" w:color="auto" w:fill="F3F6FC"/>
          </w:tcPr>
          <w:p>
            <w:pPr>
              <w:spacing w:after="0"/>
            </w:pPr>
            <w:r/>
            <w:r>
              <w:rPr>
                <w:rFonts w:ascii="Calibri" w:hAnsi="Calibri"/>
                <w:color w:val="333333"/>
                <w:sz w:val="19"/>
              </w:rPr>
              <w:t>24%</w:t>
            </w:r>
          </w:p>
        </w:tc>
        <w:tc>
          <w:tcPr>
            <w:tcW w:type="dxa" w:w="1728"/>
            <w:shd w:val="clear" w:color="auto" w:fill="F3F6FC"/>
          </w:tcPr>
          <w:p>
            <w:pPr>
              <w:spacing w:after="0"/>
            </w:pPr>
            <w:r/>
            <w:r>
              <w:rPr>
                <w:rFonts w:ascii="Calibri" w:hAnsi="Calibri"/>
                <w:color w:val="333333"/>
                <w:sz w:val="19"/>
              </w:rPr>
              <w:t>0%</w:t>
            </w:r>
          </w:p>
        </w:tc>
      </w:tr>
      <w:tr>
        <w:tc>
          <w:tcPr>
            <w:tcW w:type="dxa" w:w="3744"/>
          </w:tcPr>
          <w:p>
            <w:pPr>
              <w:spacing w:after="0"/>
            </w:pPr>
            <w:r/>
            <w:r>
              <w:rPr>
                <w:rFonts w:ascii="Calibri" w:hAnsi="Calibri"/>
                <w:b/>
                <w:color w:val="1E2761"/>
                <w:sz w:val="19"/>
              </w:rPr>
              <w:t>Competitor</w:t>
            </w:r>
          </w:p>
        </w:tc>
        <w:tc>
          <w:tcPr>
            <w:tcW w:type="dxa" w:w="1296"/>
          </w:tcPr>
          <w:p>
            <w:pPr>
              <w:spacing w:after="0"/>
            </w:pPr>
            <w:r/>
            <w:r>
              <w:rPr>
                <w:rFonts w:ascii="Calibri" w:hAnsi="Calibri"/>
                <w:color w:val="333333"/>
                <w:sz w:val="19"/>
              </w:rPr>
              <w:t>476</w:t>
            </w:r>
          </w:p>
        </w:tc>
        <w:tc>
          <w:tcPr>
            <w:tcW w:type="dxa" w:w="1872"/>
          </w:tcPr>
          <w:p>
            <w:pPr>
              <w:spacing w:after="0"/>
            </w:pPr>
            <w:r/>
            <w:r>
              <w:rPr>
                <w:rFonts w:ascii="Calibri" w:hAnsi="Calibri"/>
                <w:color w:val="333333"/>
                <w:sz w:val="19"/>
              </w:rPr>
              <w:t>30%</w:t>
            </w:r>
          </w:p>
        </w:tc>
        <w:tc>
          <w:tcPr>
            <w:tcW w:type="dxa" w:w="1728"/>
          </w:tcPr>
          <w:p>
            <w:pPr>
              <w:spacing w:after="0"/>
            </w:pPr>
            <w:r/>
            <w:r>
              <w:rPr>
                <w:rFonts w:ascii="Calibri" w:hAnsi="Calibri"/>
                <w:color w:val="333333"/>
                <w:sz w:val="19"/>
              </w:rPr>
              <w:t>0%</w:t>
            </w:r>
          </w:p>
        </w:tc>
      </w:tr>
      <w:tr>
        <w:tc>
          <w:tcPr>
            <w:tcW w:type="dxa" w:w="3744"/>
            <w:shd w:val="clear" w:color="auto" w:fill="F3F6FC"/>
          </w:tcPr>
          <w:p>
            <w:pPr>
              <w:spacing w:after="0"/>
            </w:pPr>
            <w:r/>
            <w:r>
              <w:rPr>
                <w:rFonts w:ascii="Calibri" w:hAnsi="Calibri"/>
                <w:b/>
                <w:color w:val="1E2761"/>
                <w:sz w:val="19"/>
              </w:rPr>
              <w:t>Dosing &amp; combinations</w:t>
            </w:r>
          </w:p>
        </w:tc>
        <w:tc>
          <w:tcPr>
            <w:tcW w:type="dxa" w:w="1296"/>
            <w:shd w:val="clear" w:color="auto" w:fill="F3F6FC"/>
          </w:tcPr>
          <w:p>
            <w:pPr>
              <w:spacing w:after="0"/>
            </w:pPr>
            <w:r/>
            <w:r>
              <w:rPr>
                <w:rFonts w:ascii="Calibri" w:hAnsi="Calibri"/>
                <w:color w:val="333333"/>
                <w:sz w:val="19"/>
              </w:rPr>
              <w:t>423</w:t>
            </w:r>
          </w:p>
        </w:tc>
        <w:tc>
          <w:tcPr>
            <w:tcW w:type="dxa" w:w="1872"/>
            <w:shd w:val="clear" w:color="auto" w:fill="F3F6FC"/>
          </w:tcPr>
          <w:p>
            <w:pPr>
              <w:spacing w:after="0"/>
            </w:pPr>
            <w:r/>
            <w:r>
              <w:rPr>
                <w:rFonts w:ascii="Calibri" w:hAnsi="Calibri"/>
                <w:color w:val="333333"/>
                <w:sz w:val="19"/>
              </w:rPr>
              <w:t>21%</w:t>
            </w:r>
          </w:p>
        </w:tc>
        <w:tc>
          <w:tcPr>
            <w:tcW w:type="dxa" w:w="1728"/>
            <w:shd w:val="clear" w:color="auto" w:fill="F3F6FC"/>
          </w:tcPr>
          <w:p>
            <w:pPr>
              <w:spacing w:after="0"/>
            </w:pPr>
            <w:r/>
            <w:r>
              <w:rPr>
                <w:rFonts w:ascii="Calibri" w:hAnsi="Calibri"/>
                <w:color w:val="333333"/>
                <w:sz w:val="19"/>
              </w:rPr>
              <w:t>0%</w:t>
            </w:r>
          </w:p>
        </w:tc>
      </w:tr>
      <w:tr>
        <w:tc>
          <w:tcPr>
            <w:tcW w:type="dxa" w:w="3744"/>
          </w:tcPr>
          <w:p>
            <w:pPr>
              <w:spacing w:after="0"/>
            </w:pPr>
            <w:r/>
            <w:r>
              <w:rPr>
                <w:rFonts w:ascii="Calibri" w:hAnsi="Calibri"/>
                <w:b/>
                <w:color w:val="1E2761"/>
                <w:sz w:val="19"/>
              </w:rPr>
              <w:t>Education / MSL</w:t>
            </w:r>
          </w:p>
        </w:tc>
        <w:tc>
          <w:tcPr>
            <w:tcW w:type="dxa" w:w="1296"/>
          </w:tcPr>
          <w:p>
            <w:pPr>
              <w:spacing w:after="0"/>
            </w:pPr>
            <w:r/>
            <w:r>
              <w:rPr>
                <w:rFonts w:ascii="Calibri" w:hAnsi="Calibri"/>
                <w:color w:val="333333"/>
                <w:sz w:val="19"/>
              </w:rPr>
              <w:t>388</w:t>
            </w:r>
          </w:p>
        </w:tc>
        <w:tc>
          <w:tcPr>
            <w:tcW w:type="dxa" w:w="1872"/>
          </w:tcPr>
          <w:p>
            <w:pPr>
              <w:spacing w:after="0"/>
            </w:pPr>
            <w:r/>
            <w:r>
              <w:rPr>
                <w:rFonts w:ascii="Calibri" w:hAnsi="Calibri"/>
                <w:color w:val="333333"/>
                <w:sz w:val="19"/>
              </w:rPr>
              <w:t>1%</w:t>
            </w:r>
          </w:p>
        </w:tc>
        <w:tc>
          <w:tcPr>
            <w:tcW w:type="dxa" w:w="1728"/>
          </w:tcPr>
          <w:p>
            <w:pPr>
              <w:spacing w:after="0"/>
            </w:pPr>
            <w:r/>
            <w:r>
              <w:rPr>
                <w:rFonts w:ascii="Calibri" w:hAnsi="Calibri"/>
                <w:color w:val="333333"/>
                <w:sz w:val="19"/>
              </w:rPr>
              <w:t>0%</w:t>
            </w:r>
          </w:p>
        </w:tc>
      </w:tr>
    </w:tbl>
    <w:p>
      <w:pPr>
        <w:spacing w:after="80"/>
      </w:pPr>
    </w:p>
    <w:p>
      <w:pPr>
        <w:spacing w:after="120" w:before="0"/>
      </w:pPr>
      <w:r>
        <w:rPr>
          <w:rFonts w:ascii="Calibri" w:hAnsi="Calibri"/>
          <w:b w:val="0"/>
          <w:i w:val="0"/>
          <w:color w:val="333333"/>
          <w:sz w:val="22"/>
        </w:rPr>
        <w:t>Safety share of notes: 18% before June 2026, 25% after — the trend the brand team sees here first.</w:t>
      </w:r>
    </w:p>
    <w:p>
      <w:pPr>
        <w:keepNext/>
        <w:spacing w:after="60" w:before="160"/>
      </w:pPr>
      <w:r>
        <w:rPr>
          <w:rFonts w:ascii="Calibri" w:hAnsi="Calibri"/>
          <w:b/>
          <w:i w:val="0"/>
          <w:color w:val="1E2761"/>
          <w:sz w:val="25"/>
        </w:rPr>
        <w:t>Sentiment</w:t>
      </w:r>
    </w:p>
    <w:p>
      <w:pPr>
        <w:spacing w:after="120" w:before="0"/>
      </w:pPr>
      <w:r>
        <w:rPr>
          <w:rFonts w:ascii="Calibri" w:hAnsi="Calibri"/>
          <w:b w:val="0"/>
          <w:i w:val="0"/>
          <w:color w:val="333333"/>
          <w:sz w:val="22"/>
        </w:rPr>
        <w:t>A transparent word-list score (VADER-style, Hutto &amp; Gilbert 2014) is good enough for a slope. When the decision depends on a level, train a classifier on your own labelled verbatims.</w:t>
      </w:r>
    </w:p>
    <w:p>
      <w:pPr>
        <w:keepNext/>
        <w:spacing w:after="60" w:before="160"/>
      </w:pPr>
      <w:r>
        <w:rPr>
          <w:rFonts w:ascii="Calibri" w:hAnsi="Calibri"/>
          <w:b/>
          <w:i w:val="0"/>
          <w:color w:val="1E2761"/>
          <w:sz w:val="25"/>
        </w:rPr>
        <w:t>Social listening — domain shift</w:t>
      </w:r>
    </w:p>
    <w:p>
      <w:pPr>
        <w:spacing w:after="120" w:before="0"/>
      </w:pPr>
      <w:r>
        <w:rPr>
          <w:rFonts w:ascii="Calibri" w:hAnsi="Calibri"/>
          <w:b w:val="0"/>
          <w:i w:val="0"/>
          <w:color w:val="333333"/>
          <w:sz w:val="22"/>
        </w:rPr>
        <w:t>The notes-trained detector scored on forum posts: precision 64%, recall 91%. Trained on post labels (5-fold CV): precision 94%, recall 99%. A model is only as good as the distribution it was trained on; get labels on the new stream first. Social-media AEs skew to mild, symptom-level events and under-represent serious ones compared with regulatory databases (Golder, Norman &amp; Loke 2015); Twitter event rankings correlated with FAERS, absolute counts did not (Freifeld et al. 2014).</w:t>
      </w:r>
    </w:p>
    <w:p>
      <w:pPr>
        <w:keepNext/>
        <w:spacing w:after="60" w:before="160"/>
      </w:pPr>
      <w:r>
        <w:rPr>
          <w:rFonts w:ascii="Calibri" w:hAnsi="Calibri"/>
          <w:b/>
          <w:i w:val="0"/>
          <w:color w:val="1E2761"/>
          <w:sz w:val="25"/>
        </w:rPr>
        <w:t>Medical-information routing</w:t>
      </w:r>
    </w:p>
    <w:p>
      <w:pPr>
        <w:spacing w:after="120" w:before="0"/>
      </w:pPr>
      <w:r>
        <w:rPr>
          <w:rFonts w:ascii="Calibri" w:hAnsi="Calibri"/>
          <w:b w:val="0"/>
          <w:i w:val="0"/>
          <w:color w:val="333333"/>
          <w:sz w:val="22"/>
        </w:rPr>
        <w:t>An intent classifier (8 intents, accuracy 92%) routes inquiries to the MI specialist, Safety, Quality or Access. But 111 of 333 AE mentions sat inside non-AE intents (a dosing call that mentions nausea). Run the safety detector on every record, whatever its intent.</w:t>
      </w:r>
    </w:p>
    <w:p>
      <w:pPr>
        <w:keepNext/>
        <w:spacing w:after="60" w:before="160"/>
      </w:pPr>
      <w:r>
        <w:rPr>
          <w:rFonts w:ascii="Calibri" w:hAnsi="Calibri"/>
          <w:b/>
          <w:i w:val="0"/>
          <w:color w:val="1E2761"/>
          <w:sz w:val="25"/>
        </w:rPr>
        <w:t>Signal detection</w:t>
      </w:r>
    </w:p>
    <w:p>
      <w:pPr>
        <w:spacing w:after="120" w:before="0"/>
      </w:pPr>
      <w:r>
        <w:rPr>
          <w:rFonts w:ascii="Calibri" w:hAnsi="Calibri"/>
          <w:b w:val="0"/>
          <w:i w:val="0"/>
          <w:color w:val="333333"/>
          <w:sz w:val="22"/>
        </w:rPr>
        <w:t>Once cases are in the safety database the question becomes: is this event reported with our drug more often than expected? Proportional Reporting Ratio PRR = (a/(a+b)) ÷ (c/(c+d)); Reporting Odds Ratio ROR = ad/bc with a 95% CI; Evans's screen PRR ≥ 2, χ² ≥ 4, n ≥ 3 (Evans, Waller &amp; Davis 2001); Bayesian shrinkage (BCPNN, Bate et al. 1998) for sparse cells. Tonight's synthetic table flags Pancreatitis, Hypoglycaemia, Nausea; pancreatitis (PRR 3.6) is not in the label and goes to a signal-review committee. There is no denominator of exposed patients and under-reporting is heavy: a hypothesis, not a rate.</w:t>
      </w:r>
    </w:p>
    <w:p>
      <w:pPr>
        <w:keepNext/>
        <w:spacing w:after="60" w:before="160"/>
      </w:pPr>
      <w:r>
        <w:rPr>
          <w:rFonts w:ascii="Calibri" w:hAnsi="Calibri"/>
          <w:b/>
          <w:i w:val="0"/>
          <w:color w:val="1E2761"/>
          <w:sz w:val="25"/>
        </w:rPr>
        <w:t>Semantic search</w:t>
      </w:r>
    </w:p>
    <w:p>
      <w:pPr>
        <w:spacing w:after="120" w:before="0"/>
      </w:pPr>
      <w:r>
        <w:rPr>
          <w:rFonts w:ascii="Calibri" w:hAnsi="Calibri"/>
          <w:b w:val="0"/>
          <w:i w:val="0"/>
          <w:color w:val="333333"/>
          <w:sz w:val="22"/>
        </w:rPr>
        <w:t>Latent Semantic Analysis (truncated SVD on TF-IDF; Deerwester et al. 1990) is the offline stand-in for embeddings. The swap-in is sentence-transformers (Reimers &amp; Gurevych 2019): same code shape, better neighbours.</w:t>
      </w:r>
    </w:p>
    <w:p>
      <w:pPr>
        <w:keepNext/>
        <w:spacing w:after="80" w:before="240"/>
      </w:pPr>
      <w:r>
        <w:rPr>
          <w:rFonts w:ascii="Calibri" w:hAnsi="Calibri"/>
          <w:b/>
          <w:i w:val="0"/>
          <w:color w:val="1E2761"/>
          <w:sz w:val="30"/>
        </w:rPr>
        <w:t>9. Domain models and the transformer route</w:t>
      </w:r>
    </w:p>
    <w:p>
      <w:pPr>
        <w:spacing w:after="120" w:before="0"/>
      </w:pPr>
      <w:r>
        <w:rPr>
          <w:rFonts w:ascii="Calibri" w:hAnsi="Calibri"/>
          <w:b w:val="0"/>
          <w:i w:val="0"/>
          <w:color w:val="333333"/>
          <w:sz w:val="22"/>
        </w:rPr>
        <w:t>BERT (Devlin et al. 2019) is pretrained on general English; BioBERT (Lee et al. 2020) continues pretraining on PubMed and PMC; ClinicalBERT (Alsentzer et al. 2019) on MIMIC clinical notes; PubMedBERT (Gu et al. 2021) pretrains from scratch on biomedical text and beats continued pretraining on the BLURB benchmark. Match the pretraining register to your text — rep notes and patient posts are general English with a few medical words; chart review and literature are not — and test the general model first: it is often within a point or two. The notebook's transformer cells are behind USE_TRANSFORMERS = False because class runs offline. At home:</w:t>
      </w:r>
    </w:p>
    <w:tbl>
      <w:tblPr>
        <w:tblW w:type="auto" w:w="0"/>
        <w:jc w:val="center"/>
        <w:tblLook w:firstColumn="1" w:firstRow="1" w:lastColumn="0" w:lastRow="0" w:noHBand="0" w:noVBand="1" w:val="04A0"/>
      </w:tblPr>
      <w:tblGrid>
        <w:gridCol w:w="9936"/>
      </w:tblGrid>
      <w:tr>
        <w:tc>
          <w:tcPr>
            <w:tcW w:type="dxa" w:w="9936"/>
            <w:shd w:val="clear" w:color="auto" w:fill="F3F6FC"/>
          </w:tcPr>
          <w:p>
            <w:pPr>
              <w:spacing w:after="40"/>
            </w:pPr>
            <w:r/>
            <w:r>
              <w:rPr>
                <w:rFonts w:ascii="Calibri" w:hAnsi="Calibri"/>
                <w:b/>
                <w:color w:val="1E2761"/>
                <w:sz w:val="22"/>
              </w:rPr>
              <w:t>Fine-tuning a classifier on the reviewed notes (sketch)</w:t>
            </w:r>
          </w:p>
          <w:p>
            <w:pPr>
              <w:spacing w:after="40"/>
            </w:pPr>
            <w:r>
              <w:rPr>
                <w:rFonts w:ascii="Calibri" w:hAnsi="Calibri"/>
                <w:color w:val="333333"/>
                <w:sz w:val="21"/>
              </w:rPr>
              <w:t>from transformers import AutoTokenizer, AutoModelForSequenceClassification, Trainer, TrainingArguments</w:t>
            </w:r>
          </w:p>
          <w:p>
            <w:pPr>
              <w:spacing w:after="40"/>
            </w:pPr>
            <w:r>
              <w:rPr>
                <w:rFonts w:ascii="Calibri" w:hAnsi="Calibri"/>
                <w:color w:val="333333"/>
                <w:sz w:val="21"/>
              </w:rPr>
              <w:t>tok = AutoTokenizer.from_pretrained('dmis-lab/biobert-base-cased-v1.2')  # or 'bert-base-uncased'</w:t>
            </w:r>
          </w:p>
          <w:p>
            <w:pPr>
              <w:spacing w:after="40"/>
            </w:pPr>
            <w:r>
              <w:rPr>
                <w:rFonts w:ascii="Calibri" w:hAnsi="Calibri"/>
                <w:color w:val="333333"/>
                <w:sz w:val="21"/>
              </w:rPr>
              <w:t>model = AutoModelForSequenceClassification.from_pretrained('dmis-lab/biobert-base-cased-v1.2', num_labels=2)</w:t>
            </w:r>
          </w:p>
          <w:p>
            <w:pPr>
              <w:spacing w:after="40"/>
            </w:pPr>
            <w:r>
              <w:rPr>
                <w:rFonts w:ascii="Calibri" w:hAnsi="Calibri"/>
                <w:color w:val="333333"/>
                <w:sz w:val="21"/>
              </w:rPr>
              <w:t>enc = tok(list(rev.note_text), truncation=True, padding=True, max_length=96)  → a torch Dataset with labels y</w:t>
            </w:r>
          </w:p>
          <w:p>
            <w:pPr>
              <w:spacing w:after="40"/>
            </w:pPr>
            <w:r>
              <w:rPr>
                <w:rFonts w:ascii="Calibri" w:hAnsi="Calibri"/>
                <w:color w:val="333333"/>
                <w:sz w:val="21"/>
              </w:rPr>
              <w:t>Trainer(model, TrainingArguments('out', num_train_epochs=3, per_device_train_batch_size=16, learning_rate=2e-5), train_dataset=...).train()</w:t>
            </w:r>
          </w:p>
          <w:p>
            <w:pPr>
              <w:spacing w:after="40"/>
            </w:pPr>
            <w:r>
              <w:rPr>
                <w:rFonts w:ascii="Calibri" w:hAnsi="Calibri"/>
                <w:color w:val="333333"/>
                <w:sz w:val="21"/>
              </w:rPr>
              <w:t>Evaluate on the same folds, at the same recall target, with the same probes — and with Integrated Gradients (captum) for the spans.</w:t>
            </w:r>
          </w:p>
        </w:tc>
      </w:tr>
    </w:tbl>
    <w:p>
      <w:pPr>
        <w:spacing w:after="80"/>
      </w:pPr>
    </w:p>
    <w:p>
      <w:pPr>
        <w:keepNext/>
        <w:spacing w:after="80" w:before="240"/>
      </w:pPr>
      <w:r>
        <w:rPr>
          <w:rFonts w:ascii="Calibri" w:hAnsi="Calibri"/>
          <w:b/>
          <w:i w:val="0"/>
          <w:color w:val="1E2761"/>
          <w:sz w:val="30"/>
        </w:rPr>
        <w:t>10. Where GenAI fits (preview)</w:t>
      </w:r>
    </w:p>
    <w:p>
      <w:pPr>
        <w:spacing w:after="120" w:before="0"/>
      </w:pPr>
      <w:r>
        <w:rPr>
          <w:rFonts w:ascii="Calibri" w:hAnsi="Calibri"/>
          <w:b w:val="0"/>
          <w:i w:val="0"/>
          <w:color w:val="333333"/>
          <w:sz w:val="22"/>
        </w:rPr>
        <w:t>Large language models change the economics of this pipeline, not its logic. Zero-shot extraction returns the four elements from a note with no training set; normalization to a coding dictionary and narrative drafting get cheap; retrieval + generation grounds answers in approved content. What does not change: the four elements, the seriousness criteria, the 15-day clock, human review of every case, PHI scrubbing before any text leaves the firewall, and the need to measure precision, recall and workload on your own labelled data. IQVIA reports that across industries more than 70% of GenAI experiments fail to reach production; the ones that survive are evaluated like the models above. The full session covers prompting and evaluation, hallucination, RAG over MLR-approved content, cost, and the FDA's January 2025 draft guidance on AI credibility for regulatory decisions.</w:t>
      </w:r>
    </w:p>
    <w:p>
      <w:pPr>
        <w:keepNext/>
        <w:spacing w:after="80" w:before="240"/>
      </w:pPr>
      <w:r>
        <w:rPr>
          <w:rFonts w:ascii="Calibri" w:hAnsi="Calibri"/>
          <w:b/>
          <w:i w:val="0"/>
          <w:color w:val="1E2761"/>
          <w:sz w:val="30"/>
        </w:rPr>
        <w:t>11. Governance checklist</w:t>
      </w:r>
    </w:p>
    <w:tbl>
      <w:tblPr>
        <w:tblStyle w:val="TableGrid"/>
        <w:tblW w:type="auto" w:w="0"/>
        <w:jc w:val="center"/>
        <w:tblLayout w:type="fixed"/>
        <w:tblLook w:firstColumn="1" w:firstRow="1" w:lastColumn="0" w:lastRow="0" w:noHBand="0" w:noVBand="1" w:val="04A0"/>
      </w:tblPr>
      <w:tblGrid>
        <w:gridCol w:w="2160"/>
        <w:gridCol w:w="7776"/>
      </w:tblGrid>
      <w:tr>
        <w:tc>
          <w:tcPr>
            <w:tcW w:type="dxa" w:w="2160"/>
            <w:shd w:val="clear" w:color="auto" w:fill="1E2761"/>
          </w:tcPr>
          <w:p>
            <w:pPr>
              <w:spacing w:after="0"/>
            </w:pPr>
            <w:r/>
            <w:r>
              <w:rPr>
                <w:rFonts w:ascii="Calibri" w:hAnsi="Calibri"/>
                <w:b/>
                <w:color w:val="FFFFFF"/>
                <w:sz w:val="19"/>
              </w:rPr>
              <w:t>Item</w:t>
            </w:r>
          </w:p>
        </w:tc>
        <w:tc>
          <w:tcPr>
            <w:tcW w:type="dxa" w:w="7776"/>
            <w:shd w:val="clear" w:color="auto" w:fill="1E2761"/>
          </w:tcPr>
          <w:p>
            <w:pPr>
              <w:spacing w:after="0"/>
            </w:pPr>
            <w:r/>
            <w:r>
              <w:rPr>
                <w:rFonts w:ascii="Calibri" w:hAnsi="Calibri"/>
                <w:b/>
                <w:color w:val="FFFFFF"/>
                <w:sz w:val="19"/>
              </w:rPr>
              <w:t>Write down</w:t>
            </w:r>
          </w:p>
        </w:tc>
      </w:tr>
      <w:tr>
        <w:tc>
          <w:tcPr>
            <w:tcW w:type="dxa" w:w="2160"/>
          </w:tcPr>
          <w:p>
            <w:pPr>
              <w:spacing w:after="0"/>
            </w:pPr>
            <w:r/>
            <w:r>
              <w:rPr>
                <w:rFonts w:ascii="Calibri" w:hAnsi="Calibri"/>
                <w:b/>
                <w:color w:val="1E2761"/>
                <w:sz w:val="19"/>
              </w:rPr>
              <w:t>Context of use</w:t>
            </w:r>
          </w:p>
        </w:tc>
        <w:tc>
          <w:tcPr>
            <w:tcW w:type="dxa" w:w="7776"/>
          </w:tcPr>
          <w:p>
            <w:pPr>
              <w:spacing w:after="0"/>
            </w:pPr>
            <w:r/>
            <w:r>
              <w:rPr>
                <w:rFonts w:ascii="Calibri" w:hAnsi="Calibri"/>
                <w:color w:val="333333"/>
                <w:sz w:val="19"/>
              </w:rPr>
              <w:t>which stream, which decision, who acts, what happens on error (FDA 2025 credibility framework)</w:t>
            </w:r>
          </w:p>
        </w:tc>
      </w:tr>
      <w:tr>
        <w:tc>
          <w:tcPr>
            <w:tcW w:type="dxa" w:w="2160"/>
            <w:shd w:val="clear" w:color="auto" w:fill="F3F6FC"/>
          </w:tcPr>
          <w:p>
            <w:pPr>
              <w:spacing w:after="0"/>
            </w:pPr>
            <w:r/>
            <w:r>
              <w:rPr>
                <w:rFonts w:ascii="Calibri" w:hAnsi="Calibri"/>
                <w:b/>
                <w:color w:val="1E2761"/>
                <w:sz w:val="19"/>
              </w:rPr>
              <w:t>Data</w:t>
            </w:r>
          </w:p>
        </w:tc>
        <w:tc>
          <w:tcPr>
            <w:tcW w:type="dxa" w:w="7776"/>
            <w:shd w:val="clear" w:color="auto" w:fill="F3F6FC"/>
          </w:tcPr>
          <w:p>
            <w:pPr>
              <w:spacing w:after="0"/>
            </w:pPr>
            <w:r/>
            <w:r>
              <w:rPr>
                <w:rFonts w:ascii="Calibri" w:hAnsi="Calibri"/>
                <w:color w:val="333333"/>
                <w:sz w:val="19"/>
              </w:rPr>
              <w:t>source, period, reviewer labels and their noise, PHI handling</w:t>
            </w:r>
          </w:p>
        </w:tc>
      </w:tr>
      <w:tr>
        <w:tc>
          <w:tcPr>
            <w:tcW w:type="dxa" w:w="2160"/>
          </w:tcPr>
          <w:p>
            <w:pPr>
              <w:spacing w:after="0"/>
            </w:pPr>
            <w:r/>
            <w:r>
              <w:rPr>
                <w:rFonts w:ascii="Calibri" w:hAnsi="Calibri"/>
                <w:b/>
                <w:color w:val="1E2761"/>
                <w:sz w:val="19"/>
              </w:rPr>
              <w:t>Performance</w:t>
            </w:r>
          </w:p>
        </w:tc>
        <w:tc>
          <w:tcPr>
            <w:tcW w:type="dxa" w:w="7776"/>
          </w:tcPr>
          <w:p>
            <w:pPr>
              <w:spacing w:after="0"/>
            </w:pPr>
            <w:r/>
            <w:r>
              <w:rPr>
                <w:rFonts w:ascii="Calibri" w:hAnsi="Calibri"/>
                <w:color w:val="333333"/>
                <w:sz w:val="19"/>
              </w:rPr>
              <w:t>AUC/AP for comparison; the operating point with recall, precision, workload; held-out and behavioural tests</w:t>
            </w:r>
          </w:p>
        </w:tc>
      </w:tr>
      <w:tr>
        <w:tc>
          <w:tcPr>
            <w:tcW w:type="dxa" w:w="2160"/>
            <w:shd w:val="clear" w:color="auto" w:fill="F3F6FC"/>
          </w:tcPr>
          <w:p>
            <w:pPr>
              <w:spacing w:after="0"/>
            </w:pPr>
            <w:r/>
            <w:r>
              <w:rPr>
                <w:rFonts w:ascii="Calibri" w:hAnsi="Calibri"/>
                <w:b/>
                <w:color w:val="1E2761"/>
                <w:sz w:val="19"/>
              </w:rPr>
              <w:t>Explanations</w:t>
            </w:r>
          </w:p>
        </w:tc>
        <w:tc>
          <w:tcPr>
            <w:tcW w:type="dxa" w:w="7776"/>
            <w:shd w:val="clear" w:color="auto" w:fill="F3F6FC"/>
          </w:tcPr>
          <w:p>
            <w:pPr>
              <w:spacing w:after="0"/>
            </w:pPr>
            <w:r/>
            <w:r>
              <w:rPr>
                <w:rFonts w:ascii="Calibri" w:hAnsi="Calibri"/>
                <w:color w:val="333333"/>
                <w:sz w:val="19"/>
              </w:rPr>
              <w:t>global review, per-flag spans, leak checks</w:t>
            </w:r>
          </w:p>
        </w:tc>
      </w:tr>
      <w:tr>
        <w:tc>
          <w:tcPr>
            <w:tcW w:type="dxa" w:w="2160"/>
          </w:tcPr>
          <w:p>
            <w:pPr>
              <w:spacing w:after="0"/>
            </w:pPr>
            <w:r/>
            <w:r>
              <w:rPr>
                <w:rFonts w:ascii="Calibri" w:hAnsi="Calibri"/>
                <w:b/>
                <w:color w:val="1E2761"/>
                <w:sz w:val="19"/>
              </w:rPr>
              <w:t>Human oversight</w:t>
            </w:r>
          </w:p>
        </w:tc>
        <w:tc>
          <w:tcPr>
            <w:tcW w:type="dxa" w:w="7776"/>
          </w:tcPr>
          <w:p>
            <w:pPr>
              <w:spacing w:after="0"/>
            </w:pPr>
            <w:r/>
            <w:r>
              <w:rPr>
                <w:rFonts w:ascii="Calibri" w:hAnsi="Calibri"/>
                <w:color w:val="333333"/>
                <w:sz w:val="19"/>
              </w:rPr>
              <w:t>who reviews every flag; escalation; the SOP it sits beside — “a human-in-the-loop model … is the operating model itself” (IQVIA, Raizada 2025)</w:t>
            </w:r>
          </w:p>
        </w:tc>
      </w:tr>
      <w:tr>
        <w:tc>
          <w:tcPr>
            <w:tcW w:type="dxa" w:w="2160"/>
            <w:shd w:val="clear" w:color="auto" w:fill="F3F6FC"/>
          </w:tcPr>
          <w:p>
            <w:pPr>
              <w:spacing w:after="0"/>
            </w:pPr>
            <w:r/>
            <w:r>
              <w:rPr>
                <w:rFonts w:ascii="Calibri" w:hAnsi="Calibri"/>
                <w:b/>
                <w:color w:val="1E2761"/>
                <w:sz w:val="19"/>
              </w:rPr>
              <w:t>Monitoring</w:t>
            </w:r>
          </w:p>
        </w:tc>
        <w:tc>
          <w:tcPr>
            <w:tcW w:type="dxa" w:w="7776"/>
            <w:shd w:val="clear" w:color="auto" w:fill="F3F6FC"/>
          </w:tcPr>
          <w:p>
            <w:pPr>
              <w:spacing w:after="0"/>
            </w:pPr>
            <w:r/>
            <w:r>
              <w:rPr>
                <w:rFonts w:ascii="Calibri" w:hAnsi="Calibri"/>
                <w:color w:val="333333"/>
                <w:sz w:val="19"/>
              </w:rPr>
              <w:t>flag-rate drift, probes on every retrain, domain shift on new streams</w:t>
            </w:r>
          </w:p>
        </w:tc>
      </w:tr>
      <w:tr>
        <w:tc>
          <w:tcPr>
            <w:tcW w:type="dxa" w:w="2160"/>
          </w:tcPr>
          <w:p>
            <w:pPr>
              <w:spacing w:after="0"/>
            </w:pPr>
            <w:r/>
            <w:r>
              <w:rPr>
                <w:rFonts w:ascii="Calibri" w:hAnsi="Calibri"/>
                <w:b/>
                <w:color w:val="1E2761"/>
                <w:sz w:val="19"/>
              </w:rPr>
              <w:t>Record</w:t>
            </w:r>
          </w:p>
        </w:tc>
        <w:tc>
          <w:tcPr>
            <w:tcW w:type="dxa" w:w="7776"/>
          </w:tcPr>
          <w:p>
            <w:pPr>
              <w:spacing w:after="0"/>
            </w:pPr>
            <w:r/>
            <w:r>
              <w:rPr>
                <w:rFonts w:ascii="Calibri" w:hAnsi="Calibri"/>
                <w:color w:val="333333"/>
                <w:sz w:val="19"/>
              </w:rPr>
              <w:t>the PV System Master File (IQVIA governance paper; EMA GVP)</w:t>
            </w:r>
          </w:p>
        </w:tc>
      </w:tr>
    </w:tbl>
    <w:p>
      <w:pPr>
        <w:spacing w:after="80"/>
      </w:pPr>
    </w:p>
    <w:p>
      <w:pPr>
        <w:keepNext/>
        <w:spacing w:after="80" w:before="240"/>
      </w:pPr>
      <w:r>
        <w:rPr>
          <w:rFonts w:ascii="Calibri" w:hAnsi="Calibri"/>
          <w:b/>
          <w:i w:val="0"/>
          <w:color w:val="1E2761"/>
          <w:sz w:val="30"/>
        </w:rPr>
        <w:t>12. Vocabulary → source</w:t>
      </w:r>
    </w:p>
    <w:tbl>
      <w:tblPr>
        <w:tblStyle w:val="TableGrid"/>
        <w:tblW w:type="auto" w:w="0"/>
        <w:jc w:val="center"/>
        <w:tblLayout w:type="fixed"/>
        <w:tblLook w:firstColumn="1" w:firstRow="1" w:lastColumn="0" w:lastRow="0" w:noHBand="0" w:noVBand="1" w:val="04A0"/>
      </w:tblPr>
      <w:tblGrid>
        <w:gridCol w:w="3168"/>
        <w:gridCol w:w="3888"/>
        <w:gridCol w:w="2880"/>
      </w:tblGrid>
      <w:tr>
        <w:tc>
          <w:tcPr>
            <w:tcW w:type="dxa" w:w="3168"/>
            <w:shd w:val="clear" w:color="auto" w:fill="1E2761"/>
          </w:tcPr>
          <w:p>
            <w:pPr>
              <w:spacing w:after="0"/>
            </w:pPr>
            <w:r/>
            <w:r>
              <w:rPr>
                <w:rFonts w:ascii="Calibri" w:hAnsi="Calibri"/>
                <w:b/>
                <w:color w:val="FFFFFF"/>
                <w:sz w:val="18"/>
              </w:rPr>
              <w:t>Term</w:t>
            </w:r>
          </w:p>
        </w:tc>
        <w:tc>
          <w:tcPr>
            <w:tcW w:type="dxa" w:w="3888"/>
            <w:shd w:val="clear" w:color="auto" w:fill="1E2761"/>
          </w:tcPr>
          <w:p>
            <w:pPr>
              <w:spacing w:after="0"/>
            </w:pPr>
            <w:r/>
            <w:r>
              <w:rPr>
                <w:rFonts w:ascii="Calibri" w:hAnsi="Calibri"/>
                <w:b/>
                <w:color w:val="FFFFFF"/>
                <w:sz w:val="18"/>
              </w:rPr>
              <w:t>How tonight uses it</w:t>
            </w:r>
          </w:p>
        </w:tc>
        <w:tc>
          <w:tcPr>
            <w:tcW w:type="dxa" w:w="2880"/>
            <w:shd w:val="clear" w:color="auto" w:fill="1E2761"/>
          </w:tcPr>
          <w:p>
            <w:pPr>
              <w:spacing w:after="0"/>
            </w:pPr>
            <w:r/>
            <w:r>
              <w:rPr>
                <w:rFonts w:ascii="Calibri" w:hAnsi="Calibri"/>
                <w:b/>
                <w:color w:val="FFFFFF"/>
                <w:sz w:val="18"/>
              </w:rPr>
              <w:t>Source</w:t>
            </w:r>
          </w:p>
        </w:tc>
      </w:tr>
      <w:tr>
        <w:tc>
          <w:tcPr>
            <w:tcW w:type="dxa" w:w="3168"/>
          </w:tcPr>
          <w:p>
            <w:pPr>
              <w:spacing w:after="0"/>
            </w:pPr>
            <w:r/>
            <w:r>
              <w:rPr>
                <w:rFonts w:ascii="Calibri" w:hAnsi="Calibri"/>
                <w:b/>
                <w:color w:val="1E2761"/>
                <w:sz w:val="18"/>
              </w:rPr>
              <w:t>Adverse experience; serious; unexpected; 15-day Alert report</w:t>
            </w:r>
          </w:p>
        </w:tc>
        <w:tc>
          <w:tcPr>
            <w:tcW w:type="dxa" w:w="3888"/>
          </w:tcPr>
          <w:p>
            <w:pPr>
              <w:spacing w:after="0"/>
            </w:pPr>
            <w:r/>
            <w:r>
              <w:rPr>
                <w:rFonts w:ascii="Calibri" w:hAnsi="Calibri"/>
                <w:color w:val="333333"/>
                <w:sz w:val="18"/>
              </w:rPr>
              <w:t>The target the detector must output</w:t>
            </w:r>
          </w:p>
        </w:tc>
        <w:tc>
          <w:tcPr>
            <w:tcW w:type="dxa" w:w="2880"/>
          </w:tcPr>
          <w:p>
            <w:pPr>
              <w:spacing w:after="0"/>
            </w:pPr>
            <w:r/>
            <w:r>
              <w:rPr>
                <w:rFonts w:ascii="Calibri" w:hAnsi="Calibri"/>
                <w:color w:val="333333"/>
                <w:sz w:val="18"/>
              </w:rPr>
              <w:t>U.S. Food and Drug Administration; International Council for Harmonisation 2003</w:t>
            </w:r>
          </w:p>
        </w:tc>
      </w:tr>
      <w:tr>
        <w:tc>
          <w:tcPr>
            <w:tcW w:type="dxa" w:w="3168"/>
            <w:shd w:val="clear" w:color="auto" w:fill="F3F6FC"/>
          </w:tcPr>
          <w:p>
            <w:pPr>
              <w:spacing w:after="0"/>
            </w:pPr>
            <w:r/>
            <w:r>
              <w:rPr>
                <w:rFonts w:ascii="Calibri" w:hAnsi="Calibri"/>
                <w:b/>
                <w:color w:val="1E2761"/>
                <w:sz w:val="18"/>
              </w:rPr>
              <w:t>The four minimum elements of a case</w:t>
            </w:r>
          </w:p>
        </w:tc>
        <w:tc>
          <w:tcPr>
            <w:tcW w:type="dxa" w:w="3888"/>
            <w:shd w:val="clear" w:color="auto" w:fill="F3F6FC"/>
          </w:tcPr>
          <w:p>
            <w:pPr>
              <w:spacing w:after="0"/>
            </w:pPr>
            <w:r/>
            <w:r>
              <w:rPr>
                <w:rFonts w:ascii="Calibri" w:hAnsi="Calibri"/>
                <w:color w:val="333333"/>
                <w:sz w:val="18"/>
              </w:rPr>
              <w:t>Identifiable patient, identifiable reporter, suspect drug, adverse experience</w:t>
            </w:r>
          </w:p>
        </w:tc>
        <w:tc>
          <w:tcPr>
            <w:tcW w:type="dxa" w:w="2880"/>
            <w:shd w:val="clear" w:color="auto" w:fill="F3F6FC"/>
          </w:tcPr>
          <w:p>
            <w:pPr>
              <w:spacing w:after="0"/>
            </w:pPr>
            <w:r/>
            <w:r>
              <w:rPr>
                <w:rFonts w:ascii="Calibri" w:hAnsi="Calibri"/>
                <w:color w:val="333333"/>
                <w:sz w:val="18"/>
              </w:rPr>
              <w:t>U.S. Food and Drug Administration 2001; International Council for Harmonisation 2003</w:t>
            </w:r>
          </w:p>
        </w:tc>
      </w:tr>
      <w:tr>
        <w:tc>
          <w:tcPr>
            <w:tcW w:type="dxa" w:w="3168"/>
          </w:tcPr>
          <w:p>
            <w:pPr>
              <w:spacing w:after="0"/>
            </w:pPr>
            <w:r/>
            <w:r>
              <w:rPr>
                <w:rFonts w:ascii="Calibri" w:hAnsi="Calibri"/>
                <w:b/>
                <w:color w:val="1E2761"/>
                <w:sz w:val="18"/>
              </w:rPr>
              <w:t>Company knowledge; sponsored vs non-sponsored sites</w:t>
            </w:r>
          </w:p>
        </w:tc>
        <w:tc>
          <w:tcPr>
            <w:tcW w:type="dxa" w:w="3888"/>
          </w:tcPr>
          <w:p>
            <w:pPr>
              <w:spacing w:after="0"/>
            </w:pPr>
            <w:r/>
            <w:r>
              <w:rPr>
                <w:rFonts w:ascii="Calibri" w:hAnsi="Calibri"/>
                <w:color w:val="333333"/>
                <w:sz w:val="18"/>
              </w:rPr>
              <w:t>A rep note is company knowledge; screen the media you control</w:t>
            </w:r>
          </w:p>
        </w:tc>
        <w:tc>
          <w:tcPr>
            <w:tcW w:type="dxa" w:w="2880"/>
          </w:tcPr>
          <w:p>
            <w:pPr>
              <w:spacing w:after="0"/>
            </w:pPr>
            <w:r/>
            <w:r>
              <w:rPr>
                <w:rFonts w:ascii="Calibri" w:hAnsi="Calibri"/>
                <w:color w:val="333333"/>
                <w:sz w:val="18"/>
              </w:rPr>
              <w:t>U.S. Food and Drug Administration 2001; European Medicines Agency 2017</w:t>
            </w:r>
          </w:p>
        </w:tc>
      </w:tr>
      <w:tr>
        <w:tc>
          <w:tcPr>
            <w:tcW w:type="dxa" w:w="3168"/>
            <w:shd w:val="clear" w:color="auto" w:fill="F3F6FC"/>
          </w:tcPr>
          <w:p>
            <w:pPr>
              <w:spacing w:after="0"/>
            </w:pPr>
            <w:r/>
            <w:r>
              <w:rPr>
                <w:rFonts w:ascii="Calibri" w:hAnsi="Calibri"/>
                <w:b/>
                <w:color w:val="1E2761"/>
                <w:sz w:val="18"/>
              </w:rPr>
              <w:t>Under-reporting</w:t>
            </w:r>
          </w:p>
        </w:tc>
        <w:tc>
          <w:tcPr>
            <w:tcW w:type="dxa" w:w="3888"/>
            <w:shd w:val="clear" w:color="auto" w:fill="F3F6FC"/>
          </w:tcPr>
          <w:p>
            <w:pPr>
              <w:spacing w:after="0"/>
            </w:pPr>
            <w:r/>
            <w:r>
              <w:rPr>
                <w:rFonts w:ascii="Calibri" w:hAnsi="Calibri"/>
                <w:color w:val="333333"/>
                <w:sz w:val="18"/>
              </w:rPr>
              <w:t>Median 94% of ADRs never reported</w:t>
            </w:r>
          </w:p>
        </w:tc>
        <w:tc>
          <w:tcPr>
            <w:tcW w:type="dxa" w:w="2880"/>
            <w:shd w:val="clear" w:color="auto" w:fill="F3F6FC"/>
          </w:tcPr>
          <w:p>
            <w:pPr>
              <w:spacing w:after="0"/>
            </w:pPr>
            <w:r/>
            <w:r>
              <w:rPr>
                <w:rFonts w:ascii="Calibri" w:hAnsi="Calibri"/>
                <w:color w:val="333333"/>
                <w:sz w:val="18"/>
              </w:rPr>
              <w:t>Hazell 2006</w:t>
            </w:r>
          </w:p>
        </w:tc>
      </w:tr>
      <w:tr>
        <w:tc>
          <w:tcPr>
            <w:tcW w:type="dxa" w:w="3168"/>
          </w:tcPr>
          <w:p>
            <w:pPr>
              <w:spacing w:after="0"/>
            </w:pPr>
            <w:r/>
            <w:r>
              <w:rPr>
                <w:rFonts w:ascii="Calibri" w:hAnsi="Calibri"/>
                <w:b/>
                <w:color w:val="1E2761"/>
                <w:sz w:val="18"/>
              </w:rPr>
              <w:t>De-identification (Safe Harbor)</w:t>
            </w:r>
          </w:p>
        </w:tc>
        <w:tc>
          <w:tcPr>
            <w:tcW w:type="dxa" w:w="3888"/>
          </w:tcPr>
          <w:p>
            <w:pPr>
              <w:spacing w:after="0"/>
            </w:pPr>
            <w:r/>
            <w:r>
              <w:rPr>
                <w:rFonts w:ascii="Calibri" w:hAnsi="Calibri"/>
                <w:color w:val="333333"/>
                <w:sz w:val="18"/>
              </w:rPr>
              <w:t>Scrub names, dates, MRNs from free text</w:t>
            </w:r>
          </w:p>
        </w:tc>
        <w:tc>
          <w:tcPr>
            <w:tcW w:type="dxa" w:w="2880"/>
          </w:tcPr>
          <w:p>
            <w:pPr>
              <w:spacing w:after="0"/>
            </w:pPr>
            <w:r/>
            <w:r>
              <w:rPr>
                <w:rFonts w:ascii="Calibri" w:hAnsi="Calibri"/>
                <w:color w:val="333333"/>
                <w:sz w:val="18"/>
              </w:rPr>
              <w:t>U.S. Department of Health and Human Services 2012</w:t>
            </w:r>
          </w:p>
        </w:tc>
      </w:tr>
      <w:tr>
        <w:tc>
          <w:tcPr>
            <w:tcW w:type="dxa" w:w="3168"/>
            <w:shd w:val="clear" w:color="auto" w:fill="F3F6FC"/>
          </w:tcPr>
          <w:p>
            <w:pPr>
              <w:spacing w:after="0"/>
            </w:pPr>
            <w:r/>
            <w:r>
              <w:rPr>
                <w:rFonts w:ascii="Calibri" w:hAnsi="Calibri"/>
                <w:b/>
                <w:color w:val="1E2761"/>
                <w:sz w:val="18"/>
              </w:rPr>
              <w:t>Lexicon → classical ML → transformers</w:t>
            </w:r>
          </w:p>
        </w:tc>
        <w:tc>
          <w:tcPr>
            <w:tcW w:type="dxa" w:w="3888"/>
            <w:shd w:val="clear" w:color="auto" w:fill="F3F6FC"/>
          </w:tcPr>
          <w:p>
            <w:pPr>
              <w:spacing w:after="0"/>
            </w:pPr>
            <w:r/>
            <w:r>
              <w:rPr>
                <w:rFonts w:ascii="Calibri" w:hAnsi="Calibri"/>
                <w:color w:val="333333"/>
                <w:sz w:val="18"/>
              </w:rPr>
              <w:t>The ladder of detectors</w:t>
            </w:r>
          </w:p>
        </w:tc>
        <w:tc>
          <w:tcPr>
            <w:tcW w:type="dxa" w:w="2880"/>
            <w:shd w:val="clear" w:color="auto" w:fill="F3F6FC"/>
          </w:tcPr>
          <w:p>
            <w:pPr>
              <w:spacing w:after="0"/>
            </w:pPr>
            <w:r/>
            <w:r>
              <w:rPr>
                <w:rFonts w:ascii="Calibri" w:hAnsi="Calibri"/>
                <w:color w:val="333333"/>
                <w:sz w:val="18"/>
              </w:rPr>
              <w:t>Karimi 2015; Devlin 2019; Lee 1240</w:t>
            </w:r>
          </w:p>
        </w:tc>
      </w:tr>
      <w:tr>
        <w:tc>
          <w:tcPr>
            <w:tcW w:type="dxa" w:w="3168"/>
          </w:tcPr>
          <w:p>
            <w:pPr>
              <w:spacing w:after="0"/>
            </w:pPr>
            <w:r/>
            <w:r>
              <w:rPr>
                <w:rFonts w:ascii="Calibri" w:hAnsi="Calibri"/>
                <w:b/>
                <w:color w:val="1E2761"/>
                <w:sz w:val="18"/>
              </w:rPr>
              <w:t>Negation scope (NOT_ prefix)</w:t>
            </w:r>
          </w:p>
        </w:tc>
        <w:tc>
          <w:tcPr>
            <w:tcW w:type="dxa" w:w="3888"/>
          </w:tcPr>
          <w:p>
            <w:pPr>
              <w:spacing w:after="0"/>
            </w:pPr>
            <w:r/>
            <w:r>
              <w:rPr>
                <w:rFonts w:ascii="Calibri" w:hAnsi="Calibri"/>
                <w:color w:val="333333"/>
                <w:sz w:val="18"/>
              </w:rPr>
              <w:t>Why "no nausea" is not nausea</w:t>
            </w:r>
          </w:p>
        </w:tc>
        <w:tc>
          <w:tcPr>
            <w:tcW w:type="dxa" w:w="2880"/>
          </w:tcPr>
          <w:p>
            <w:pPr>
              <w:spacing w:after="0"/>
            </w:pPr>
            <w:r/>
            <w:r>
              <w:rPr>
                <w:rFonts w:ascii="Calibri" w:hAnsi="Calibri"/>
                <w:color w:val="333333"/>
                <w:sz w:val="18"/>
              </w:rPr>
              <w:t>Pang 2002</w:t>
            </w:r>
          </w:p>
        </w:tc>
      </w:tr>
      <w:tr>
        <w:tc>
          <w:tcPr>
            <w:tcW w:type="dxa" w:w="3168"/>
            <w:shd w:val="clear" w:color="auto" w:fill="F3F6FC"/>
          </w:tcPr>
          <w:p>
            <w:pPr>
              <w:spacing w:after="0"/>
            </w:pPr>
            <w:r/>
            <w:r>
              <w:rPr>
                <w:rFonts w:ascii="Calibri" w:hAnsi="Calibri"/>
                <w:b/>
                <w:color w:val="1E2761"/>
                <w:sz w:val="18"/>
              </w:rPr>
              <w:t>Precision–recall operating point</w:t>
            </w:r>
          </w:p>
        </w:tc>
        <w:tc>
          <w:tcPr>
            <w:tcW w:type="dxa" w:w="3888"/>
            <w:shd w:val="clear" w:color="auto" w:fill="F3F6FC"/>
          </w:tcPr>
          <w:p>
            <w:pPr>
              <w:spacing w:after="0"/>
            </w:pPr>
            <w:r/>
            <w:r>
              <w:rPr>
                <w:rFonts w:ascii="Calibri" w:hAnsi="Calibri"/>
                <w:color w:val="333333"/>
                <w:sz w:val="18"/>
              </w:rPr>
              <w:t>Recall first, reviewer workload second</w:t>
            </w:r>
          </w:p>
        </w:tc>
        <w:tc>
          <w:tcPr>
            <w:tcW w:type="dxa" w:w="2880"/>
            <w:shd w:val="clear" w:color="auto" w:fill="F3F6FC"/>
          </w:tcPr>
          <w:p>
            <w:pPr>
              <w:spacing w:after="0"/>
            </w:pPr>
            <w:r/>
            <w:r>
              <w:rPr>
                <w:rFonts w:ascii="Calibri" w:hAnsi="Calibri"/>
                <w:color w:val="333333"/>
                <w:sz w:val="18"/>
              </w:rPr>
              <w:t>Karimi 2015</w:t>
            </w:r>
          </w:p>
        </w:tc>
      </w:tr>
      <w:tr>
        <w:tc>
          <w:tcPr>
            <w:tcW w:type="dxa" w:w="3168"/>
          </w:tcPr>
          <w:p>
            <w:pPr>
              <w:spacing w:after="0"/>
            </w:pPr>
            <w:r/>
            <w:r>
              <w:rPr>
                <w:rFonts w:ascii="Calibri" w:hAnsi="Calibri"/>
                <w:b/>
                <w:color w:val="1E2761"/>
                <w:sz w:val="18"/>
              </w:rPr>
              <w:t>Domain models vs general models</w:t>
            </w:r>
          </w:p>
        </w:tc>
        <w:tc>
          <w:tcPr>
            <w:tcW w:type="dxa" w:w="3888"/>
          </w:tcPr>
          <w:p>
            <w:pPr>
              <w:spacing w:after="0"/>
            </w:pPr>
            <w:r/>
            <w:r>
              <w:rPr>
                <w:rFonts w:ascii="Calibri" w:hAnsi="Calibri"/>
                <w:color w:val="333333"/>
                <w:sz w:val="18"/>
              </w:rPr>
              <w:t>BioBERT, ClinicalBERT, PubMedBERT; when generic is enough</w:t>
            </w:r>
          </w:p>
        </w:tc>
        <w:tc>
          <w:tcPr>
            <w:tcW w:type="dxa" w:w="2880"/>
          </w:tcPr>
          <w:p>
            <w:pPr>
              <w:spacing w:after="0"/>
            </w:pPr>
            <w:r/>
            <w:r>
              <w:rPr>
                <w:rFonts w:ascii="Calibri" w:hAnsi="Calibri"/>
                <w:color w:val="333333"/>
                <w:sz w:val="18"/>
              </w:rPr>
              <w:t>Lee 1240; Alsentzer 2019; Gu 2021</w:t>
            </w:r>
          </w:p>
        </w:tc>
      </w:tr>
      <w:tr>
        <w:tc>
          <w:tcPr>
            <w:tcW w:type="dxa" w:w="3168"/>
            <w:shd w:val="clear" w:color="auto" w:fill="F3F6FC"/>
          </w:tcPr>
          <w:p>
            <w:pPr>
              <w:spacing w:after="0"/>
            </w:pPr>
            <w:r/>
            <w:r>
              <w:rPr>
                <w:rFonts w:ascii="Calibri" w:hAnsi="Calibri"/>
                <w:b/>
                <w:color w:val="1E2761"/>
                <w:sz w:val="18"/>
              </w:rPr>
              <w:t>Embeddings; semantic search</w:t>
            </w:r>
          </w:p>
        </w:tc>
        <w:tc>
          <w:tcPr>
            <w:tcW w:type="dxa" w:w="3888"/>
            <w:shd w:val="clear" w:color="auto" w:fill="F3F6FC"/>
          </w:tcPr>
          <w:p>
            <w:pPr>
              <w:spacing w:after="0"/>
            </w:pPr>
            <w:r/>
            <w:r>
              <w:rPr>
                <w:rFonts w:ascii="Calibri" w:hAnsi="Calibri"/>
                <w:color w:val="333333"/>
                <w:sz w:val="18"/>
              </w:rPr>
              <w:t>Sentence-BERT; LSA as the offline stand-in</w:t>
            </w:r>
          </w:p>
        </w:tc>
        <w:tc>
          <w:tcPr>
            <w:tcW w:type="dxa" w:w="2880"/>
            <w:shd w:val="clear" w:color="auto" w:fill="F3F6FC"/>
          </w:tcPr>
          <w:p>
            <w:pPr>
              <w:spacing w:after="0"/>
            </w:pPr>
            <w:r/>
            <w:r>
              <w:rPr>
                <w:rFonts w:ascii="Calibri" w:hAnsi="Calibri"/>
                <w:color w:val="333333"/>
                <w:sz w:val="18"/>
              </w:rPr>
              <w:t>Reimers 2019; Deerwester 1990</w:t>
            </w:r>
          </w:p>
        </w:tc>
      </w:tr>
      <w:tr>
        <w:tc>
          <w:tcPr>
            <w:tcW w:type="dxa" w:w="3168"/>
          </w:tcPr>
          <w:p>
            <w:pPr>
              <w:spacing w:after="0"/>
            </w:pPr>
            <w:r/>
            <w:r>
              <w:rPr>
                <w:rFonts w:ascii="Calibri" w:hAnsi="Calibri"/>
                <w:b/>
                <w:color w:val="1E2761"/>
                <w:sz w:val="18"/>
              </w:rPr>
              <w:t>Interpretability: global vs local; intrinsic vs post-hoc</w:t>
            </w:r>
          </w:p>
        </w:tc>
        <w:tc>
          <w:tcPr>
            <w:tcW w:type="dxa" w:w="3888"/>
          </w:tcPr>
          <w:p>
            <w:pPr>
              <w:spacing w:after="0"/>
            </w:pPr>
            <w:r/>
            <w:r>
              <w:rPr>
                <w:rFonts w:ascii="Calibri" w:hAnsi="Calibri"/>
                <w:color w:val="333333"/>
                <w:sz w:val="18"/>
              </w:rPr>
              <w:t>Coefficients, LIME, SHAP, Integrated Gradients</w:t>
            </w:r>
          </w:p>
        </w:tc>
        <w:tc>
          <w:tcPr>
            <w:tcW w:type="dxa" w:w="2880"/>
          </w:tcPr>
          <w:p>
            <w:pPr>
              <w:spacing w:after="0"/>
            </w:pPr>
            <w:r/>
            <w:r>
              <w:rPr>
                <w:rFonts w:ascii="Calibri" w:hAnsi="Calibri"/>
                <w:color w:val="333333"/>
                <w:sz w:val="18"/>
              </w:rPr>
              <w:t>Molnar 2022; Ribeiro 2016; Lundberg; Sundararajan 2017; Rudin 2019</w:t>
            </w:r>
          </w:p>
        </w:tc>
      </w:tr>
      <w:tr>
        <w:tc>
          <w:tcPr>
            <w:tcW w:type="dxa" w:w="3168"/>
            <w:shd w:val="clear" w:color="auto" w:fill="F3F6FC"/>
          </w:tcPr>
          <w:p>
            <w:pPr>
              <w:spacing w:after="0"/>
            </w:pPr>
            <w:r/>
            <w:r>
              <w:rPr>
                <w:rFonts w:ascii="Calibri" w:hAnsi="Calibri"/>
                <w:b/>
                <w:color w:val="1E2761"/>
                <w:sz w:val="18"/>
              </w:rPr>
              <w:t>Attention is (not) explanation</w:t>
            </w:r>
          </w:p>
        </w:tc>
        <w:tc>
          <w:tcPr>
            <w:tcW w:type="dxa" w:w="3888"/>
            <w:shd w:val="clear" w:color="auto" w:fill="F3F6FC"/>
          </w:tcPr>
          <w:p>
            <w:pPr>
              <w:spacing w:after="0"/>
            </w:pPr>
            <w:r/>
            <w:r>
              <w:rPr>
                <w:rFonts w:ascii="Calibri" w:hAnsi="Calibri"/>
                <w:color w:val="333333"/>
                <w:sz w:val="18"/>
              </w:rPr>
              <w:t>Caution on reading attention maps</w:t>
            </w:r>
          </w:p>
        </w:tc>
        <w:tc>
          <w:tcPr>
            <w:tcW w:type="dxa" w:w="2880"/>
            <w:shd w:val="clear" w:color="auto" w:fill="F3F6FC"/>
          </w:tcPr>
          <w:p>
            <w:pPr>
              <w:spacing w:after="0"/>
            </w:pPr>
            <w:r/>
            <w:r>
              <w:rPr>
                <w:rFonts w:ascii="Calibri" w:hAnsi="Calibri"/>
                <w:color w:val="333333"/>
                <w:sz w:val="18"/>
              </w:rPr>
              <w:t>Jain 2019; Wiegreffe 2019</w:t>
            </w:r>
          </w:p>
        </w:tc>
      </w:tr>
      <w:tr>
        <w:tc>
          <w:tcPr>
            <w:tcW w:type="dxa" w:w="3168"/>
          </w:tcPr>
          <w:p>
            <w:pPr>
              <w:spacing w:after="0"/>
            </w:pPr>
            <w:r/>
            <w:r>
              <w:rPr>
                <w:rFonts w:ascii="Calibri" w:hAnsi="Calibri"/>
                <w:b/>
                <w:color w:val="1E2761"/>
                <w:sz w:val="18"/>
              </w:rPr>
              <w:t>Topic modeling; sentiment</w:t>
            </w:r>
          </w:p>
        </w:tc>
        <w:tc>
          <w:tcPr>
            <w:tcW w:type="dxa" w:w="3888"/>
          </w:tcPr>
          <w:p>
            <w:pPr>
              <w:spacing w:after="0"/>
            </w:pPr>
            <w:r/>
            <w:r>
              <w:rPr>
                <w:rFonts w:ascii="Calibri" w:hAnsi="Calibri"/>
                <w:color w:val="333333"/>
                <w:sz w:val="18"/>
              </w:rPr>
              <w:t>NMF, LDA, BERTopic; VADER-style lexicons</w:t>
            </w:r>
          </w:p>
        </w:tc>
        <w:tc>
          <w:tcPr>
            <w:tcW w:type="dxa" w:w="2880"/>
          </w:tcPr>
          <w:p>
            <w:pPr>
              <w:spacing w:after="0"/>
            </w:pPr>
            <w:r/>
            <w:r>
              <w:rPr>
                <w:rFonts w:ascii="Calibri" w:hAnsi="Calibri"/>
                <w:color w:val="333333"/>
                <w:sz w:val="18"/>
              </w:rPr>
              <w:t>Lee 1999; Blei 1022; Grootendorst 2022; Hutto 2014</w:t>
            </w:r>
          </w:p>
        </w:tc>
      </w:tr>
      <w:tr>
        <w:tc>
          <w:tcPr>
            <w:tcW w:type="dxa" w:w="3168"/>
            <w:shd w:val="clear" w:color="auto" w:fill="F3F6FC"/>
          </w:tcPr>
          <w:p>
            <w:pPr>
              <w:spacing w:after="0"/>
            </w:pPr>
            <w:r/>
            <w:r>
              <w:rPr>
                <w:rFonts w:ascii="Calibri" w:hAnsi="Calibri"/>
                <w:b/>
                <w:color w:val="1E2761"/>
                <w:sz w:val="18"/>
              </w:rPr>
              <w:t>Social-media pharmacovigilance; domain shift</w:t>
            </w:r>
          </w:p>
        </w:tc>
        <w:tc>
          <w:tcPr>
            <w:tcW w:type="dxa" w:w="3888"/>
            <w:shd w:val="clear" w:color="auto" w:fill="F3F6FC"/>
          </w:tcPr>
          <w:p>
            <w:pPr>
              <w:spacing w:after="0"/>
            </w:pPr>
            <w:r/>
            <w:r>
              <w:rPr>
                <w:rFonts w:ascii="Calibri" w:hAnsi="Calibri"/>
                <w:color w:val="333333"/>
                <w:sz w:val="18"/>
              </w:rPr>
              <w:t>What social listening finds and misses</w:t>
            </w:r>
          </w:p>
        </w:tc>
        <w:tc>
          <w:tcPr>
            <w:tcW w:type="dxa" w:w="2880"/>
            <w:shd w:val="clear" w:color="auto" w:fill="F3F6FC"/>
          </w:tcPr>
          <w:p>
            <w:pPr>
              <w:spacing w:after="0"/>
            </w:pPr>
            <w:r/>
            <w:r>
              <w:rPr>
                <w:rFonts w:ascii="Calibri" w:hAnsi="Calibri"/>
                <w:color w:val="333333"/>
                <w:sz w:val="18"/>
              </w:rPr>
              <w:t>Sarker 2015; Nikfarjam 2015; Golder 2015; Freifeld 2014; Weissenbacher 2019</w:t>
            </w:r>
          </w:p>
        </w:tc>
      </w:tr>
      <w:tr>
        <w:tc>
          <w:tcPr>
            <w:tcW w:type="dxa" w:w="3168"/>
          </w:tcPr>
          <w:p>
            <w:pPr>
              <w:spacing w:after="0"/>
            </w:pPr>
            <w:r/>
            <w:r>
              <w:rPr>
                <w:rFonts w:ascii="Calibri" w:hAnsi="Calibri"/>
                <w:b/>
                <w:color w:val="1E2761"/>
                <w:sz w:val="18"/>
              </w:rPr>
              <w:t>Disproportionality: PRR, ROR, BCPNN</w:t>
            </w:r>
          </w:p>
        </w:tc>
        <w:tc>
          <w:tcPr>
            <w:tcW w:type="dxa" w:w="3888"/>
          </w:tcPr>
          <w:p>
            <w:pPr>
              <w:spacing w:after="0"/>
            </w:pPr>
            <w:r/>
            <w:r>
              <w:rPr>
                <w:rFonts w:ascii="Calibri" w:hAnsi="Calibri"/>
                <w:color w:val="333333"/>
                <w:sz w:val="18"/>
              </w:rPr>
              <w:t>Signal detection on spontaneous reports</w:t>
            </w:r>
          </w:p>
        </w:tc>
        <w:tc>
          <w:tcPr>
            <w:tcW w:type="dxa" w:w="2880"/>
          </w:tcPr>
          <w:p>
            <w:pPr>
              <w:spacing w:after="0"/>
            </w:pPr>
            <w:r/>
            <w:r>
              <w:rPr>
                <w:rFonts w:ascii="Calibri" w:hAnsi="Calibri"/>
                <w:color w:val="333333"/>
                <w:sz w:val="18"/>
              </w:rPr>
              <w:t>Evans 2001; Bate 1998; Harpaz 1021</w:t>
            </w:r>
          </w:p>
        </w:tc>
      </w:tr>
      <w:tr>
        <w:tc>
          <w:tcPr>
            <w:tcW w:type="dxa" w:w="3168"/>
            <w:shd w:val="clear" w:color="auto" w:fill="F3F6FC"/>
          </w:tcPr>
          <w:p>
            <w:pPr>
              <w:spacing w:after="0"/>
            </w:pPr>
            <w:r/>
            <w:r>
              <w:rPr>
                <w:rFonts w:ascii="Calibri" w:hAnsi="Calibri"/>
                <w:b/>
                <w:color w:val="1E2761"/>
                <w:sz w:val="18"/>
              </w:rPr>
              <w:t>AI governance in PV</w:t>
            </w:r>
          </w:p>
        </w:tc>
        <w:tc>
          <w:tcPr>
            <w:tcW w:type="dxa" w:w="3888"/>
            <w:shd w:val="clear" w:color="auto" w:fill="F3F6FC"/>
          </w:tcPr>
          <w:p>
            <w:pPr>
              <w:spacing w:after="0"/>
            </w:pPr>
            <w:r/>
            <w:r>
              <w:rPr>
                <w:rFonts w:ascii="Calibri" w:hAnsi="Calibri"/>
                <w:color w:val="333333"/>
                <w:sz w:val="18"/>
              </w:rPr>
              <w:t>Human in the loop; PSMF documentation; credibility framework</w:t>
            </w:r>
          </w:p>
        </w:tc>
        <w:tc>
          <w:tcPr>
            <w:tcW w:type="dxa" w:w="2880"/>
            <w:shd w:val="clear" w:color="auto" w:fill="F3F6FC"/>
          </w:tcPr>
          <w:p>
            <w:pPr>
              <w:spacing w:after="0"/>
            </w:pPr>
            <w:r/>
            <w:r>
              <w:rPr>
                <w:rFonts w:ascii="Calibri" w:hAnsi="Calibri"/>
                <w:color w:val="333333"/>
                <w:sz w:val="18"/>
              </w:rPr>
              <w:t>IQVIA 2025; IQVIA (Raizada) 2025; U.S. Food and Drug Administration 2025; FDA, Health Canada, MHRA 2021</w:t>
            </w:r>
          </w:p>
        </w:tc>
      </w:tr>
    </w:tbl>
    <w:p>
      <w:pPr>
        <w:spacing w:after="80"/>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Week 7 Field Guide · Applied Data Science and AI in Pharma Commercial · Columbia DSI · Fall 2026 · All data synthetic; GLUCOREN, CARDIVEX and Aspen Therapeutics are fictional.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 Cupallari</dc:creator>
  <cp:keywords/>
  <dc:description/>
  <cp:lastModifiedBy>Andi Cupallari</cp:lastModifiedBy>
  <cp:revision>1</cp:revision>
  <dcterms:created xsi:type="dcterms:W3CDTF">2026-10-24T19:32:33Z</dcterms:created>
  <dcterms:modified xsi:type="dcterms:W3CDTF">2026-10-24T19:32:33Z</dcterms:modified>
  <cp:category/>
</cp:coreProperties>
</file>