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E2761"/>
          <w:sz w:val="44"/>
        </w:rPr>
        <w:t>Week 6 — Forecasting Field Guide</w:t>
      </w:r>
    </w:p>
    <w:p>
      <w:pPr>
        <w:spacing w:after="80" w:before="0"/>
      </w:pPr>
      <w:r>
        <w:rPr>
          <w:rFonts w:ascii="Calibri" w:hAnsi="Calibri"/>
          <w:b/>
          <w:i w:val="0"/>
          <w:color w:val="1E2761"/>
          <w:sz w:val="28"/>
        </w:rPr>
        <w:t>The patient funnel: a simple model with documented assumptions</w:t>
      </w:r>
    </w:p>
    <w:p>
      <w:pPr>
        <w:spacing w:after="80" w:before="0"/>
      </w:pPr>
      <w:r>
        <w:rPr>
          <w:rFonts w:ascii="Calibri" w:hAnsi="Calibri"/>
          <w:b w:val="0"/>
          <w:i w:val="0"/>
          <w:color w:val="666666"/>
          <w:sz w:val="22"/>
        </w:rPr>
        <w:t>Applied Data Science and AI in Pharma Commercial · Columbia University · Fall 2026</w:t>
      </w:r>
    </w:p>
    <w:p>
      <w:pPr>
        <w:spacing w:after="40" w:before="0"/>
      </w:pPr>
      <w:r>
        <w:rPr>
          <w:rFonts w:ascii="Calibri" w:hAnsi="Calibri"/>
          <w:b/>
          <w:i w:val="0"/>
          <w:color w:val="333333"/>
          <w:sz w:val="22"/>
        </w:rPr>
        <w:t>Reference handout · keep for Homework 2 and the term project · Monday, October 19, 2026</w:t>
      </w:r>
    </w:p>
    <w:p>
      <w:pPr>
        <w:spacing w:after="160"/>
        <w:pBdr>
          <w:bottom w:val="single" w:sz="8" w:space="1" w:color="1E2761"/>
        </w:pBdr>
      </w:pPr>
    </w:p>
    <w:p>
      <w:pPr>
        <w:spacing w:after="120" w:before="0"/>
      </w:pPr>
      <w:r>
        <w:rPr>
          <w:rFonts w:ascii="Calibri" w:hAnsi="Calibri"/>
          <w:b w:val="0"/>
          <w:i/>
          <w:color w:val="666666"/>
          <w:sz w:val="21"/>
        </w:rPr>
        <w:t>This guide covers the vocabulary, the formulas and the templates in the order a forecast is built. The model is deliberately simple: a few multiplications per year, each input written down with a range, a source and a reason. Worked numbers are from tonight's synthetic LYMBREXA / DLBCL case; the same model is in Week_06_LYMBREXA_Forecast_Model.xlsx and the notebook. Sources are peer-reviewed papers, standard texts, government agencies and the IQVIA papers in the course library (References at the end).</w:t>
      </w:r>
    </w:p>
    <w:tbl>
      <w:tblPr>
        <w:tblW w:type="auto" w:w="0"/>
        <w:jc w:val="center"/>
        <w:tblLook w:firstColumn="1" w:firstRow="1" w:lastColumn="0" w:lastRow="0" w:noHBand="0" w:noVBand="1" w:val="04A0"/>
      </w:tblPr>
      <w:tblGrid>
        <w:gridCol w:w="9936"/>
      </w:tblGrid>
      <w:tr>
        <w:tc>
          <w:tcPr>
            <w:tcW w:type="dxa" w:w="9936"/>
            <w:shd w:val="clear" w:color="auto" w:fill="E9EFFB"/>
          </w:tcPr>
          <w:p>
            <w:pPr>
              <w:spacing w:after="40"/>
            </w:pPr>
            <w:r/>
            <w:r>
              <w:rPr>
                <w:rFonts w:ascii="Calibri" w:hAnsi="Calibri"/>
                <w:b/>
                <w:color w:val="1E2761"/>
                <w:sz w:val="22"/>
              </w:rPr>
              <w:t>The principle</w:t>
            </w:r>
          </w:p>
          <w:p>
            <w:pPr>
              <w:spacing w:after="40"/>
            </w:pPr>
            <w:r>
              <w:rPr>
                <w:rFonts w:ascii="Calibri" w:hAnsi="Calibri"/>
                <w:color w:val="333333"/>
                <w:sz w:val="21"/>
              </w:rPr>
              <w:t>A forecast is a chain of assumptions multiplied together. Keep the chain short, write every link down, and show a range. A simple model that everyone can challenge beats a complex one nobody can follow.</w:t>
            </w:r>
          </w:p>
        </w:tc>
      </w:tr>
    </w:tbl>
    <w:p>
      <w:pPr>
        <w:spacing w:after="80"/>
      </w:pPr>
    </w:p>
    <w:p>
      <w:pPr>
        <w:keepNext/>
        <w:spacing w:after="80" w:before="240"/>
      </w:pPr>
      <w:r>
        <w:rPr>
          <w:rFonts w:ascii="Calibri" w:hAnsi="Calibri"/>
          <w:b/>
          <w:i w:val="0"/>
          <w:color w:val="1E2761"/>
          <w:sz w:val="30"/>
        </w:rPr>
        <w:t>Part 1 · What a forecast is for</w:t>
      </w:r>
    </w:p>
    <w:tbl>
      <w:tblPr>
        <w:tblStyle w:val="TableGrid"/>
        <w:tblW w:type="auto" w:w="0"/>
        <w:jc w:val="center"/>
        <w:tblLayout w:type="fixed"/>
        <w:tblLook w:firstColumn="1" w:firstRow="1" w:lastColumn="0" w:lastRow="0" w:noHBand="0" w:noVBand="1" w:val="04A0"/>
      </w:tblPr>
      <w:tblGrid>
        <w:gridCol w:w="1872"/>
        <w:gridCol w:w="4032"/>
        <w:gridCol w:w="4032"/>
      </w:tblGrid>
      <w:tr>
        <w:tc>
          <w:tcPr>
            <w:tcW w:type="dxa" w:w="1872"/>
            <w:shd w:val="clear" w:color="auto" w:fill="1E2761"/>
          </w:tcPr>
          <w:p>
            <w:pPr>
              <w:spacing w:after="0"/>
            </w:pPr>
            <w:r/>
            <w:r>
              <w:rPr>
                <w:rFonts w:ascii="Calibri" w:hAnsi="Calibri"/>
                <w:b/>
                <w:color w:val="FFFFFF"/>
                <w:sz w:val="18"/>
              </w:rPr>
            </w:r>
          </w:p>
        </w:tc>
        <w:tc>
          <w:tcPr>
            <w:tcW w:type="dxa" w:w="4032"/>
            <w:shd w:val="clear" w:color="auto" w:fill="1E2761"/>
          </w:tcPr>
          <w:p>
            <w:pPr>
              <w:spacing w:after="0"/>
            </w:pPr>
            <w:r/>
            <w:r>
              <w:rPr>
                <w:rFonts w:ascii="Calibri" w:hAnsi="Calibri"/>
                <w:b/>
                <w:color w:val="FFFFFF"/>
                <w:sz w:val="18"/>
              </w:rPr>
              <w:t>Budget forecast</w:t>
            </w:r>
          </w:p>
        </w:tc>
        <w:tc>
          <w:tcPr>
            <w:tcW w:type="dxa" w:w="4032"/>
            <w:shd w:val="clear" w:color="auto" w:fill="1E2761"/>
          </w:tcPr>
          <w:p>
            <w:pPr>
              <w:spacing w:after="0"/>
            </w:pPr>
            <w:r/>
            <w:r>
              <w:rPr>
                <w:rFonts w:ascii="Calibri" w:hAnsi="Calibri"/>
                <w:b/>
                <w:color w:val="FFFFFF"/>
                <w:sz w:val="18"/>
              </w:rPr>
              <w:t>Long-range plan (LRP)</w:t>
            </w:r>
          </w:p>
        </w:tc>
      </w:tr>
      <w:tr>
        <w:tc>
          <w:tcPr>
            <w:tcW w:type="dxa" w:w="1872"/>
          </w:tcPr>
          <w:p>
            <w:pPr>
              <w:spacing w:after="0"/>
            </w:pPr>
            <w:r/>
            <w:r>
              <w:rPr>
                <w:rFonts w:ascii="Calibri" w:hAnsi="Calibri"/>
                <w:b/>
                <w:color w:val="1E2761"/>
                <w:sz w:val="18"/>
              </w:rPr>
              <w:t>Horizon</w:t>
            </w:r>
          </w:p>
        </w:tc>
        <w:tc>
          <w:tcPr>
            <w:tcW w:type="dxa" w:w="4032"/>
          </w:tcPr>
          <w:p>
            <w:pPr>
              <w:spacing w:after="0"/>
            </w:pPr>
            <w:r/>
            <w:r>
              <w:rPr>
                <w:rFonts w:ascii="Calibri" w:hAnsi="Calibri"/>
                <w:color w:val="333333"/>
                <w:sz w:val="18"/>
              </w:rPr>
              <w:t>next 2–3 years</w:t>
            </w:r>
          </w:p>
        </w:tc>
        <w:tc>
          <w:tcPr>
            <w:tcW w:type="dxa" w:w="4032"/>
          </w:tcPr>
          <w:p>
            <w:pPr>
              <w:spacing w:after="0"/>
            </w:pPr>
            <w:r/>
            <w:r>
              <w:rPr>
                <w:rFonts w:ascii="Calibri" w:hAnsi="Calibri"/>
                <w:color w:val="333333"/>
                <w:sz w:val="18"/>
              </w:rPr>
              <w:t>5–15 years, through loss of exclusivity</w:t>
            </w:r>
          </w:p>
        </w:tc>
      </w:tr>
      <w:tr>
        <w:tc>
          <w:tcPr>
            <w:tcW w:type="dxa" w:w="1872"/>
            <w:shd w:val="clear" w:color="auto" w:fill="F3F6FC"/>
          </w:tcPr>
          <w:p>
            <w:pPr>
              <w:spacing w:after="0"/>
            </w:pPr>
            <w:r/>
            <w:r>
              <w:rPr>
                <w:rFonts w:ascii="Calibri" w:hAnsi="Calibri"/>
                <w:b/>
                <w:color w:val="1E2761"/>
                <w:sz w:val="18"/>
              </w:rPr>
              <w:t>Grain</w:t>
            </w:r>
          </w:p>
        </w:tc>
        <w:tc>
          <w:tcPr>
            <w:tcW w:type="dxa" w:w="4032"/>
            <w:shd w:val="clear" w:color="auto" w:fill="F3F6FC"/>
          </w:tcPr>
          <w:p>
            <w:pPr>
              <w:spacing w:after="0"/>
            </w:pPr>
            <w:r/>
            <w:r>
              <w:rPr>
                <w:rFonts w:ascii="Calibri" w:hAnsi="Calibri"/>
                <w:color w:val="333333"/>
                <w:sz w:val="18"/>
              </w:rPr>
              <w:t>monthly; by region and account</w:t>
            </w:r>
          </w:p>
        </w:tc>
        <w:tc>
          <w:tcPr>
            <w:tcW w:type="dxa" w:w="4032"/>
            <w:shd w:val="clear" w:color="auto" w:fill="F3F6FC"/>
          </w:tcPr>
          <w:p>
            <w:pPr>
              <w:spacing w:after="0"/>
            </w:pPr>
            <w:r/>
            <w:r>
              <w:rPr>
                <w:rFonts w:ascii="Calibri" w:hAnsi="Calibri"/>
                <w:color w:val="333333"/>
                <w:sz w:val="18"/>
              </w:rPr>
              <w:t>annual</w:t>
            </w:r>
          </w:p>
        </w:tc>
      </w:tr>
      <w:tr>
        <w:tc>
          <w:tcPr>
            <w:tcW w:type="dxa" w:w="1872"/>
          </w:tcPr>
          <w:p>
            <w:pPr>
              <w:spacing w:after="0"/>
            </w:pPr>
            <w:r/>
            <w:r>
              <w:rPr>
                <w:rFonts w:ascii="Calibri" w:hAnsi="Calibri"/>
                <w:b/>
                <w:color w:val="1E2761"/>
                <w:sz w:val="18"/>
              </w:rPr>
              <w:t>Refresh</w:t>
            </w:r>
          </w:p>
        </w:tc>
        <w:tc>
          <w:tcPr>
            <w:tcW w:type="dxa" w:w="4032"/>
          </w:tcPr>
          <w:p>
            <w:pPr>
              <w:spacing w:after="0"/>
            </w:pPr>
            <w:r/>
            <w:r>
              <w:rPr>
                <w:rFonts w:ascii="Calibri" w:hAnsi="Calibri"/>
                <w:color w:val="333333"/>
                <w:sz w:val="18"/>
              </w:rPr>
              <w:t>quarterly</w:t>
            </w:r>
          </w:p>
        </w:tc>
        <w:tc>
          <w:tcPr>
            <w:tcW w:type="dxa" w:w="4032"/>
          </w:tcPr>
          <w:p>
            <w:pPr>
              <w:spacing w:after="0"/>
            </w:pPr>
            <w:r/>
            <w:r>
              <w:rPr>
                <w:rFonts w:ascii="Calibri" w:hAnsi="Calibri"/>
                <w:color w:val="333333"/>
                <w:sz w:val="18"/>
              </w:rPr>
              <w:t>annually, and after major events (trial readout, label)</w:t>
            </w:r>
          </w:p>
        </w:tc>
      </w:tr>
      <w:tr>
        <w:tc>
          <w:tcPr>
            <w:tcW w:type="dxa" w:w="1872"/>
            <w:shd w:val="clear" w:color="auto" w:fill="F3F6FC"/>
          </w:tcPr>
          <w:p>
            <w:pPr>
              <w:spacing w:after="0"/>
            </w:pPr>
            <w:r/>
            <w:r>
              <w:rPr>
                <w:rFonts w:ascii="Calibri" w:hAnsi="Calibri"/>
                <w:b/>
                <w:color w:val="1E2761"/>
                <w:sz w:val="18"/>
              </w:rPr>
              <w:t>Costly error</w:t>
            </w:r>
          </w:p>
        </w:tc>
        <w:tc>
          <w:tcPr>
            <w:tcW w:type="dxa" w:w="4032"/>
            <w:shd w:val="clear" w:color="auto" w:fill="F3F6FC"/>
          </w:tcPr>
          <w:p>
            <w:pPr>
              <w:spacing w:after="0"/>
            </w:pPr>
            <w:r/>
            <w:r>
              <w:rPr>
                <w:rFonts w:ascii="Calibri" w:hAnsi="Calibri"/>
                <w:color w:val="333333"/>
                <w:sz w:val="18"/>
              </w:rPr>
              <w:t>a miss in the next 12 months: supply, cash, sales targets</w:t>
            </w:r>
          </w:p>
        </w:tc>
        <w:tc>
          <w:tcPr>
            <w:tcW w:type="dxa" w:w="4032"/>
            <w:shd w:val="clear" w:color="auto" w:fill="F3F6FC"/>
          </w:tcPr>
          <w:p>
            <w:pPr>
              <w:spacing w:after="0"/>
            </w:pPr>
            <w:r/>
            <w:r>
              <w:rPr>
                <w:rFonts w:ascii="Calibri" w:hAnsi="Calibri"/>
                <w:color w:val="333333"/>
                <w:sz w:val="18"/>
              </w:rPr>
              <w:t>the size and timing of the peak: investment decisions</w:t>
            </w:r>
          </w:p>
        </w:tc>
      </w:tr>
      <w:tr>
        <w:tc>
          <w:tcPr>
            <w:tcW w:type="dxa" w:w="1872"/>
          </w:tcPr>
          <w:p>
            <w:pPr>
              <w:spacing w:after="0"/>
            </w:pPr>
            <w:r/>
            <w:r>
              <w:rPr>
                <w:rFonts w:ascii="Calibri" w:hAnsi="Calibri"/>
                <w:b/>
                <w:color w:val="1E2761"/>
                <w:sz w:val="18"/>
              </w:rPr>
              <w:t>Owner</w:t>
            </w:r>
          </w:p>
        </w:tc>
        <w:tc>
          <w:tcPr>
            <w:tcW w:type="dxa" w:w="4032"/>
          </w:tcPr>
          <w:p>
            <w:pPr>
              <w:spacing w:after="0"/>
            </w:pPr>
            <w:r/>
            <w:r>
              <w:rPr>
                <w:rFonts w:ascii="Calibri" w:hAnsi="Calibri"/>
                <w:color w:val="333333"/>
                <w:sz w:val="18"/>
              </w:rPr>
              <w:t>brand lead + finance</w:t>
            </w:r>
          </w:p>
        </w:tc>
        <w:tc>
          <w:tcPr>
            <w:tcW w:type="dxa" w:w="4032"/>
          </w:tcPr>
          <w:p>
            <w:pPr>
              <w:spacing w:after="0"/>
            </w:pPr>
            <w:r/>
            <w:r>
              <w:rPr>
                <w:rFonts w:ascii="Calibri" w:hAnsi="Calibri"/>
                <w:color w:val="333333"/>
                <w:sz w:val="18"/>
              </w:rPr>
              <w:t>portfolio strategy + finance + R&amp;D</w:t>
            </w:r>
          </w:p>
        </w:tc>
      </w:tr>
    </w:tbl>
    <w:p>
      <w:pPr>
        <w:spacing w:after="80"/>
      </w:pPr>
    </w:p>
    <w:p>
      <w:pPr>
        <w:spacing w:after="120" w:before="0"/>
      </w:pPr>
      <w:r>
        <w:rPr>
          <w:rFonts w:ascii="Calibri" w:hAnsi="Calibri"/>
          <w:b w:val="0"/>
          <w:i w:val="0"/>
          <w:color w:val="333333"/>
          <w:sz w:val="22"/>
        </w:rPr>
        <w:t>Build one model. The budget is the LRP's first two or three years, spread by month.</w:t>
      </w:r>
    </w:p>
    <w:tbl>
      <w:tblPr>
        <w:tblStyle w:val="TableGrid"/>
        <w:tblW w:type="auto" w:w="0"/>
        <w:jc w:val="center"/>
        <w:tblLayout w:type="fixed"/>
        <w:tblLook w:firstColumn="1" w:firstRow="1" w:lastColumn="0" w:lastRow="0" w:noHBand="0" w:noVBand="1" w:val="04A0"/>
      </w:tblPr>
      <w:tblGrid>
        <w:gridCol w:w="3168"/>
        <w:gridCol w:w="6768"/>
      </w:tblGrid>
      <w:tr>
        <w:tc>
          <w:tcPr>
            <w:tcW w:type="dxa" w:w="3168"/>
            <w:shd w:val="clear" w:color="auto" w:fill="1E2761"/>
          </w:tcPr>
          <w:p>
            <w:pPr>
              <w:spacing w:after="0"/>
            </w:pPr>
            <w:r/>
            <w:r>
              <w:rPr>
                <w:rFonts w:ascii="Calibri" w:hAnsi="Calibri"/>
                <w:b/>
                <w:color w:val="FFFFFF"/>
                <w:sz w:val="18"/>
              </w:rPr>
              <w:t>Function</w:t>
            </w:r>
          </w:p>
        </w:tc>
        <w:tc>
          <w:tcPr>
            <w:tcW w:type="dxa" w:w="6768"/>
            <w:shd w:val="clear" w:color="auto" w:fill="1E2761"/>
          </w:tcPr>
          <w:p>
            <w:pPr>
              <w:spacing w:after="0"/>
            </w:pPr>
            <w:r/>
            <w:r>
              <w:rPr>
                <w:rFonts w:ascii="Calibri" w:hAnsi="Calibri"/>
                <w:b/>
                <w:color w:val="FFFFFF"/>
                <w:sz w:val="18"/>
              </w:rPr>
              <w:t>Uses the forecast for</w:t>
            </w:r>
          </w:p>
        </w:tc>
      </w:tr>
      <w:tr>
        <w:tc>
          <w:tcPr>
            <w:tcW w:type="dxa" w:w="3168"/>
          </w:tcPr>
          <w:p>
            <w:pPr>
              <w:spacing w:after="0"/>
            </w:pPr>
            <w:r/>
            <w:r>
              <w:rPr>
                <w:rFonts w:ascii="Calibri" w:hAnsi="Calibri"/>
                <w:b/>
                <w:color w:val="1E2761"/>
                <w:sz w:val="18"/>
              </w:rPr>
              <w:t>Finance</w:t>
            </w:r>
          </w:p>
        </w:tc>
        <w:tc>
          <w:tcPr>
            <w:tcW w:type="dxa" w:w="6768"/>
          </w:tcPr>
          <w:p>
            <w:pPr>
              <w:spacing w:after="0"/>
            </w:pPr>
            <w:r/>
            <w:r>
              <w:rPr>
                <w:rFonts w:ascii="Calibri" w:hAnsi="Calibri"/>
                <w:color w:val="333333"/>
                <w:sz w:val="18"/>
              </w:rPr>
              <w:t>the budget; guidance to investors</w:t>
            </w:r>
          </w:p>
        </w:tc>
      </w:tr>
      <w:tr>
        <w:tc>
          <w:tcPr>
            <w:tcW w:type="dxa" w:w="3168"/>
            <w:shd w:val="clear" w:color="auto" w:fill="F3F6FC"/>
          </w:tcPr>
          <w:p>
            <w:pPr>
              <w:spacing w:after="0"/>
            </w:pPr>
            <w:r/>
            <w:r>
              <w:rPr>
                <w:rFonts w:ascii="Calibri" w:hAnsi="Calibri"/>
                <w:b/>
                <w:color w:val="1E2761"/>
                <w:sz w:val="18"/>
              </w:rPr>
              <w:t>Supply / manufacturing</w:t>
            </w:r>
          </w:p>
        </w:tc>
        <w:tc>
          <w:tcPr>
            <w:tcW w:type="dxa" w:w="6768"/>
            <w:shd w:val="clear" w:color="auto" w:fill="F3F6FC"/>
          </w:tcPr>
          <w:p>
            <w:pPr>
              <w:spacing w:after="0"/>
            </w:pPr>
            <w:r/>
            <w:r>
              <w:rPr>
                <w:rFonts w:ascii="Calibri" w:hAnsi="Calibri"/>
                <w:color w:val="333333"/>
                <w:sz w:val="18"/>
              </w:rPr>
              <w:t>how many vials, by month; plant capacity years ahead</w:t>
            </w:r>
          </w:p>
        </w:tc>
      </w:tr>
      <w:tr>
        <w:tc>
          <w:tcPr>
            <w:tcW w:type="dxa" w:w="3168"/>
          </w:tcPr>
          <w:p>
            <w:pPr>
              <w:spacing w:after="0"/>
            </w:pPr>
            <w:r/>
            <w:r>
              <w:rPr>
                <w:rFonts w:ascii="Calibri" w:hAnsi="Calibri"/>
                <w:b/>
                <w:color w:val="1E2761"/>
                <w:sz w:val="18"/>
              </w:rPr>
              <w:t>Sales operations</w:t>
            </w:r>
          </w:p>
        </w:tc>
        <w:tc>
          <w:tcPr>
            <w:tcW w:type="dxa" w:w="6768"/>
          </w:tcPr>
          <w:p>
            <w:pPr>
              <w:spacing w:after="0"/>
            </w:pPr>
            <w:r/>
            <w:r>
              <w:rPr>
                <w:rFonts w:ascii="Calibri" w:hAnsi="Calibri"/>
                <w:color w:val="333333"/>
                <w:sz w:val="18"/>
              </w:rPr>
              <w:t>targets and incentive pay</w:t>
            </w:r>
          </w:p>
        </w:tc>
      </w:tr>
      <w:tr>
        <w:tc>
          <w:tcPr>
            <w:tcW w:type="dxa" w:w="3168"/>
            <w:shd w:val="clear" w:color="auto" w:fill="F3F6FC"/>
          </w:tcPr>
          <w:p>
            <w:pPr>
              <w:spacing w:after="0"/>
            </w:pPr>
            <w:r/>
            <w:r>
              <w:rPr>
                <w:rFonts w:ascii="Calibri" w:hAnsi="Calibri"/>
                <w:b/>
                <w:color w:val="1E2761"/>
                <w:sz w:val="18"/>
              </w:rPr>
              <w:t>Marketing</w:t>
            </w:r>
          </w:p>
        </w:tc>
        <w:tc>
          <w:tcPr>
            <w:tcW w:type="dxa" w:w="6768"/>
            <w:shd w:val="clear" w:color="auto" w:fill="F3F6FC"/>
          </w:tcPr>
          <w:p>
            <w:pPr>
              <w:spacing w:after="0"/>
            </w:pPr>
            <w:r/>
            <w:r>
              <w:rPr>
                <w:rFonts w:ascii="Calibri" w:hAnsi="Calibri"/>
                <w:color w:val="333333"/>
                <w:sz w:val="18"/>
              </w:rPr>
              <w:t>how much to spend, and where</w:t>
            </w:r>
          </w:p>
        </w:tc>
      </w:tr>
      <w:tr>
        <w:tc>
          <w:tcPr>
            <w:tcW w:type="dxa" w:w="3168"/>
          </w:tcPr>
          <w:p>
            <w:pPr>
              <w:spacing w:after="0"/>
            </w:pPr>
            <w:r/>
            <w:r>
              <w:rPr>
                <w:rFonts w:ascii="Calibri" w:hAnsi="Calibri"/>
                <w:b/>
                <w:color w:val="1E2761"/>
                <w:sz w:val="18"/>
              </w:rPr>
              <w:t>Market access</w:t>
            </w:r>
          </w:p>
        </w:tc>
        <w:tc>
          <w:tcPr>
            <w:tcW w:type="dxa" w:w="6768"/>
          </w:tcPr>
          <w:p>
            <w:pPr>
              <w:spacing w:after="0"/>
            </w:pPr>
            <w:r/>
            <w:r>
              <w:rPr>
                <w:rFonts w:ascii="Calibri" w:hAnsi="Calibri"/>
                <w:color w:val="333333"/>
                <w:sz w:val="18"/>
              </w:rPr>
              <w:t>rebates and contract volumes</w:t>
            </w:r>
          </w:p>
        </w:tc>
      </w:tr>
      <w:tr>
        <w:tc>
          <w:tcPr>
            <w:tcW w:type="dxa" w:w="3168"/>
            <w:shd w:val="clear" w:color="auto" w:fill="F3F6FC"/>
          </w:tcPr>
          <w:p>
            <w:pPr>
              <w:spacing w:after="0"/>
            </w:pPr>
            <w:r/>
            <w:r>
              <w:rPr>
                <w:rFonts w:ascii="Calibri" w:hAnsi="Calibri"/>
                <w:b/>
                <w:color w:val="1E2761"/>
                <w:sz w:val="18"/>
              </w:rPr>
              <w:t>Medical affairs</w:t>
            </w:r>
          </w:p>
        </w:tc>
        <w:tc>
          <w:tcPr>
            <w:tcW w:type="dxa" w:w="6768"/>
            <w:shd w:val="clear" w:color="auto" w:fill="F3F6FC"/>
          </w:tcPr>
          <w:p>
            <w:pPr>
              <w:spacing w:after="0"/>
            </w:pPr>
            <w:r/>
            <w:r>
              <w:rPr>
                <w:rFonts w:ascii="Calibri" w:hAnsi="Calibri"/>
                <w:color w:val="333333"/>
                <w:sz w:val="18"/>
              </w:rPr>
              <w:t>team size; evidence plans</w:t>
            </w:r>
          </w:p>
        </w:tc>
      </w:tr>
      <w:tr>
        <w:tc>
          <w:tcPr>
            <w:tcW w:type="dxa" w:w="3168"/>
          </w:tcPr>
          <w:p>
            <w:pPr>
              <w:spacing w:after="0"/>
            </w:pPr>
            <w:r/>
            <w:r>
              <w:rPr>
                <w:rFonts w:ascii="Calibri" w:hAnsi="Calibri"/>
                <w:b/>
                <w:color w:val="1E2761"/>
                <w:sz w:val="18"/>
              </w:rPr>
              <w:t>R&amp;D / business development</w:t>
            </w:r>
          </w:p>
        </w:tc>
        <w:tc>
          <w:tcPr>
            <w:tcW w:type="dxa" w:w="6768"/>
          </w:tcPr>
          <w:p>
            <w:pPr>
              <w:spacing w:after="0"/>
            </w:pPr>
            <w:r/>
            <w:r>
              <w:rPr>
                <w:rFonts w:ascii="Calibri" w:hAnsi="Calibri"/>
                <w:color w:val="333333"/>
                <w:sz w:val="18"/>
              </w:rPr>
              <w:t>which indication next; what a deal is worth</w:t>
            </w:r>
          </w:p>
        </w:tc>
      </w:tr>
      <w:tr>
        <w:tc>
          <w:tcPr>
            <w:tcW w:type="dxa" w:w="3168"/>
            <w:shd w:val="clear" w:color="auto" w:fill="F3F6FC"/>
          </w:tcPr>
          <w:p>
            <w:pPr>
              <w:spacing w:after="0"/>
            </w:pPr>
            <w:r/>
            <w:r>
              <w:rPr>
                <w:rFonts w:ascii="Calibri" w:hAnsi="Calibri"/>
                <w:b/>
                <w:color w:val="1E2761"/>
                <w:sz w:val="18"/>
              </w:rPr>
              <w:t>Executive team</w:t>
            </w:r>
          </w:p>
        </w:tc>
        <w:tc>
          <w:tcPr>
            <w:tcW w:type="dxa" w:w="6768"/>
            <w:shd w:val="clear" w:color="auto" w:fill="F3F6FC"/>
          </w:tcPr>
          <w:p>
            <w:pPr>
              <w:spacing w:after="0"/>
            </w:pPr>
            <w:r/>
            <w:r>
              <w:rPr>
                <w:rFonts w:ascii="Calibri" w:hAnsi="Calibri"/>
                <w:color w:val="333333"/>
                <w:sz w:val="18"/>
              </w:rPr>
              <w:t>the plan of record</w:t>
            </w:r>
          </w:p>
        </w:tc>
      </w:tr>
    </w:tbl>
    <w:p>
      <w:pPr>
        <w:spacing w:after="80"/>
      </w:pPr>
    </w:p>
    <w:p>
      <w:pPr>
        <w:keepNext/>
        <w:spacing w:after="80" w:before="240"/>
      </w:pPr>
      <w:r>
        <w:rPr>
          <w:rFonts w:ascii="Calibri" w:hAnsi="Calibri"/>
          <w:b/>
          <w:i w:val="0"/>
          <w:color w:val="1E2761"/>
          <w:sz w:val="30"/>
        </w:rPr>
        <w:t>Part 2 · Choosing the model shape</w:t>
      </w:r>
    </w:p>
    <w:p>
      <w:pPr>
        <w:spacing w:after="120" w:before="0"/>
      </w:pPr>
      <w:r>
        <w:rPr>
          <w:rFonts w:ascii="Calibri" w:hAnsi="Calibri"/>
          <w:b/>
          <w:i w:val="0"/>
          <w:color w:val="333333"/>
          <w:sz w:val="22"/>
        </w:rPr>
        <w:t xml:space="preserve">Incidence model. </w:t>
      </w:r>
      <w:r>
        <w:rPr>
          <w:rFonts w:ascii="Calibri" w:hAnsi="Calibri"/>
          <w:b w:val="0"/>
          <w:i w:val="0"/>
          <w:color w:val="333333"/>
          <w:sz w:val="22"/>
        </w:rPr>
        <w:t>Starts from new cases per year. Fits oncology lines of therapy, acute care and vaccines. Tonight: DLBCL.</w:t>
      </w:r>
    </w:p>
    <w:p>
      <w:pPr>
        <w:spacing w:after="120" w:before="0"/>
      </w:pPr>
      <w:r>
        <w:rPr>
          <w:rFonts w:ascii="Calibri" w:hAnsi="Calibri"/>
          <w:b/>
          <w:i w:val="0"/>
          <w:color w:val="333333"/>
          <w:sz w:val="22"/>
        </w:rPr>
        <w:t xml:space="preserve">Prevalence model. </w:t>
      </w:r>
      <w:r>
        <w:rPr>
          <w:rFonts w:ascii="Calibri" w:hAnsi="Calibri"/>
          <w:b w:val="0"/>
          <w:i w:val="0"/>
          <w:color w:val="333333"/>
          <w:sz w:val="22"/>
        </w:rPr>
        <w:t>Starts from people living with the disease. Fits chronic therapy: diabetes, psoriasis, HIV. Tonight: GLUCOREN in type 2 diabetes. Prevalence ≈ incidence × how long the disease lasts.</w:t>
      </w:r>
    </w:p>
    <w:p>
      <w:pPr>
        <w:spacing w:after="120" w:before="0"/>
      </w:pPr>
      <w:r>
        <w:rPr>
          <w:rFonts w:ascii="Calibri" w:hAnsi="Calibri"/>
          <w:b/>
          <w:i w:val="0"/>
          <w:color w:val="333333"/>
          <w:sz w:val="22"/>
        </w:rPr>
        <w:t xml:space="preserve">Flow model. </w:t>
      </w:r>
      <w:r>
        <w:rPr>
          <w:rFonts w:ascii="Calibri" w:hAnsi="Calibri"/>
          <w:b w:val="0"/>
          <w:i w:val="0"/>
          <w:color w:val="333333"/>
          <w:sz w:val="22"/>
        </w:rPr>
        <w:t>Patients move through stages with a delay (here: one year from line to line). Use it when timing matters — launches, new labels, patent expiry.</w:t>
      </w:r>
    </w:p>
    <w:p>
      <w:pPr>
        <w:spacing w:after="120" w:before="0"/>
      </w:pPr>
      <w:r>
        <w:rPr>
          <w:rFonts w:ascii="Calibri" w:hAnsi="Calibri"/>
          <w:b/>
          <w:i w:val="0"/>
          <w:color w:val="333333"/>
          <w:sz w:val="22"/>
        </w:rPr>
        <w:t xml:space="preserve">Stock model. </w:t>
      </w:r>
      <w:r>
        <w:rPr>
          <w:rFonts w:ascii="Calibri" w:hAnsi="Calibri"/>
          <w:b w:val="0"/>
          <w:i w:val="0"/>
          <w:color w:val="333333"/>
          <w:sz w:val="22"/>
        </w:rPr>
        <w:t>Patients this year × rates × shares; each year stands alone. Fine for a stable market.</w:t>
      </w:r>
    </w:p>
    <w:tbl>
      <w:tblPr>
        <w:tblStyle w:val="TableGrid"/>
        <w:tblW w:type="auto" w:w="0"/>
        <w:jc w:val="center"/>
        <w:tblLayout w:type="fixed"/>
        <w:tblLook w:firstColumn="1" w:firstRow="1" w:lastColumn="0" w:lastRow="0" w:noHBand="0" w:noVBand="1" w:val="04A0"/>
      </w:tblPr>
      <w:tblGrid>
        <w:gridCol w:w="3744"/>
        <w:gridCol w:w="3024"/>
        <w:gridCol w:w="3168"/>
      </w:tblGrid>
      <w:tr>
        <w:tc>
          <w:tcPr>
            <w:tcW w:type="dxa" w:w="3744"/>
            <w:shd w:val="clear" w:color="auto" w:fill="1E2761"/>
          </w:tcPr>
          <w:p>
            <w:pPr>
              <w:spacing w:after="0"/>
            </w:pPr>
            <w:r/>
            <w:r>
              <w:rPr>
                <w:rFonts w:ascii="Calibri" w:hAnsi="Calibri"/>
                <w:b/>
                <w:color w:val="FFFFFF"/>
                <w:sz w:val="18"/>
              </w:rPr>
              <w:t>Funnel</w:t>
            </w:r>
          </w:p>
        </w:tc>
        <w:tc>
          <w:tcPr>
            <w:tcW w:type="dxa" w:w="3024"/>
            <w:shd w:val="clear" w:color="auto" w:fill="1E2761"/>
          </w:tcPr>
          <w:p>
            <w:pPr>
              <w:spacing w:after="0"/>
            </w:pPr>
            <w:r/>
            <w:r>
              <w:rPr>
                <w:rFonts w:ascii="Calibri" w:hAnsi="Calibri"/>
                <w:b/>
                <w:color w:val="FFFFFF"/>
                <w:sz w:val="18"/>
              </w:rPr>
              <w:t>Starts from</w:t>
            </w:r>
          </w:p>
        </w:tc>
        <w:tc>
          <w:tcPr>
            <w:tcW w:type="dxa" w:w="3168"/>
            <w:shd w:val="clear" w:color="auto" w:fill="1E2761"/>
          </w:tcPr>
          <w:p>
            <w:pPr>
              <w:spacing w:after="0"/>
            </w:pPr>
            <w:r/>
            <w:r>
              <w:rPr>
                <w:rFonts w:ascii="Calibri" w:hAnsi="Calibri"/>
                <w:b/>
                <w:color w:val="FFFFFF"/>
                <w:sz w:val="18"/>
              </w:rPr>
              <w:t>Usual bottleneck</w:t>
            </w:r>
          </w:p>
        </w:tc>
      </w:tr>
      <w:tr>
        <w:tc>
          <w:tcPr>
            <w:tcW w:type="dxa" w:w="3744"/>
          </w:tcPr>
          <w:p>
            <w:pPr>
              <w:spacing w:after="0"/>
            </w:pPr>
            <w:r/>
            <w:r>
              <w:rPr>
                <w:rFonts w:ascii="Calibri" w:hAnsi="Calibri"/>
                <w:b/>
                <w:color w:val="1E2761"/>
                <w:sz w:val="18"/>
              </w:rPr>
              <w:t>Oncology line of therapy (incidence, flow)</w:t>
            </w:r>
          </w:p>
        </w:tc>
        <w:tc>
          <w:tcPr>
            <w:tcW w:type="dxa" w:w="3024"/>
          </w:tcPr>
          <w:p>
            <w:pPr>
              <w:spacing w:after="0"/>
            </w:pPr>
            <w:r/>
            <w:r>
              <w:rPr>
                <w:rFonts w:ascii="Calibri" w:hAnsi="Calibri"/>
                <w:color w:val="333333"/>
                <w:sz w:val="18"/>
              </w:rPr>
              <w:t>new cases per year</w:t>
            </w:r>
          </w:p>
        </w:tc>
        <w:tc>
          <w:tcPr>
            <w:tcW w:type="dxa" w:w="3168"/>
          </w:tcPr>
          <w:p>
            <w:pPr>
              <w:spacing w:after="0"/>
            </w:pPr>
            <w:r/>
            <w:r>
              <w:rPr>
                <w:rFonts w:ascii="Calibri" w:hAnsi="Calibri"/>
                <w:color w:val="333333"/>
                <w:sz w:val="18"/>
              </w:rPr>
              <w:t>progression rates between lines</w:t>
            </w:r>
          </w:p>
        </w:tc>
      </w:tr>
      <w:tr>
        <w:tc>
          <w:tcPr>
            <w:tcW w:type="dxa" w:w="3744"/>
            <w:shd w:val="clear" w:color="auto" w:fill="F3F6FC"/>
          </w:tcPr>
          <w:p>
            <w:pPr>
              <w:spacing w:after="0"/>
            </w:pPr>
            <w:r/>
            <w:r>
              <w:rPr>
                <w:rFonts w:ascii="Calibri" w:hAnsi="Calibri"/>
                <w:b/>
                <w:color w:val="1E2761"/>
                <w:sz w:val="18"/>
              </w:rPr>
              <w:t>Chronic disease (prevalence, stock)</w:t>
            </w:r>
          </w:p>
        </w:tc>
        <w:tc>
          <w:tcPr>
            <w:tcW w:type="dxa" w:w="3024"/>
            <w:shd w:val="clear" w:color="auto" w:fill="F3F6FC"/>
          </w:tcPr>
          <w:p>
            <w:pPr>
              <w:spacing w:after="0"/>
            </w:pPr>
            <w:r/>
            <w:r>
              <w:rPr>
                <w:rFonts w:ascii="Calibri" w:hAnsi="Calibri"/>
                <w:color w:val="333333"/>
                <w:sz w:val="18"/>
              </w:rPr>
              <w:t>people living with it</w:t>
            </w:r>
          </w:p>
        </w:tc>
        <w:tc>
          <w:tcPr>
            <w:tcW w:type="dxa" w:w="3168"/>
            <w:shd w:val="clear" w:color="auto" w:fill="F3F6FC"/>
          </w:tcPr>
          <w:p>
            <w:pPr>
              <w:spacing w:after="0"/>
            </w:pPr>
            <w:r/>
            <w:r>
              <w:rPr>
                <w:rFonts w:ascii="Calibri" w:hAnsi="Calibri"/>
                <w:color w:val="333333"/>
                <w:sz w:val="18"/>
              </w:rPr>
              <w:t>treated rate and brand share</w:t>
            </w:r>
          </w:p>
        </w:tc>
      </w:tr>
      <w:tr>
        <w:tc>
          <w:tcPr>
            <w:tcW w:type="dxa" w:w="3744"/>
          </w:tcPr>
          <w:p>
            <w:pPr>
              <w:spacing w:after="0"/>
            </w:pPr>
            <w:r/>
            <w:r>
              <w:rPr>
                <w:rFonts w:ascii="Calibri" w:hAnsi="Calibri"/>
                <w:b/>
                <w:color w:val="1E2761"/>
                <w:sz w:val="18"/>
              </w:rPr>
              <w:t>Rare disease (prevalence, patient finding)</w:t>
            </w:r>
          </w:p>
        </w:tc>
        <w:tc>
          <w:tcPr>
            <w:tcW w:type="dxa" w:w="3024"/>
          </w:tcPr>
          <w:p>
            <w:pPr>
              <w:spacing w:after="0"/>
            </w:pPr>
            <w:r/>
            <w:r>
              <w:rPr>
                <w:rFonts w:ascii="Calibri" w:hAnsi="Calibri"/>
                <w:color w:val="333333"/>
                <w:sz w:val="18"/>
              </w:rPr>
              <w:t>people living with it, mostly undiagnosed</w:t>
            </w:r>
          </w:p>
        </w:tc>
        <w:tc>
          <w:tcPr>
            <w:tcW w:type="dxa" w:w="3168"/>
          </w:tcPr>
          <w:p>
            <w:pPr>
              <w:spacing w:after="0"/>
            </w:pPr>
            <w:r/>
            <w:r>
              <w:rPr>
                <w:rFonts w:ascii="Calibri" w:hAnsi="Calibri"/>
                <w:color w:val="333333"/>
                <w:sz w:val="18"/>
              </w:rPr>
              <w:t>diagnosis and referral</w:t>
            </w:r>
          </w:p>
        </w:tc>
      </w:tr>
    </w:tbl>
    <w:p>
      <w:pPr>
        <w:spacing w:after="80"/>
      </w:pPr>
    </w:p>
    <w:p>
      <w:pPr>
        <w:keepNext/>
        <w:spacing w:after="80" w:before="240"/>
      </w:pPr>
      <w:r>
        <w:rPr>
          <w:rFonts w:ascii="Calibri" w:hAnsi="Calibri"/>
          <w:b/>
          <w:i w:val="0"/>
          <w:color w:val="1E2761"/>
          <w:sz w:val="30"/>
        </w:rPr>
        <w:t>Part 3 · The LYMBREXA model in seven lines</w:t>
      </w:r>
    </w:p>
    <w:p>
      <w:pPr>
        <w:pStyle w:val="ListNumber"/>
        <w:spacing w:after="60"/>
      </w:pPr>
      <w:r>
        <w:rPr>
          <w:rFonts w:ascii="Calibri" w:hAnsi="Calibri"/>
          <w:b w:val="0"/>
          <w:color w:val="333333"/>
          <w:sz w:val="21"/>
        </w:rPr>
        <w:t>1L patients(y) = new cases(y) × diagnosed × treated in 1L</w:t>
      </w:r>
    </w:p>
    <w:p>
      <w:pPr>
        <w:pStyle w:val="ListNumber"/>
        <w:spacing w:after="60"/>
      </w:pPr>
      <w:r>
        <w:rPr>
          <w:rFonts w:ascii="Calibri" w:hAnsi="Calibri"/>
          <w:b w:val="0"/>
          <w:color w:val="333333"/>
          <w:sz w:val="21"/>
        </w:rPr>
        <w:t>2L starts(y) = 1L patients(y−1) × share progressing to 2L</w:t>
      </w:r>
    </w:p>
    <w:p>
      <w:pPr>
        <w:pStyle w:val="ListNumber"/>
        <w:spacing w:after="60"/>
      </w:pPr>
      <w:r>
        <w:rPr>
          <w:rFonts w:ascii="Calibri" w:hAnsi="Calibri"/>
          <w:b w:val="0"/>
          <w:color w:val="333333"/>
          <w:sz w:val="21"/>
        </w:rPr>
        <w:t>3L+ starts(y) = 2L starts(y−1) × share progressing to 3L × later-lines multiplier</w:t>
      </w:r>
    </w:p>
    <w:p>
      <w:pPr>
        <w:pStyle w:val="ListNumber"/>
        <w:spacing w:after="60"/>
      </w:pPr>
      <w:r>
        <w:rPr>
          <w:rFonts w:ascii="Calibri" w:hAnsi="Calibri"/>
          <w:b w:val="0"/>
          <w:color w:val="333333"/>
          <w:sz w:val="21"/>
        </w:rPr>
        <w:t>brand share(y) = peak share × uptake(year since launch) × coverage × LOE retention</w:t>
      </w:r>
    </w:p>
    <w:p>
      <w:pPr>
        <w:pStyle w:val="ListNumber"/>
        <w:spacing w:after="60"/>
      </w:pPr>
      <w:r>
        <w:rPr>
          <w:rFonts w:ascii="Calibri" w:hAnsi="Calibri"/>
          <w:b w:val="0"/>
          <w:color w:val="333333"/>
          <w:sz w:val="21"/>
        </w:rPr>
        <w:t>new patients(y) = 3L+ starts × 3L+ share + 2L starts × 2L share</w:t>
      </w:r>
    </w:p>
    <w:p>
      <w:pPr>
        <w:pStyle w:val="ListNumber"/>
        <w:spacing w:after="60"/>
      </w:pPr>
      <w:r>
        <w:rPr>
          <w:rFonts w:ascii="Calibri" w:hAnsi="Calibri"/>
          <w:b w:val="0"/>
          <w:color w:val="333333"/>
          <w:sz w:val="21"/>
        </w:rPr>
        <w:t>patients on therapy(y) = new patients(y) × months on therapy ÷ 12</w:t>
      </w:r>
    </w:p>
    <w:p>
      <w:pPr>
        <w:pStyle w:val="ListNumber"/>
        <w:spacing w:after="60"/>
      </w:pPr>
      <w:r>
        <w:rPr>
          <w:rFonts w:ascii="Calibri" w:hAnsi="Calibri"/>
          <w:b w:val="0"/>
          <w:color w:val="333333"/>
          <w:sz w:val="21"/>
        </w:rPr>
        <w:t>net revenue(y) = new patients(y) × months on therapy × compliance × list price per month × gross-to-net</w:t>
      </w:r>
    </w:p>
    <w:p>
      <w:pPr>
        <w:spacing w:after="120" w:before="0"/>
      </w:pPr>
      <w:r>
        <w:rPr>
          <w:rFonts w:ascii="Calibri" w:hAnsi="Calibri"/>
          <w:b w:val="0"/>
          <w:i w:val="0"/>
          <w:color w:val="333333"/>
          <w:sz w:val="22"/>
        </w:rPr>
        <w:t>Budget: take the 2027 and 2028 values and spread them by month — a straight-line ramp in the launch year (month m gets m/78 of the year), equal months after. That phasing is itself an assumption (F1, F2).</w:t>
      </w:r>
    </w:p>
    <w:tbl>
      <w:tblPr>
        <w:tblW w:type="auto" w:w="0"/>
        <w:jc w:val="center"/>
        <w:tblLook w:firstColumn="1" w:firstRow="1" w:lastColumn="0" w:lastRow="0" w:noHBand="0" w:noVBand="1" w:val="04A0"/>
      </w:tblPr>
      <w:tblGrid>
        <w:gridCol w:w="9936"/>
      </w:tblGrid>
      <w:tr>
        <w:tc>
          <w:tcPr>
            <w:tcW w:type="dxa" w:w="9936"/>
            <w:shd w:val="clear" w:color="auto" w:fill="E9EFFB"/>
          </w:tcPr>
          <w:p>
            <w:pPr>
              <w:spacing w:after="40"/>
            </w:pPr>
            <w:r/>
            <w:r>
              <w:rPr>
                <w:rFonts w:ascii="Calibri" w:hAnsi="Calibri"/>
                <w:b/>
                <w:color w:val="1E2761"/>
                <w:sz w:val="22"/>
              </w:rPr>
              <w:t>Worked example — 2032, base case</w:t>
            </w:r>
          </w:p>
          <w:p>
            <w:pPr>
              <w:spacing w:after="40"/>
            </w:pPr>
            <w:r>
              <w:rPr>
                <w:rFonts w:ascii="Calibri" w:hAnsi="Calibri"/>
                <w:color w:val="333333"/>
                <w:sz w:val="21"/>
              </w:rPr>
              <w:t>3L+ starts 3,931 × 15% × 95% = 560 new 3L+ patients; 2L starts 6,486 × 10% × 95% = 616; total 1,176 new patients → 588 on therapy on average → 1,176 × 6 × 0.95 × $18,500 × 0.76 = $94M.</w:t>
            </w:r>
          </w:p>
        </w:tc>
      </w:tr>
    </w:tbl>
    <w:p>
      <w:pPr>
        <w:spacing w:after="80"/>
      </w:pPr>
    </w:p>
    <w:p>
      <w:pPr>
        <w:keepNext/>
        <w:spacing w:after="80" w:before="240"/>
      </w:pPr>
      <w:r>
        <w:rPr>
          <w:rFonts w:ascii="Calibri" w:hAnsi="Calibri"/>
          <w:b/>
          <w:i w:val="0"/>
          <w:color w:val="1E2761"/>
          <w:sz w:val="30"/>
        </w:rPr>
        <w:t>Part 4 · The assumption book</w:t>
      </w:r>
    </w:p>
    <w:p>
      <w:pPr>
        <w:spacing w:after="120" w:before="0"/>
      </w:pPr>
      <w:r>
        <w:rPr>
          <w:rFonts w:ascii="Calibri" w:hAnsi="Calibri"/>
          <w:b w:val="0"/>
          <w:i w:val="0"/>
          <w:color w:val="333333"/>
          <w:sz w:val="22"/>
        </w:rPr>
        <w:t>Every input gets one row: ID, assumption, unit, low, base, high, source type, source, reason. Add an owner and a date when you version it. The forecast review is a review of this table.</w:t>
      </w:r>
    </w:p>
    <w:tbl>
      <w:tblPr>
        <w:tblStyle w:val="TableGrid"/>
        <w:tblW w:type="auto" w:w="0"/>
        <w:jc w:val="center"/>
        <w:tblLayout w:type="fixed"/>
        <w:tblLook w:firstColumn="1" w:firstRow="1" w:lastColumn="0" w:lastRow="0" w:noHBand="0" w:noVBand="1" w:val="04A0"/>
      </w:tblPr>
      <w:tblGrid>
        <w:gridCol w:w="576"/>
        <w:gridCol w:w="2880"/>
        <w:gridCol w:w="792"/>
        <w:gridCol w:w="1080"/>
        <w:gridCol w:w="792"/>
        <w:gridCol w:w="3816"/>
      </w:tblGrid>
      <w:tr>
        <w:tc>
          <w:tcPr>
            <w:tcW w:type="dxa" w:w="576"/>
            <w:shd w:val="clear" w:color="auto" w:fill="1E2761"/>
          </w:tcPr>
          <w:p>
            <w:pPr>
              <w:spacing w:after="0"/>
            </w:pPr>
            <w:r/>
            <w:r>
              <w:rPr>
                <w:rFonts w:ascii="Calibri" w:hAnsi="Calibri"/>
                <w:b/>
                <w:color w:val="FFFFFF"/>
                <w:sz w:val="15"/>
              </w:rPr>
              <w:t>ID</w:t>
            </w:r>
          </w:p>
        </w:tc>
        <w:tc>
          <w:tcPr>
            <w:tcW w:type="dxa" w:w="2880"/>
            <w:shd w:val="clear" w:color="auto" w:fill="1E2761"/>
          </w:tcPr>
          <w:p>
            <w:pPr>
              <w:spacing w:after="0"/>
            </w:pPr>
            <w:r/>
            <w:r>
              <w:rPr>
                <w:rFonts w:ascii="Calibri" w:hAnsi="Calibri"/>
                <w:b/>
                <w:color w:val="FFFFFF"/>
                <w:sz w:val="15"/>
              </w:rPr>
              <w:t>Assumption</w:t>
            </w:r>
          </w:p>
        </w:tc>
        <w:tc>
          <w:tcPr>
            <w:tcW w:type="dxa" w:w="792"/>
            <w:shd w:val="clear" w:color="auto" w:fill="1E2761"/>
          </w:tcPr>
          <w:p>
            <w:pPr>
              <w:spacing w:after="0"/>
            </w:pPr>
            <w:r/>
            <w:r>
              <w:rPr>
                <w:rFonts w:ascii="Calibri" w:hAnsi="Calibri"/>
                <w:b/>
                <w:color w:val="FFFFFF"/>
                <w:sz w:val="15"/>
              </w:rPr>
              <w:t>Low</w:t>
            </w:r>
          </w:p>
        </w:tc>
        <w:tc>
          <w:tcPr>
            <w:tcW w:type="dxa" w:w="1080"/>
            <w:shd w:val="clear" w:color="auto" w:fill="1E2761"/>
          </w:tcPr>
          <w:p>
            <w:pPr>
              <w:spacing w:after="0"/>
            </w:pPr>
            <w:r/>
            <w:r>
              <w:rPr>
                <w:rFonts w:ascii="Calibri" w:hAnsi="Calibri"/>
                <w:b/>
                <w:color w:val="FFFFFF"/>
                <w:sz w:val="15"/>
              </w:rPr>
              <w:t>Base</w:t>
            </w:r>
          </w:p>
        </w:tc>
        <w:tc>
          <w:tcPr>
            <w:tcW w:type="dxa" w:w="792"/>
            <w:shd w:val="clear" w:color="auto" w:fill="1E2761"/>
          </w:tcPr>
          <w:p>
            <w:pPr>
              <w:spacing w:after="0"/>
            </w:pPr>
            <w:r/>
            <w:r>
              <w:rPr>
                <w:rFonts w:ascii="Calibri" w:hAnsi="Calibri"/>
                <w:b/>
                <w:color w:val="FFFFFF"/>
                <w:sz w:val="15"/>
              </w:rPr>
              <w:t>High</w:t>
            </w:r>
          </w:p>
        </w:tc>
        <w:tc>
          <w:tcPr>
            <w:tcW w:type="dxa" w:w="3816"/>
            <w:shd w:val="clear" w:color="auto" w:fill="1E2761"/>
          </w:tcPr>
          <w:p>
            <w:pPr>
              <w:spacing w:after="0"/>
            </w:pPr>
            <w:r/>
            <w:r>
              <w:rPr>
                <w:rFonts w:ascii="Calibri" w:hAnsi="Calibri"/>
                <w:b/>
                <w:color w:val="FFFFFF"/>
                <w:sz w:val="15"/>
              </w:rPr>
              <w:t>Source</w:t>
            </w:r>
          </w:p>
        </w:tc>
      </w:tr>
      <w:tr>
        <w:tc>
          <w:tcPr>
            <w:tcW w:type="dxa" w:w="576"/>
          </w:tcPr>
          <w:p>
            <w:pPr>
              <w:spacing w:after="0"/>
            </w:pPr>
            <w:r/>
            <w:r>
              <w:rPr>
                <w:rFonts w:ascii="Calibri" w:hAnsi="Calibri"/>
                <w:b/>
                <w:color w:val="1E2761"/>
                <w:sz w:val="15"/>
              </w:rPr>
              <w:t>E0</w:t>
            </w:r>
          </w:p>
        </w:tc>
        <w:tc>
          <w:tcPr>
            <w:tcW w:type="dxa" w:w="2880"/>
          </w:tcPr>
          <w:p>
            <w:pPr>
              <w:spacing w:after="0"/>
            </w:pPr>
            <w:r/>
            <w:r>
              <w:rPr>
                <w:rFonts w:ascii="Calibri" w:hAnsi="Calibri"/>
                <w:color w:val="333333"/>
                <w:sz w:val="15"/>
              </w:rPr>
              <w:t>Incident DLBCL cases, 2016–2030</w:t>
            </w:r>
          </w:p>
        </w:tc>
        <w:tc>
          <w:tcPr>
            <w:tcW w:type="dxa" w:w="792"/>
          </w:tcPr>
          <w:p>
            <w:pPr>
              <w:spacing w:after="0"/>
            </w:pPr>
            <w:r/>
            <w:r>
              <w:rPr>
                <w:rFonts w:ascii="Calibri" w:hAnsi="Calibri"/>
                <w:color w:val="333333"/>
                <w:sz w:val="15"/>
              </w:rPr>
              <w:t>×0.95</w:t>
            </w:r>
          </w:p>
        </w:tc>
        <w:tc>
          <w:tcPr>
            <w:tcW w:type="dxa" w:w="1080"/>
          </w:tcPr>
          <w:p>
            <w:pPr>
              <w:spacing w:after="0"/>
            </w:pPr>
            <w:r/>
            <w:r>
              <w:rPr>
                <w:rFonts w:ascii="Calibri" w:hAnsi="Calibri"/>
                <w:color w:val="333333"/>
                <w:sz w:val="15"/>
              </w:rPr>
              <w:t>dlbcl_epi_inputs.csv</w:t>
            </w:r>
          </w:p>
        </w:tc>
        <w:tc>
          <w:tcPr>
            <w:tcW w:type="dxa" w:w="792"/>
          </w:tcPr>
          <w:p>
            <w:pPr>
              <w:spacing w:after="0"/>
            </w:pPr>
            <w:r/>
            <w:r>
              <w:rPr>
                <w:rFonts w:ascii="Calibri" w:hAnsi="Calibri"/>
                <w:color w:val="333333"/>
                <w:sz w:val="15"/>
              </w:rPr>
              <w:t>×1.05</w:t>
            </w:r>
          </w:p>
        </w:tc>
        <w:tc>
          <w:tcPr>
            <w:tcW w:type="dxa" w:w="3816"/>
          </w:tcPr>
          <w:p>
            <w:pPr>
              <w:spacing w:after="0"/>
            </w:pPr>
            <w:r/>
            <w:r>
              <w:rPr>
                <w:rFonts w:ascii="Calibri" w:hAnsi="Calibri"/>
                <w:color w:val="333333"/>
                <w:sz w:val="15"/>
              </w:rPr>
              <w:t>dlbcl_epi_inputs.csv (sum of age bands); Teras et al. 2016 for the age pattern</w:t>
            </w:r>
          </w:p>
        </w:tc>
      </w:tr>
      <w:tr>
        <w:tc>
          <w:tcPr>
            <w:tcW w:type="dxa" w:w="576"/>
            <w:shd w:val="clear" w:color="auto" w:fill="F3F6FC"/>
          </w:tcPr>
          <w:p>
            <w:pPr>
              <w:spacing w:after="0"/>
            </w:pPr>
            <w:r/>
            <w:r>
              <w:rPr>
                <w:rFonts w:ascii="Calibri" w:hAnsi="Calibri"/>
                <w:b/>
                <w:color w:val="1E2761"/>
                <w:sz w:val="15"/>
              </w:rPr>
              <w:t>E1</w:t>
            </w:r>
          </w:p>
        </w:tc>
        <w:tc>
          <w:tcPr>
            <w:tcW w:type="dxa" w:w="2880"/>
            <w:shd w:val="clear" w:color="auto" w:fill="F3F6FC"/>
          </w:tcPr>
          <w:p>
            <w:pPr>
              <w:spacing w:after="0"/>
            </w:pPr>
            <w:r/>
            <w:r>
              <w:rPr>
                <w:rFonts w:ascii="Calibri" w:hAnsi="Calibri"/>
                <w:color w:val="333333"/>
                <w:sz w:val="15"/>
              </w:rPr>
              <w:t>Incident-case growth after 2030</w:t>
            </w:r>
          </w:p>
        </w:tc>
        <w:tc>
          <w:tcPr>
            <w:tcW w:type="dxa" w:w="792"/>
            <w:shd w:val="clear" w:color="auto" w:fill="F3F6FC"/>
          </w:tcPr>
          <w:p>
            <w:pPr>
              <w:spacing w:after="0"/>
            </w:pPr>
            <w:r/>
            <w:r>
              <w:rPr>
                <w:rFonts w:ascii="Calibri" w:hAnsi="Calibri"/>
                <w:color w:val="333333"/>
                <w:sz w:val="15"/>
              </w:rPr>
              <w:t>2%</w:t>
            </w:r>
          </w:p>
        </w:tc>
        <w:tc>
          <w:tcPr>
            <w:tcW w:type="dxa" w:w="1080"/>
            <w:shd w:val="clear" w:color="auto" w:fill="F3F6FC"/>
          </w:tcPr>
          <w:p>
            <w:pPr>
              <w:spacing w:after="0"/>
            </w:pPr>
            <w:r/>
            <w:r>
              <w:rPr>
                <w:rFonts w:ascii="Calibri" w:hAnsi="Calibri"/>
                <w:color w:val="333333"/>
                <w:sz w:val="15"/>
              </w:rPr>
              <w:t>2%</w:t>
            </w:r>
          </w:p>
        </w:tc>
        <w:tc>
          <w:tcPr>
            <w:tcW w:type="dxa" w:w="792"/>
            <w:shd w:val="clear" w:color="auto" w:fill="F3F6FC"/>
          </w:tcPr>
          <w:p>
            <w:pPr>
              <w:spacing w:after="0"/>
            </w:pPr>
            <w:r/>
            <w:r>
              <w:rPr>
                <w:rFonts w:ascii="Calibri" w:hAnsi="Calibri"/>
                <w:color w:val="333333"/>
                <w:sz w:val="15"/>
              </w:rPr>
              <w:t>3%</w:t>
            </w:r>
          </w:p>
        </w:tc>
        <w:tc>
          <w:tcPr>
            <w:tcW w:type="dxa" w:w="3816"/>
            <w:shd w:val="clear" w:color="auto" w:fill="F3F6FC"/>
          </w:tcPr>
          <w:p>
            <w:pPr>
              <w:spacing w:after="0"/>
            </w:pPr>
            <w:r/>
            <w:r>
              <w:rPr>
                <w:rFonts w:ascii="Calibri" w:hAnsi="Calibri"/>
                <w:color w:val="333333"/>
                <w:sz w:val="15"/>
              </w:rPr>
              <w:t>2026–2030 growth in dlbcl_epi_inputs.csv</w:t>
            </w:r>
          </w:p>
        </w:tc>
      </w:tr>
      <w:tr>
        <w:tc>
          <w:tcPr>
            <w:tcW w:type="dxa" w:w="576"/>
          </w:tcPr>
          <w:p>
            <w:pPr>
              <w:spacing w:after="0"/>
            </w:pPr>
            <w:r/>
            <w:r>
              <w:rPr>
                <w:rFonts w:ascii="Calibri" w:hAnsi="Calibri"/>
                <w:b/>
                <w:color w:val="1E2761"/>
                <w:sz w:val="15"/>
              </w:rPr>
              <w:t>E2</w:t>
            </w:r>
          </w:p>
        </w:tc>
        <w:tc>
          <w:tcPr>
            <w:tcW w:type="dxa" w:w="2880"/>
          </w:tcPr>
          <w:p>
            <w:pPr>
              <w:spacing w:after="0"/>
            </w:pPr>
            <w:r/>
            <w:r>
              <w:rPr>
                <w:rFonts w:ascii="Calibri" w:hAnsi="Calibri"/>
                <w:color w:val="333333"/>
                <w:sz w:val="15"/>
              </w:rPr>
              <w:t>Diagnosed and presenting</w:t>
            </w:r>
          </w:p>
        </w:tc>
        <w:tc>
          <w:tcPr>
            <w:tcW w:type="dxa" w:w="792"/>
          </w:tcPr>
          <w:p>
            <w:pPr>
              <w:spacing w:after="0"/>
            </w:pPr>
            <w:r/>
            <w:r>
              <w:rPr>
                <w:rFonts w:ascii="Calibri" w:hAnsi="Calibri"/>
                <w:color w:val="333333"/>
                <w:sz w:val="15"/>
              </w:rPr>
              <w:t>95%</w:t>
            </w:r>
          </w:p>
        </w:tc>
        <w:tc>
          <w:tcPr>
            <w:tcW w:type="dxa" w:w="1080"/>
          </w:tcPr>
          <w:p>
            <w:pPr>
              <w:spacing w:after="0"/>
            </w:pPr>
            <w:r/>
            <w:r>
              <w:rPr>
                <w:rFonts w:ascii="Calibri" w:hAnsi="Calibri"/>
                <w:color w:val="333333"/>
                <w:sz w:val="15"/>
              </w:rPr>
              <w:t>97%</w:t>
            </w:r>
          </w:p>
        </w:tc>
        <w:tc>
          <w:tcPr>
            <w:tcW w:type="dxa" w:w="792"/>
          </w:tcPr>
          <w:p>
            <w:pPr>
              <w:spacing w:after="0"/>
            </w:pPr>
            <w:r/>
            <w:r>
              <w:rPr>
                <w:rFonts w:ascii="Calibri" w:hAnsi="Calibri"/>
                <w:color w:val="333333"/>
                <w:sz w:val="15"/>
              </w:rPr>
              <w:t>98%</w:t>
            </w:r>
          </w:p>
        </w:tc>
        <w:tc>
          <w:tcPr>
            <w:tcW w:type="dxa" w:w="3816"/>
          </w:tcPr>
          <w:p>
            <w:pPr>
              <w:spacing w:after="0"/>
            </w:pPr>
            <w:r/>
            <w:r>
              <w:rPr>
                <w:rFonts w:ascii="Calibri" w:hAnsi="Calibri"/>
                <w:color w:val="333333"/>
                <w:sz w:val="15"/>
              </w:rPr>
              <w:t>dlbcl_treatment_funnel.csv, age-weighted</w:t>
            </w:r>
          </w:p>
        </w:tc>
      </w:tr>
      <w:tr>
        <w:tc>
          <w:tcPr>
            <w:tcW w:type="dxa" w:w="576"/>
            <w:shd w:val="clear" w:color="auto" w:fill="F3F6FC"/>
          </w:tcPr>
          <w:p>
            <w:pPr>
              <w:spacing w:after="0"/>
            </w:pPr>
            <w:r/>
            <w:r>
              <w:rPr>
                <w:rFonts w:ascii="Calibri" w:hAnsi="Calibri"/>
                <w:b/>
                <w:color w:val="1E2761"/>
                <w:sz w:val="15"/>
              </w:rPr>
              <w:t>T1</w:t>
            </w:r>
          </w:p>
        </w:tc>
        <w:tc>
          <w:tcPr>
            <w:tcW w:type="dxa" w:w="2880"/>
            <w:shd w:val="clear" w:color="auto" w:fill="F3F6FC"/>
          </w:tcPr>
          <w:p>
            <w:pPr>
              <w:spacing w:after="0"/>
            </w:pPr>
            <w:r/>
            <w:r>
              <w:rPr>
                <w:rFonts w:ascii="Calibri" w:hAnsi="Calibri"/>
                <w:color w:val="333333"/>
                <w:sz w:val="15"/>
              </w:rPr>
              <w:t>Treated in 1L</w:t>
            </w:r>
          </w:p>
        </w:tc>
        <w:tc>
          <w:tcPr>
            <w:tcW w:type="dxa" w:w="792"/>
            <w:shd w:val="clear" w:color="auto" w:fill="F3F6FC"/>
          </w:tcPr>
          <w:p>
            <w:pPr>
              <w:spacing w:after="0"/>
            </w:pPr>
            <w:r/>
            <w:r>
              <w:rPr>
                <w:rFonts w:ascii="Calibri" w:hAnsi="Calibri"/>
                <w:color w:val="333333"/>
                <w:sz w:val="15"/>
              </w:rPr>
              <w:t>82%</w:t>
            </w:r>
          </w:p>
        </w:tc>
        <w:tc>
          <w:tcPr>
            <w:tcW w:type="dxa" w:w="1080"/>
            <w:shd w:val="clear" w:color="auto" w:fill="F3F6FC"/>
          </w:tcPr>
          <w:p>
            <w:pPr>
              <w:spacing w:after="0"/>
            </w:pPr>
            <w:r/>
            <w:r>
              <w:rPr>
                <w:rFonts w:ascii="Calibri" w:hAnsi="Calibri"/>
                <w:color w:val="333333"/>
                <w:sz w:val="15"/>
              </w:rPr>
              <w:t>86%</w:t>
            </w:r>
          </w:p>
        </w:tc>
        <w:tc>
          <w:tcPr>
            <w:tcW w:type="dxa" w:w="792"/>
            <w:shd w:val="clear" w:color="auto" w:fill="F3F6FC"/>
          </w:tcPr>
          <w:p>
            <w:pPr>
              <w:spacing w:after="0"/>
            </w:pPr>
            <w:r/>
            <w:r>
              <w:rPr>
                <w:rFonts w:ascii="Calibri" w:hAnsi="Calibri"/>
                <w:color w:val="333333"/>
                <w:sz w:val="15"/>
              </w:rPr>
              <w:t>89%</w:t>
            </w:r>
          </w:p>
        </w:tc>
        <w:tc>
          <w:tcPr>
            <w:tcW w:type="dxa" w:w="3816"/>
            <w:shd w:val="clear" w:color="auto" w:fill="F3F6FC"/>
          </w:tcPr>
          <w:p>
            <w:pPr>
              <w:spacing w:after="0"/>
            </w:pPr>
            <w:r/>
            <w:r>
              <w:rPr>
                <w:rFonts w:ascii="Calibri" w:hAnsi="Calibri"/>
                <w:color w:val="333333"/>
                <w:sz w:val="15"/>
              </w:rPr>
              <w:t>dlbcl_treatment_funnel.csv, age-weighted</w:t>
            </w:r>
          </w:p>
        </w:tc>
      </w:tr>
      <w:tr>
        <w:tc>
          <w:tcPr>
            <w:tcW w:type="dxa" w:w="576"/>
          </w:tcPr>
          <w:p>
            <w:pPr>
              <w:spacing w:after="0"/>
            </w:pPr>
            <w:r/>
            <w:r>
              <w:rPr>
                <w:rFonts w:ascii="Calibri" w:hAnsi="Calibri"/>
                <w:b/>
                <w:color w:val="1E2761"/>
                <w:sz w:val="15"/>
              </w:rPr>
              <w:t>T2</w:t>
            </w:r>
          </w:p>
        </w:tc>
        <w:tc>
          <w:tcPr>
            <w:tcW w:type="dxa" w:w="2880"/>
          </w:tcPr>
          <w:p>
            <w:pPr>
              <w:spacing w:after="0"/>
            </w:pPr>
            <w:r/>
            <w:r>
              <w:rPr>
                <w:rFonts w:ascii="Calibri" w:hAnsi="Calibri"/>
                <w:color w:val="333333"/>
                <w:sz w:val="15"/>
              </w:rPr>
              <w:t>Progress to 2L (lifetime), one year later</w:t>
            </w:r>
          </w:p>
        </w:tc>
        <w:tc>
          <w:tcPr>
            <w:tcW w:type="dxa" w:w="792"/>
          </w:tcPr>
          <w:p>
            <w:pPr>
              <w:spacing w:after="0"/>
            </w:pPr>
            <w:r/>
            <w:r>
              <w:rPr>
                <w:rFonts w:ascii="Calibri" w:hAnsi="Calibri"/>
                <w:color w:val="333333"/>
                <w:sz w:val="15"/>
              </w:rPr>
              <w:t>26%</w:t>
            </w:r>
          </w:p>
        </w:tc>
        <w:tc>
          <w:tcPr>
            <w:tcW w:type="dxa" w:w="1080"/>
          </w:tcPr>
          <w:p>
            <w:pPr>
              <w:spacing w:after="0"/>
            </w:pPr>
            <w:r/>
            <w:r>
              <w:rPr>
                <w:rFonts w:ascii="Calibri" w:hAnsi="Calibri"/>
                <w:color w:val="333333"/>
                <w:sz w:val="15"/>
              </w:rPr>
              <w:t>31%</w:t>
            </w:r>
          </w:p>
        </w:tc>
        <w:tc>
          <w:tcPr>
            <w:tcW w:type="dxa" w:w="792"/>
          </w:tcPr>
          <w:p>
            <w:pPr>
              <w:spacing w:after="0"/>
            </w:pPr>
            <w:r/>
            <w:r>
              <w:rPr>
                <w:rFonts w:ascii="Calibri" w:hAnsi="Calibri"/>
                <w:color w:val="333333"/>
                <w:sz w:val="15"/>
              </w:rPr>
              <w:t>36%</w:t>
            </w:r>
          </w:p>
        </w:tc>
        <w:tc>
          <w:tcPr>
            <w:tcW w:type="dxa" w:w="3816"/>
          </w:tcPr>
          <w:p>
            <w:pPr>
              <w:spacing w:after="0"/>
            </w:pPr>
            <w:r/>
            <w:r>
              <w:rPr>
                <w:rFonts w:ascii="Calibri" w:hAnsi="Calibri"/>
                <w:color w:val="333333"/>
                <w:sz w:val="15"/>
              </w:rPr>
              <w:t>Week 2 cohort, Kaplan–Meier 36% at 36 mo; Sehn &amp; Salles 2021 (&gt;60% cured with R-CHOP)</w:t>
            </w:r>
          </w:p>
        </w:tc>
      </w:tr>
      <w:tr>
        <w:tc>
          <w:tcPr>
            <w:tcW w:type="dxa" w:w="576"/>
            <w:shd w:val="clear" w:color="auto" w:fill="F3F6FC"/>
          </w:tcPr>
          <w:p>
            <w:pPr>
              <w:spacing w:after="0"/>
            </w:pPr>
            <w:r/>
            <w:r>
              <w:rPr>
                <w:rFonts w:ascii="Calibri" w:hAnsi="Calibri"/>
                <w:b/>
                <w:color w:val="1E2761"/>
                <w:sz w:val="15"/>
              </w:rPr>
              <w:t>T3</w:t>
            </w:r>
          </w:p>
        </w:tc>
        <w:tc>
          <w:tcPr>
            <w:tcW w:type="dxa" w:w="2880"/>
            <w:shd w:val="clear" w:color="auto" w:fill="F3F6FC"/>
          </w:tcPr>
          <w:p>
            <w:pPr>
              <w:spacing w:after="0"/>
            </w:pPr>
            <w:r/>
            <w:r>
              <w:rPr>
                <w:rFonts w:ascii="Calibri" w:hAnsi="Calibri"/>
                <w:color w:val="333333"/>
                <w:sz w:val="15"/>
              </w:rPr>
              <w:t>Progress to 3L (lifetime), one year later</w:t>
            </w:r>
          </w:p>
        </w:tc>
        <w:tc>
          <w:tcPr>
            <w:tcW w:type="dxa" w:w="792"/>
            <w:shd w:val="clear" w:color="auto" w:fill="F3F6FC"/>
          </w:tcPr>
          <w:p>
            <w:pPr>
              <w:spacing w:after="0"/>
            </w:pPr>
            <w:r/>
            <w:r>
              <w:rPr>
                <w:rFonts w:ascii="Calibri" w:hAnsi="Calibri"/>
                <w:color w:val="333333"/>
                <w:sz w:val="15"/>
              </w:rPr>
              <w:t>43%</w:t>
            </w:r>
          </w:p>
        </w:tc>
        <w:tc>
          <w:tcPr>
            <w:tcW w:type="dxa" w:w="1080"/>
            <w:shd w:val="clear" w:color="auto" w:fill="F3F6FC"/>
          </w:tcPr>
          <w:p>
            <w:pPr>
              <w:spacing w:after="0"/>
            </w:pPr>
            <w:r/>
            <w:r>
              <w:rPr>
                <w:rFonts w:ascii="Calibri" w:hAnsi="Calibri"/>
                <w:color w:val="333333"/>
                <w:sz w:val="15"/>
              </w:rPr>
              <w:t>50%</w:t>
            </w:r>
          </w:p>
        </w:tc>
        <w:tc>
          <w:tcPr>
            <w:tcW w:type="dxa" w:w="792"/>
            <w:shd w:val="clear" w:color="auto" w:fill="F3F6FC"/>
          </w:tcPr>
          <w:p>
            <w:pPr>
              <w:spacing w:after="0"/>
            </w:pPr>
            <w:r/>
            <w:r>
              <w:rPr>
                <w:rFonts w:ascii="Calibri" w:hAnsi="Calibri"/>
                <w:color w:val="333333"/>
                <w:sz w:val="15"/>
              </w:rPr>
              <w:t>57%</w:t>
            </w:r>
          </w:p>
        </w:tc>
        <w:tc>
          <w:tcPr>
            <w:tcW w:type="dxa" w:w="3816"/>
            <w:shd w:val="clear" w:color="auto" w:fill="F3F6FC"/>
          </w:tcPr>
          <w:p>
            <w:pPr>
              <w:spacing w:after="0"/>
            </w:pPr>
            <w:r/>
            <w:r>
              <w:rPr>
                <w:rFonts w:ascii="Calibri" w:hAnsi="Calibri"/>
                <w:color w:val="333333"/>
                <w:sz w:val="15"/>
              </w:rPr>
              <w:t>Week 2 cohort, Kaplan–Meier 61% at 24 mo</w:t>
            </w:r>
          </w:p>
        </w:tc>
      </w:tr>
      <w:tr>
        <w:tc>
          <w:tcPr>
            <w:tcW w:type="dxa" w:w="576"/>
          </w:tcPr>
          <w:p>
            <w:pPr>
              <w:spacing w:after="0"/>
            </w:pPr>
            <w:r/>
            <w:r>
              <w:rPr>
                <w:rFonts w:ascii="Calibri" w:hAnsi="Calibri"/>
                <w:b/>
                <w:color w:val="1E2761"/>
                <w:sz w:val="15"/>
              </w:rPr>
              <w:t>T4</w:t>
            </w:r>
          </w:p>
        </w:tc>
        <w:tc>
          <w:tcPr>
            <w:tcW w:type="dxa" w:w="2880"/>
          </w:tcPr>
          <w:p>
            <w:pPr>
              <w:spacing w:after="0"/>
            </w:pPr>
            <w:r/>
            <w:r>
              <w:rPr>
                <w:rFonts w:ascii="Calibri" w:hAnsi="Calibri"/>
                <w:color w:val="333333"/>
                <w:sz w:val="15"/>
              </w:rPr>
              <w:t>Later-lines multiplier (3L+ starts per 3L patient)</w:t>
            </w:r>
          </w:p>
        </w:tc>
        <w:tc>
          <w:tcPr>
            <w:tcW w:type="dxa" w:w="792"/>
          </w:tcPr>
          <w:p>
            <w:pPr>
              <w:spacing w:after="0"/>
            </w:pPr>
            <w:r/>
            <w:r>
              <w:rPr>
                <w:rFonts w:ascii="Calibri" w:hAnsi="Calibri"/>
                <w:color w:val="333333"/>
                <w:sz w:val="15"/>
              </w:rPr>
              <w:t>1.14</w:t>
            </w:r>
          </w:p>
        </w:tc>
        <w:tc>
          <w:tcPr>
            <w:tcW w:type="dxa" w:w="1080"/>
          </w:tcPr>
          <w:p>
            <w:pPr>
              <w:spacing w:after="0"/>
            </w:pPr>
            <w:r/>
            <w:r>
              <w:rPr>
                <w:rFonts w:ascii="Calibri" w:hAnsi="Calibri"/>
                <w:color w:val="333333"/>
                <w:sz w:val="15"/>
              </w:rPr>
              <w:t>1.24</w:t>
            </w:r>
          </w:p>
        </w:tc>
        <w:tc>
          <w:tcPr>
            <w:tcW w:type="dxa" w:w="792"/>
          </w:tcPr>
          <w:p>
            <w:pPr>
              <w:spacing w:after="0"/>
            </w:pPr>
            <w:r/>
            <w:r>
              <w:rPr>
                <w:rFonts w:ascii="Calibri" w:hAnsi="Calibri"/>
                <w:color w:val="333333"/>
                <w:sz w:val="15"/>
              </w:rPr>
              <w:t>1.34</w:t>
            </w:r>
          </w:p>
        </w:tc>
        <w:tc>
          <w:tcPr>
            <w:tcW w:type="dxa" w:w="3816"/>
          </w:tcPr>
          <w:p>
            <w:pPr>
              <w:spacing w:after="0"/>
            </w:pPr>
            <w:r/>
            <w:r>
              <w:rPr>
                <w:rFonts w:ascii="Calibri" w:hAnsi="Calibri"/>
                <w:color w:val="333333"/>
                <w:sz w:val="15"/>
              </w:rPr>
              <w:t>dlbcl_treatment_funnel.csv</w:t>
            </w:r>
          </w:p>
        </w:tc>
      </w:tr>
      <w:tr>
        <w:tc>
          <w:tcPr>
            <w:tcW w:type="dxa" w:w="576"/>
            <w:shd w:val="clear" w:color="auto" w:fill="F3F6FC"/>
          </w:tcPr>
          <w:p>
            <w:pPr>
              <w:spacing w:after="0"/>
            </w:pPr>
            <w:r/>
            <w:r>
              <w:rPr>
                <w:rFonts w:ascii="Calibri" w:hAnsi="Calibri"/>
                <w:b/>
                <w:color w:val="1E2761"/>
                <w:sz w:val="15"/>
              </w:rPr>
              <w:t>T5</w:t>
            </w:r>
          </w:p>
        </w:tc>
        <w:tc>
          <w:tcPr>
            <w:tcW w:type="dxa" w:w="2880"/>
            <w:shd w:val="clear" w:color="auto" w:fill="F3F6FC"/>
          </w:tcPr>
          <w:p>
            <w:pPr>
              <w:spacing w:after="0"/>
            </w:pPr>
            <w:r/>
            <w:r>
              <w:rPr>
                <w:rFonts w:ascii="Calibri" w:hAnsi="Calibri"/>
                <w:color w:val="333333"/>
                <w:sz w:val="15"/>
              </w:rPr>
              <w:t>Lag between lines</w:t>
            </w:r>
          </w:p>
        </w:tc>
        <w:tc>
          <w:tcPr>
            <w:tcW w:type="dxa" w:w="792"/>
            <w:shd w:val="clear" w:color="auto" w:fill="F3F6FC"/>
          </w:tcPr>
          <w:p>
            <w:pPr>
              <w:spacing w:after="0"/>
            </w:pPr>
            <w:r/>
            <w:r>
              <w:rPr>
                <w:rFonts w:ascii="Calibri" w:hAnsi="Calibri"/>
                <w:color w:val="333333"/>
                <w:sz w:val="15"/>
              </w:rPr>
              <w:t>1</w:t>
            </w:r>
          </w:p>
        </w:tc>
        <w:tc>
          <w:tcPr>
            <w:tcW w:type="dxa" w:w="1080"/>
            <w:shd w:val="clear" w:color="auto" w:fill="F3F6FC"/>
          </w:tcPr>
          <w:p>
            <w:pPr>
              <w:spacing w:after="0"/>
            </w:pPr>
            <w:r/>
            <w:r>
              <w:rPr>
                <w:rFonts w:ascii="Calibri" w:hAnsi="Calibri"/>
                <w:color w:val="333333"/>
                <w:sz w:val="15"/>
              </w:rPr>
              <w:t>1</w:t>
            </w:r>
          </w:p>
        </w:tc>
        <w:tc>
          <w:tcPr>
            <w:tcW w:type="dxa" w:w="792"/>
            <w:shd w:val="clear" w:color="auto" w:fill="F3F6FC"/>
          </w:tcPr>
          <w:p>
            <w:pPr>
              <w:spacing w:after="0"/>
            </w:pPr>
            <w:r/>
            <w:r>
              <w:rPr>
                <w:rFonts w:ascii="Calibri" w:hAnsi="Calibri"/>
                <w:color w:val="333333"/>
                <w:sz w:val="15"/>
              </w:rPr>
              <w:t>1</w:t>
            </w:r>
          </w:p>
        </w:tc>
        <w:tc>
          <w:tcPr>
            <w:tcW w:type="dxa" w:w="3816"/>
            <w:shd w:val="clear" w:color="auto" w:fill="F3F6FC"/>
          </w:tcPr>
          <w:p>
            <w:pPr>
              <w:spacing w:after="0"/>
            </w:pPr>
            <w:r/>
            <w:r>
              <w:rPr>
                <w:rFonts w:ascii="Calibri" w:hAnsi="Calibri"/>
                <w:color w:val="333333"/>
                <w:sz w:val="15"/>
              </w:rPr>
              <w:t>Week 2 cohort: median 14 mo (1L→2L), 9 mo (2L→3L)</w:t>
            </w:r>
          </w:p>
        </w:tc>
      </w:tr>
      <w:tr>
        <w:tc>
          <w:tcPr>
            <w:tcW w:type="dxa" w:w="576"/>
          </w:tcPr>
          <w:p>
            <w:pPr>
              <w:spacing w:after="0"/>
            </w:pPr>
            <w:r/>
            <w:r>
              <w:rPr>
                <w:rFonts w:ascii="Calibri" w:hAnsi="Calibri"/>
                <w:b/>
                <w:color w:val="1E2761"/>
                <w:sz w:val="15"/>
              </w:rPr>
              <w:t>B1</w:t>
            </w:r>
          </w:p>
        </w:tc>
        <w:tc>
          <w:tcPr>
            <w:tcW w:type="dxa" w:w="2880"/>
          </w:tcPr>
          <w:p>
            <w:pPr>
              <w:spacing w:after="0"/>
            </w:pPr>
            <w:r/>
            <w:r>
              <w:rPr>
                <w:rFonts w:ascii="Calibri" w:hAnsi="Calibri"/>
                <w:color w:val="333333"/>
                <w:sz w:val="15"/>
              </w:rPr>
              <w:t>3L+ launch year</w:t>
            </w:r>
          </w:p>
        </w:tc>
        <w:tc>
          <w:tcPr>
            <w:tcW w:type="dxa" w:w="792"/>
          </w:tcPr>
          <w:p>
            <w:pPr>
              <w:spacing w:after="0"/>
            </w:pPr>
            <w:r/>
            <w:r>
              <w:rPr>
                <w:rFonts w:ascii="Calibri" w:hAnsi="Calibri"/>
                <w:color w:val="333333"/>
                <w:sz w:val="15"/>
              </w:rPr>
              <w:t>2,027</w:t>
            </w:r>
          </w:p>
        </w:tc>
        <w:tc>
          <w:tcPr>
            <w:tcW w:type="dxa" w:w="1080"/>
          </w:tcPr>
          <w:p>
            <w:pPr>
              <w:spacing w:after="0"/>
            </w:pPr>
            <w:r/>
            <w:r>
              <w:rPr>
                <w:rFonts w:ascii="Calibri" w:hAnsi="Calibri"/>
                <w:color w:val="333333"/>
                <w:sz w:val="15"/>
              </w:rPr>
              <w:t>2,027</w:t>
            </w:r>
          </w:p>
        </w:tc>
        <w:tc>
          <w:tcPr>
            <w:tcW w:type="dxa" w:w="792"/>
          </w:tcPr>
          <w:p>
            <w:pPr>
              <w:spacing w:after="0"/>
            </w:pPr>
            <w:r/>
            <w:r>
              <w:rPr>
                <w:rFonts w:ascii="Calibri" w:hAnsi="Calibri"/>
                <w:color w:val="333333"/>
                <w:sz w:val="15"/>
              </w:rPr>
              <w:t>2,027</w:t>
            </w:r>
          </w:p>
        </w:tc>
        <w:tc>
          <w:tcPr>
            <w:tcW w:type="dxa" w:w="3816"/>
          </w:tcPr>
          <w:p>
            <w:pPr>
              <w:spacing w:after="0"/>
            </w:pPr>
            <w:r/>
            <w:r>
              <w:rPr>
                <w:rFonts w:ascii="Calibri" w:hAnsi="Calibri"/>
                <w:color w:val="333333"/>
                <w:sz w:val="15"/>
              </w:rPr>
              <w:t>PDUFA January 2027 (fictional)</w:t>
            </w:r>
          </w:p>
        </w:tc>
      </w:tr>
      <w:tr>
        <w:tc>
          <w:tcPr>
            <w:tcW w:type="dxa" w:w="576"/>
            <w:shd w:val="clear" w:color="auto" w:fill="F3F6FC"/>
          </w:tcPr>
          <w:p>
            <w:pPr>
              <w:spacing w:after="0"/>
            </w:pPr>
            <w:r/>
            <w:r>
              <w:rPr>
                <w:rFonts w:ascii="Calibri" w:hAnsi="Calibri"/>
                <w:b/>
                <w:color w:val="1E2761"/>
                <w:sz w:val="15"/>
              </w:rPr>
              <w:t>B2</w:t>
            </w:r>
          </w:p>
        </w:tc>
        <w:tc>
          <w:tcPr>
            <w:tcW w:type="dxa" w:w="2880"/>
            <w:shd w:val="clear" w:color="auto" w:fill="F3F6FC"/>
          </w:tcPr>
          <w:p>
            <w:pPr>
              <w:spacing w:after="0"/>
            </w:pPr>
            <w:r/>
            <w:r>
              <w:rPr>
                <w:rFonts w:ascii="Calibri" w:hAnsi="Calibri"/>
                <w:color w:val="333333"/>
                <w:sz w:val="15"/>
              </w:rPr>
              <w:t>2L label — first full year</w:t>
            </w:r>
          </w:p>
        </w:tc>
        <w:tc>
          <w:tcPr>
            <w:tcW w:type="dxa" w:w="792"/>
            <w:shd w:val="clear" w:color="auto" w:fill="F3F6FC"/>
          </w:tcPr>
          <w:p>
            <w:pPr>
              <w:spacing w:after="0"/>
            </w:pPr>
            <w:r/>
            <w:r>
              <w:rPr>
                <w:rFonts w:ascii="Calibri" w:hAnsi="Calibri"/>
                <w:color w:val="333333"/>
                <w:sz w:val="15"/>
              </w:rPr>
              <w:t>2,030</w:t>
            </w:r>
          </w:p>
        </w:tc>
        <w:tc>
          <w:tcPr>
            <w:tcW w:type="dxa" w:w="1080"/>
            <w:shd w:val="clear" w:color="auto" w:fill="F3F6FC"/>
          </w:tcPr>
          <w:p>
            <w:pPr>
              <w:spacing w:after="0"/>
            </w:pPr>
            <w:r/>
            <w:r>
              <w:rPr>
                <w:rFonts w:ascii="Calibri" w:hAnsi="Calibri"/>
                <w:color w:val="333333"/>
                <w:sz w:val="15"/>
              </w:rPr>
              <w:t>2,029</w:t>
            </w:r>
          </w:p>
        </w:tc>
        <w:tc>
          <w:tcPr>
            <w:tcW w:type="dxa" w:w="792"/>
            <w:shd w:val="clear" w:color="auto" w:fill="F3F6FC"/>
          </w:tcPr>
          <w:p>
            <w:pPr>
              <w:spacing w:after="0"/>
            </w:pPr>
            <w:r/>
            <w:r>
              <w:rPr>
                <w:rFonts w:ascii="Calibri" w:hAnsi="Calibri"/>
                <w:color w:val="333333"/>
                <w:sz w:val="15"/>
              </w:rPr>
              <w:t>2,028</w:t>
            </w:r>
          </w:p>
        </w:tc>
        <w:tc>
          <w:tcPr>
            <w:tcW w:type="dxa" w:w="3816"/>
            <w:shd w:val="clear" w:color="auto" w:fill="F3F6FC"/>
          </w:tcPr>
          <w:p>
            <w:pPr>
              <w:spacing w:after="0"/>
            </w:pPr>
            <w:r/>
            <w:r>
              <w:rPr>
                <w:rFonts w:ascii="Calibri" w:hAnsi="Calibri"/>
                <w:color w:val="333333"/>
                <w:sz w:val="15"/>
              </w:rPr>
              <w:t>Phase 3 readout; sBLA mid-2028 (fictional)</w:t>
            </w:r>
          </w:p>
        </w:tc>
      </w:tr>
      <w:tr>
        <w:tc>
          <w:tcPr>
            <w:tcW w:type="dxa" w:w="576"/>
          </w:tcPr>
          <w:p>
            <w:pPr>
              <w:spacing w:after="0"/>
            </w:pPr>
            <w:r/>
            <w:r>
              <w:rPr>
                <w:rFonts w:ascii="Calibri" w:hAnsi="Calibri"/>
                <w:b/>
                <w:color w:val="1E2761"/>
                <w:sz w:val="15"/>
              </w:rPr>
              <w:t>B3</w:t>
            </w:r>
          </w:p>
        </w:tc>
        <w:tc>
          <w:tcPr>
            <w:tcW w:type="dxa" w:w="2880"/>
          </w:tcPr>
          <w:p>
            <w:pPr>
              <w:spacing w:after="0"/>
            </w:pPr>
            <w:r/>
            <w:r>
              <w:rPr>
                <w:rFonts w:ascii="Calibri" w:hAnsi="Calibri"/>
                <w:color w:val="333333"/>
                <w:sz w:val="15"/>
              </w:rPr>
              <w:t>Peak share of 3L+ starts</w:t>
            </w:r>
          </w:p>
        </w:tc>
        <w:tc>
          <w:tcPr>
            <w:tcW w:type="dxa" w:w="792"/>
          </w:tcPr>
          <w:p>
            <w:pPr>
              <w:spacing w:after="0"/>
            </w:pPr>
            <w:r/>
            <w:r>
              <w:rPr>
                <w:rFonts w:ascii="Calibri" w:hAnsi="Calibri"/>
                <w:color w:val="333333"/>
                <w:sz w:val="15"/>
              </w:rPr>
              <w:t>10%</w:t>
            </w:r>
          </w:p>
        </w:tc>
        <w:tc>
          <w:tcPr>
            <w:tcW w:type="dxa" w:w="1080"/>
          </w:tcPr>
          <w:p>
            <w:pPr>
              <w:spacing w:after="0"/>
            </w:pPr>
            <w:r/>
            <w:r>
              <w:rPr>
                <w:rFonts w:ascii="Calibri" w:hAnsi="Calibri"/>
                <w:color w:val="333333"/>
                <w:sz w:val="15"/>
              </w:rPr>
              <w:t>15%</w:t>
            </w:r>
          </w:p>
        </w:tc>
        <w:tc>
          <w:tcPr>
            <w:tcW w:type="dxa" w:w="792"/>
          </w:tcPr>
          <w:p>
            <w:pPr>
              <w:spacing w:after="0"/>
            </w:pPr>
            <w:r/>
            <w:r>
              <w:rPr>
                <w:rFonts w:ascii="Calibri" w:hAnsi="Calibri"/>
                <w:color w:val="333333"/>
                <w:sz w:val="15"/>
              </w:rPr>
              <w:t>20%</w:t>
            </w:r>
          </w:p>
        </w:tc>
        <w:tc>
          <w:tcPr>
            <w:tcW w:type="dxa" w:w="3816"/>
          </w:tcPr>
          <w:p>
            <w:pPr>
              <w:spacing w:after="0"/>
            </w:pPr>
            <w:r/>
            <w:r>
              <w:rPr>
                <w:rFonts w:ascii="Calibri" w:hAnsi="Calibri"/>
                <w:color w:val="333333"/>
                <w:sz w:val="15"/>
              </w:rPr>
              <w:t>Kalyanaram, Robinson &amp; Urban 1995: share ≈ pioneer ÷ √order → 0.26 × 0.58</w:t>
            </w:r>
          </w:p>
        </w:tc>
      </w:tr>
      <w:tr>
        <w:tc>
          <w:tcPr>
            <w:tcW w:type="dxa" w:w="576"/>
            <w:shd w:val="clear" w:color="auto" w:fill="F3F6FC"/>
          </w:tcPr>
          <w:p>
            <w:pPr>
              <w:spacing w:after="0"/>
            </w:pPr>
            <w:r/>
            <w:r>
              <w:rPr>
                <w:rFonts w:ascii="Calibri" w:hAnsi="Calibri"/>
                <w:b/>
                <w:color w:val="1E2761"/>
                <w:sz w:val="15"/>
              </w:rPr>
              <w:t>B4</w:t>
            </w:r>
          </w:p>
        </w:tc>
        <w:tc>
          <w:tcPr>
            <w:tcW w:type="dxa" w:w="2880"/>
            <w:shd w:val="clear" w:color="auto" w:fill="F3F6FC"/>
          </w:tcPr>
          <w:p>
            <w:pPr>
              <w:spacing w:after="0"/>
            </w:pPr>
            <w:r/>
            <w:r>
              <w:rPr>
                <w:rFonts w:ascii="Calibri" w:hAnsi="Calibri"/>
                <w:color w:val="333333"/>
                <w:sz w:val="15"/>
              </w:rPr>
              <w:t>Peak share of 2L starts</w:t>
            </w:r>
          </w:p>
        </w:tc>
        <w:tc>
          <w:tcPr>
            <w:tcW w:type="dxa" w:w="792"/>
            <w:shd w:val="clear" w:color="auto" w:fill="F3F6FC"/>
          </w:tcPr>
          <w:p>
            <w:pPr>
              <w:spacing w:after="0"/>
            </w:pPr>
            <w:r/>
            <w:r>
              <w:rPr>
                <w:rFonts w:ascii="Calibri" w:hAnsi="Calibri"/>
                <w:color w:val="333333"/>
                <w:sz w:val="15"/>
              </w:rPr>
              <w:t>6%</w:t>
            </w:r>
          </w:p>
        </w:tc>
        <w:tc>
          <w:tcPr>
            <w:tcW w:type="dxa" w:w="1080"/>
            <w:shd w:val="clear" w:color="auto" w:fill="F3F6FC"/>
          </w:tcPr>
          <w:p>
            <w:pPr>
              <w:spacing w:after="0"/>
            </w:pPr>
            <w:r/>
            <w:r>
              <w:rPr>
                <w:rFonts w:ascii="Calibri" w:hAnsi="Calibri"/>
                <w:color w:val="333333"/>
                <w:sz w:val="15"/>
              </w:rPr>
              <w:t>10%</w:t>
            </w:r>
          </w:p>
        </w:tc>
        <w:tc>
          <w:tcPr>
            <w:tcW w:type="dxa" w:w="792"/>
            <w:shd w:val="clear" w:color="auto" w:fill="F3F6FC"/>
          </w:tcPr>
          <w:p>
            <w:pPr>
              <w:spacing w:after="0"/>
            </w:pPr>
            <w:r/>
            <w:r>
              <w:rPr>
                <w:rFonts w:ascii="Calibri" w:hAnsi="Calibri"/>
                <w:color w:val="333333"/>
                <w:sz w:val="15"/>
              </w:rPr>
              <w:t>14%</w:t>
            </w:r>
          </w:p>
        </w:tc>
        <w:tc>
          <w:tcPr>
            <w:tcW w:type="dxa" w:w="3816"/>
            <w:shd w:val="clear" w:color="auto" w:fill="F3F6FC"/>
          </w:tcPr>
          <w:p>
            <w:pPr>
              <w:spacing w:after="0"/>
            </w:pPr>
            <w:r/>
            <w:r>
              <w:rPr>
                <w:rFonts w:ascii="Calibri" w:hAnsi="Calibri"/>
                <w:color w:val="333333"/>
                <w:sz w:val="15"/>
              </w:rPr>
              <w:t>2L crowded: CAR-T, ADC combination, chemo-immunotherapy</w:t>
            </w:r>
          </w:p>
        </w:tc>
      </w:tr>
      <w:tr>
        <w:tc>
          <w:tcPr>
            <w:tcW w:type="dxa" w:w="576"/>
          </w:tcPr>
          <w:p>
            <w:pPr>
              <w:spacing w:after="0"/>
            </w:pPr>
            <w:r/>
            <w:r>
              <w:rPr>
                <w:rFonts w:ascii="Calibri" w:hAnsi="Calibri"/>
                <w:b/>
                <w:color w:val="1E2761"/>
                <w:sz w:val="15"/>
              </w:rPr>
              <w:t>U1</w:t>
            </w:r>
          </w:p>
        </w:tc>
        <w:tc>
          <w:tcPr>
            <w:tcW w:type="dxa" w:w="2880"/>
          </w:tcPr>
          <w:p>
            <w:pPr>
              <w:spacing w:after="0"/>
            </w:pPr>
            <w:r/>
            <w:r>
              <w:rPr>
                <w:rFonts w:ascii="Calibri" w:hAnsi="Calibri"/>
                <w:color w:val="333333"/>
                <w:sz w:val="15"/>
              </w:rPr>
              <w:t>Uptake: year 1 (% of peak share)</w:t>
            </w:r>
          </w:p>
        </w:tc>
        <w:tc>
          <w:tcPr>
            <w:tcW w:type="dxa" w:w="792"/>
          </w:tcPr>
          <w:p>
            <w:pPr>
              <w:spacing w:after="0"/>
            </w:pPr>
            <w:r/>
            <w:r>
              <w:rPr>
                <w:rFonts w:ascii="Calibri" w:hAnsi="Calibri"/>
                <w:color w:val="333333"/>
                <w:sz w:val="15"/>
              </w:rPr>
              <w:t>15%</w:t>
            </w:r>
          </w:p>
        </w:tc>
        <w:tc>
          <w:tcPr>
            <w:tcW w:type="dxa" w:w="1080"/>
          </w:tcPr>
          <w:p>
            <w:pPr>
              <w:spacing w:after="0"/>
            </w:pPr>
            <w:r/>
            <w:r>
              <w:rPr>
                <w:rFonts w:ascii="Calibri" w:hAnsi="Calibri"/>
                <w:color w:val="333333"/>
                <w:sz w:val="15"/>
              </w:rPr>
              <w:t>30%</w:t>
            </w:r>
          </w:p>
        </w:tc>
        <w:tc>
          <w:tcPr>
            <w:tcW w:type="dxa" w:w="792"/>
          </w:tcPr>
          <w:p>
            <w:pPr>
              <w:spacing w:after="0"/>
            </w:pPr>
            <w:r/>
            <w:r>
              <w:rPr>
                <w:rFonts w:ascii="Calibri" w:hAnsi="Calibri"/>
                <w:color w:val="333333"/>
                <w:sz w:val="15"/>
              </w:rPr>
              <w:t>37%</w:t>
            </w:r>
          </w:p>
        </w:tc>
        <w:tc>
          <w:tcPr>
            <w:tcW w:type="dxa" w:w="3816"/>
          </w:tcPr>
          <w:p>
            <w:pPr>
              <w:spacing w:after="0"/>
            </w:pPr>
            <w:r/>
            <w:r>
              <w:rPr>
                <w:rFonts w:ascii="Calibri" w:hAnsi="Calibri"/>
                <w:color w:val="333333"/>
                <w:sz w:val="15"/>
              </w:rPr>
              <w:t>analog_launches_monthly.csv: outpatient analogs 0.24–0.37; CAR-T 0.08–0.12</w:t>
            </w:r>
          </w:p>
        </w:tc>
      </w:tr>
      <w:tr>
        <w:tc>
          <w:tcPr>
            <w:tcW w:type="dxa" w:w="576"/>
            <w:shd w:val="clear" w:color="auto" w:fill="F3F6FC"/>
          </w:tcPr>
          <w:p>
            <w:pPr>
              <w:spacing w:after="0"/>
            </w:pPr>
            <w:r/>
            <w:r>
              <w:rPr>
                <w:rFonts w:ascii="Calibri" w:hAnsi="Calibri"/>
                <w:b/>
                <w:color w:val="1E2761"/>
                <w:sz w:val="15"/>
              </w:rPr>
              <w:t>U2</w:t>
            </w:r>
          </w:p>
        </w:tc>
        <w:tc>
          <w:tcPr>
            <w:tcW w:type="dxa" w:w="2880"/>
            <w:shd w:val="clear" w:color="auto" w:fill="F3F6FC"/>
          </w:tcPr>
          <w:p>
            <w:pPr>
              <w:spacing w:after="0"/>
            </w:pPr>
            <w:r/>
            <w:r>
              <w:rPr>
                <w:rFonts w:ascii="Calibri" w:hAnsi="Calibri"/>
                <w:color w:val="333333"/>
                <w:sz w:val="15"/>
              </w:rPr>
              <w:t>Uptake: year 2</w:t>
            </w:r>
          </w:p>
        </w:tc>
        <w:tc>
          <w:tcPr>
            <w:tcW w:type="dxa" w:w="792"/>
            <w:shd w:val="clear" w:color="auto" w:fill="F3F6FC"/>
          </w:tcPr>
          <w:p>
            <w:pPr>
              <w:spacing w:after="0"/>
            </w:pPr>
            <w:r/>
            <w:r>
              <w:rPr>
                <w:rFonts w:ascii="Calibri" w:hAnsi="Calibri"/>
                <w:color w:val="333333"/>
                <w:sz w:val="15"/>
              </w:rPr>
              <w:t>60%</w:t>
            </w:r>
          </w:p>
        </w:tc>
        <w:tc>
          <w:tcPr>
            <w:tcW w:type="dxa" w:w="1080"/>
            <w:shd w:val="clear" w:color="auto" w:fill="F3F6FC"/>
          </w:tcPr>
          <w:p>
            <w:pPr>
              <w:spacing w:after="0"/>
            </w:pPr>
            <w:r/>
            <w:r>
              <w:rPr>
                <w:rFonts w:ascii="Calibri" w:hAnsi="Calibri"/>
                <w:color w:val="333333"/>
                <w:sz w:val="15"/>
              </w:rPr>
              <w:t>90%</w:t>
            </w:r>
          </w:p>
        </w:tc>
        <w:tc>
          <w:tcPr>
            <w:tcW w:type="dxa" w:w="792"/>
            <w:shd w:val="clear" w:color="auto" w:fill="F3F6FC"/>
          </w:tcPr>
          <w:p>
            <w:pPr>
              <w:spacing w:after="0"/>
            </w:pPr>
            <w:r/>
            <w:r>
              <w:rPr>
                <w:rFonts w:ascii="Calibri" w:hAnsi="Calibri"/>
                <w:color w:val="333333"/>
                <w:sz w:val="15"/>
              </w:rPr>
              <w:t>95%</w:t>
            </w:r>
          </w:p>
        </w:tc>
        <w:tc>
          <w:tcPr>
            <w:tcW w:type="dxa" w:w="3816"/>
            <w:shd w:val="clear" w:color="auto" w:fill="F3F6FC"/>
          </w:tcPr>
          <w:p>
            <w:pPr>
              <w:spacing w:after="0"/>
            </w:pPr>
            <w:r/>
            <w:r>
              <w:rPr>
                <w:rFonts w:ascii="Calibri" w:hAnsi="Calibri"/>
                <w:color w:val="333333"/>
                <w:sz w:val="15"/>
              </w:rPr>
              <w:t>same: outpatient 0.89–0.99; CAR-T 0.49–0.63</w:t>
            </w:r>
          </w:p>
        </w:tc>
      </w:tr>
      <w:tr>
        <w:tc>
          <w:tcPr>
            <w:tcW w:type="dxa" w:w="576"/>
          </w:tcPr>
          <w:p>
            <w:pPr>
              <w:spacing w:after="0"/>
            </w:pPr>
            <w:r/>
            <w:r>
              <w:rPr>
                <w:rFonts w:ascii="Calibri" w:hAnsi="Calibri"/>
                <w:b/>
                <w:color w:val="1E2761"/>
                <w:sz w:val="15"/>
              </w:rPr>
              <w:t>U3</w:t>
            </w:r>
          </w:p>
        </w:tc>
        <w:tc>
          <w:tcPr>
            <w:tcW w:type="dxa" w:w="2880"/>
          </w:tcPr>
          <w:p>
            <w:pPr>
              <w:spacing w:after="0"/>
            </w:pPr>
            <w:r/>
            <w:r>
              <w:rPr>
                <w:rFonts w:ascii="Calibri" w:hAnsi="Calibri"/>
                <w:color w:val="333333"/>
                <w:sz w:val="15"/>
              </w:rPr>
              <w:t>Uptake: year 3</w:t>
            </w:r>
          </w:p>
        </w:tc>
        <w:tc>
          <w:tcPr>
            <w:tcW w:type="dxa" w:w="792"/>
          </w:tcPr>
          <w:p>
            <w:pPr>
              <w:spacing w:after="0"/>
            </w:pPr>
            <w:r/>
            <w:r>
              <w:rPr>
                <w:rFonts w:ascii="Calibri" w:hAnsi="Calibri"/>
                <w:color w:val="333333"/>
                <w:sz w:val="15"/>
              </w:rPr>
              <w:t>95%</w:t>
            </w:r>
          </w:p>
        </w:tc>
        <w:tc>
          <w:tcPr>
            <w:tcW w:type="dxa" w:w="1080"/>
          </w:tcPr>
          <w:p>
            <w:pPr>
              <w:spacing w:after="0"/>
            </w:pPr>
            <w:r/>
            <w:r>
              <w:rPr>
                <w:rFonts w:ascii="Calibri" w:hAnsi="Calibri"/>
                <w:color w:val="333333"/>
                <w:sz w:val="15"/>
              </w:rPr>
              <w:t>1</w:t>
            </w:r>
          </w:p>
        </w:tc>
        <w:tc>
          <w:tcPr>
            <w:tcW w:type="dxa" w:w="792"/>
          </w:tcPr>
          <w:p>
            <w:pPr>
              <w:spacing w:after="0"/>
            </w:pPr>
            <w:r/>
            <w:r>
              <w:rPr>
                <w:rFonts w:ascii="Calibri" w:hAnsi="Calibri"/>
                <w:color w:val="333333"/>
                <w:sz w:val="15"/>
              </w:rPr>
              <w:t>1</w:t>
            </w:r>
          </w:p>
        </w:tc>
        <w:tc>
          <w:tcPr>
            <w:tcW w:type="dxa" w:w="3816"/>
          </w:tcPr>
          <w:p>
            <w:pPr>
              <w:spacing w:after="0"/>
            </w:pPr>
            <w:r/>
            <w:r>
              <w:rPr>
                <w:rFonts w:ascii="Calibri" w:hAnsi="Calibri"/>
                <w:color w:val="333333"/>
                <w:sz w:val="15"/>
              </w:rPr>
              <w:t>same: all analogs 0.90–1.06</w:t>
            </w:r>
          </w:p>
        </w:tc>
      </w:tr>
      <w:tr>
        <w:tc>
          <w:tcPr>
            <w:tcW w:type="dxa" w:w="576"/>
            <w:shd w:val="clear" w:color="auto" w:fill="F3F6FC"/>
          </w:tcPr>
          <w:p>
            <w:pPr>
              <w:spacing w:after="0"/>
            </w:pPr>
            <w:r/>
            <w:r>
              <w:rPr>
                <w:rFonts w:ascii="Calibri" w:hAnsi="Calibri"/>
                <w:b/>
                <w:color w:val="1E2761"/>
                <w:sz w:val="15"/>
              </w:rPr>
              <w:t>U4</w:t>
            </w:r>
          </w:p>
        </w:tc>
        <w:tc>
          <w:tcPr>
            <w:tcW w:type="dxa" w:w="2880"/>
            <w:shd w:val="clear" w:color="auto" w:fill="F3F6FC"/>
          </w:tcPr>
          <w:p>
            <w:pPr>
              <w:spacing w:after="0"/>
            </w:pPr>
            <w:r/>
            <w:r>
              <w:rPr>
                <w:rFonts w:ascii="Calibri" w:hAnsi="Calibri"/>
                <w:color w:val="333333"/>
                <w:sz w:val="15"/>
              </w:rPr>
              <w:t>Uptake: year 4 onward</w:t>
            </w:r>
          </w:p>
        </w:tc>
        <w:tc>
          <w:tcPr>
            <w:tcW w:type="dxa" w:w="792"/>
            <w:shd w:val="clear" w:color="auto" w:fill="F3F6FC"/>
          </w:tcPr>
          <w:p>
            <w:pPr>
              <w:spacing w:after="0"/>
            </w:pPr>
            <w:r/>
            <w:r>
              <w:rPr>
                <w:rFonts w:ascii="Calibri" w:hAnsi="Calibri"/>
                <w:color w:val="333333"/>
                <w:sz w:val="15"/>
              </w:rPr>
              <w:t>1</w:t>
            </w:r>
          </w:p>
        </w:tc>
        <w:tc>
          <w:tcPr>
            <w:tcW w:type="dxa" w:w="1080"/>
            <w:shd w:val="clear" w:color="auto" w:fill="F3F6FC"/>
          </w:tcPr>
          <w:p>
            <w:pPr>
              <w:spacing w:after="0"/>
            </w:pPr>
            <w:r/>
            <w:r>
              <w:rPr>
                <w:rFonts w:ascii="Calibri" w:hAnsi="Calibri"/>
                <w:color w:val="333333"/>
                <w:sz w:val="15"/>
              </w:rPr>
              <w:t>1</w:t>
            </w:r>
          </w:p>
        </w:tc>
        <w:tc>
          <w:tcPr>
            <w:tcW w:type="dxa" w:w="792"/>
            <w:shd w:val="clear" w:color="auto" w:fill="F3F6FC"/>
          </w:tcPr>
          <w:p>
            <w:pPr>
              <w:spacing w:after="0"/>
            </w:pPr>
            <w:r/>
            <w:r>
              <w:rPr>
                <w:rFonts w:ascii="Calibri" w:hAnsi="Calibri"/>
                <w:color w:val="333333"/>
                <w:sz w:val="15"/>
              </w:rPr>
              <w:t>1</w:t>
            </w:r>
          </w:p>
        </w:tc>
        <w:tc>
          <w:tcPr>
            <w:tcW w:type="dxa" w:w="3816"/>
            <w:shd w:val="clear" w:color="auto" w:fill="F3F6FC"/>
          </w:tcPr>
          <w:p>
            <w:pPr>
              <w:spacing w:after="0"/>
            </w:pPr>
            <w:r/>
            <w:r>
              <w:rPr>
                <w:rFonts w:ascii="Calibri" w:hAnsi="Calibri"/>
                <w:color w:val="333333"/>
                <w:sz w:val="15"/>
              </w:rPr>
              <w:t>same</w:t>
            </w:r>
          </w:p>
        </w:tc>
      </w:tr>
      <w:tr>
        <w:tc>
          <w:tcPr>
            <w:tcW w:type="dxa" w:w="576"/>
          </w:tcPr>
          <w:p>
            <w:pPr>
              <w:spacing w:after="0"/>
            </w:pPr>
            <w:r/>
            <w:r>
              <w:rPr>
                <w:rFonts w:ascii="Calibri" w:hAnsi="Calibri"/>
                <w:b/>
                <w:color w:val="1E2761"/>
                <w:sz w:val="15"/>
              </w:rPr>
              <w:t>C1</w:t>
            </w:r>
          </w:p>
        </w:tc>
        <w:tc>
          <w:tcPr>
            <w:tcW w:type="dxa" w:w="2880"/>
          </w:tcPr>
          <w:p>
            <w:pPr>
              <w:spacing w:after="0"/>
            </w:pPr>
            <w:r/>
            <w:r>
              <w:rPr>
                <w:rFonts w:ascii="Calibri" w:hAnsi="Calibri"/>
                <w:color w:val="333333"/>
                <w:sz w:val="15"/>
              </w:rPr>
              <w:t>Coverage in launch year</w:t>
            </w:r>
          </w:p>
        </w:tc>
        <w:tc>
          <w:tcPr>
            <w:tcW w:type="dxa" w:w="792"/>
          </w:tcPr>
          <w:p>
            <w:pPr>
              <w:spacing w:after="0"/>
            </w:pPr>
            <w:r/>
            <w:r>
              <w:rPr>
                <w:rFonts w:ascii="Calibri" w:hAnsi="Calibri"/>
                <w:color w:val="333333"/>
                <w:sz w:val="15"/>
              </w:rPr>
              <w:t>55%</w:t>
            </w:r>
          </w:p>
        </w:tc>
        <w:tc>
          <w:tcPr>
            <w:tcW w:type="dxa" w:w="1080"/>
          </w:tcPr>
          <w:p>
            <w:pPr>
              <w:spacing w:after="0"/>
            </w:pPr>
            <w:r/>
            <w:r>
              <w:rPr>
                <w:rFonts w:ascii="Calibri" w:hAnsi="Calibri"/>
                <w:color w:val="333333"/>
                <w:sz w:val="15"/>
              </w:rPr>
              <w:t>70%</w:t>
            </w:r>
          </w:p>
        </w:tc>
        <w:tc>
          <w:tcPr>
            <w:tcW w:type="dxa" w:w="792"/>
          </w:tcPr>
          <w:p>
            <w:pPr>
              <w:spacing w:after="0"/>
            </w:pPr>
            <w:r/>
            <w:r>
              <w:rPr>
                <w:rFonts w:ascii="Calibri" w:hAnsi="Calibri"/>
                <w:color w:val="333333"/>
                <w:sz w:val="15"/>
              </w:rPr>
              <w:t>85%</w:t>
            </w:r>
          </w:p>
        </w:tc>
        <w:tc>
          <w:tcPr>
            <w:tcW w:type="dxa" w:w="3816"/>
          </w:tcPr>
          <w:p>
            <w:pPr>
              <w:spacing w:after="0"/>
            </w:pPr>
            <w:r/>
            <w:r>
              <w:rPr>
                <w:rFonts w:ascii="Calibri" w:hAnsi="Calibri"/>
                <w:color w:val="333333"/>
                <w:sz w:val="15"/>
              </w:rPr>
              <w:t>dlbcl_prescriber_3Lplus_starts.csv: top 10% of prescribers write 53% of starts</w:t>
            </w:r>
          </w:p>
        </w:tc>
      </w:tr>
      <w:tr>
        <w:tc>
          <w:tcPr>
            <w:tcW w:type="dxa" w:w="576"/>
            <w:shd w:val="clear" w:color="auto" w:fill="F3F6FC"/>
          </w:tcPr>
          <w:p>
            <w:pPr>
              <w:spacing w:after="0"/>
            </w:pPr>
            <w:r/>
            <w:r>
              <w:rPr>
                <w:rFonts w:ascii="Calibri" w:hAnsi="Calibri"/>
                <w:b/>
                <w:color w:val="1E2761"/>
                <w:sz w:val="15"/>
              </w:rPr>
              <w:t>C2</w:t>
            </w:r>
          </w:p>
        </w:tc>
        <w:tc>
          <w:tcPr>
            <w:tcW w:type="dxa" w:w="2880"/>
            <w:shd w:val="clear" w:color="auto" w:fill="F3F6FC"/>
          </w:tcPr>
          <w:p>
            <w:pPr>
              <w:spacing w:after="0"/>
            </w:pPr>
            <w:r/>
            <w:r>
              <w:rPr>
                <w:rFonts w:ascii="Calibri" w:hAnsi="Calibri"/>
                <w:color w:val="333333"/>
                <w:sz w:val="15"/>
              </w:rPr>
              <w:t>Coverage from year 2</w:t>
            </w:r>
          </w:p>
        </w:tc>
        <w:tc>
          <w:tcPr>
            <w:tcW w:type="dxa" w:w="792"/>
            <w:shd w:val="clear" w:color="auto" w:fill="F3F6FC"/>
          </w:tcPr>
          <w:p>
            <w:pPr>
              <w:spacing w:after="0"/>
            </w:pPr>
            <w:r/>
            <w:r>
              <w:rPr>
                <w:rFonts w:ascii="Calibri" w:hAnsi="Calibri"/>
                <w:color w:val="333333"/>
                <w:sz w:val="15"/>
              </w:rPr>
              <w:t>90%</w:t>
            </w:r>
          </w:p>
        </w:tc>
        <w:tc>
          <w:tcPr>
            <w:tcW w:type="dxa" w:w="1080"/>
            <w:shd w:val="clear" w:color="auto" w:fill="F3F6FC"/>
          </w:tcPr>
          <w:p>
            <w:pPr>
              <w:spacing w:after="0"/>
            </w:pPr>
            <w:r/>
            <w:r>
              <w:rPr>
                <w:rFonts w:ascii="Calibri" w:hAnsi="Calibri"/>
                <w:color w:val="333333"/>
                <w:sz w:val="15"/>
              </w:rPr>
              <w:t>95%</w:t>
            </w:r>
          </w:p>
        </w:tc>
        <w:tc>
          <w:tcPr>
            <w:tcW w:type="dxa" w:w="792"/>
            <w:shd w:val="clear" w:color="auto" w:fill="F3F6FC"/>
          </w:tcPr>
          <w:p>
            <w:pPr>
              <w:spacing w:after="0"/>
            </w:pPr>
            <w:r/>
            <w:r>
              <w:rPr>
                <w:rFonts w:ascii="Calibri" w:hAnsi="Calibri"/>
                <w:color w:val="333333"/>
                <w:sz w:val="15"/>
              </w:rPr>
              <w:t>97%</w:t>
            </w:r>
          </w:p>
        </w:tc>
        <w:tc>
          <w:tcPr>
            <w:tcW w:type="dxa" w:w="3816"/>
            <w:shd w:val="clear" w:color="auto" w:fill="F3F6FC"/>
          </w:tcPr>
          <w:p>
            <w:pPr>
              <w:spacing w:after="0"/>
            </w:pPr>
            <w:r/>
            <w:r>
              <w:rPr>
                <w:rFonts w:ascii="Calibri" w:hAnsi="Calibri"/>
                <w:color w:val="333333"/>
                <w:sz w:val="15"/>
              </w:rPr>
              <w:t>Long tail of community prescribers</w:t>
            </w:r>
          </w:p>
        </w:tc>
      </w:tr>
      <w:tr>
        <w:tc>
          <w:tcPr>
            <w:tcW w:type="dxa" w:w="576"/>
          </w:tcPr>
          <w:p>
            <w:pPr>
              <w:spacing w:after="0"/>
            </w:pPr>
            <w:r/>
            <w:r>
              <w:rPr>
                <w:rFonts w:ascii="Calibri" w:hAnsi="Calibri"/>
                <w:b/>
                <w:color w:val="1E2761"/>
                <w:sz w:val="15"/>
              </w:rPr>
              <w:t>D1</w:t>
            </w:r>
          </w:p>
        </w:tc>
        <w:tc>
          <w:tcPr>
            <w:tcW w:type="dxa" w:w="2880"/>
          </w:tcPr>
          <w:p>
            <w:pPr>
              <w:spacing w:after="0"/>
            </w:pPr>
            <w:r/>
            <w:r>
              <w:rPr>
                <w:rFonts w:ascii="Calibri" w:hAnsi="Calibri"/>
                <w:color w:val="333333"/>
                <w:sz w:val="15"/>
              </w:rPr>
              <w:t>Average months on therapy</w:t>
            </w:r>
          </w:p>
        </w:tc>
        <w:tc>
          <w:tcPr>
            <w:tcW w:type="dxa" w:w="792"/>
          </w:tcPr>
          <w:p>
            <w:pPr>
              <w:spacing w:after="0"/>
            </w:pPr>
            <w:r/>
            <w:r>
              <w:rPr>
                <w:rFonts w:ascii="Calibri" w:hAnsi="Calibri"/>
                <w:color w:val="333333"/>
                <w:sz w:val="15"/>
              </w:rPr>
              <w:t>5</w:t>
            </w:r>
          </w:p>
        </w:tc>
        <w:tc>
          <w:tcPr>
            <w:tcW w:type="dxa" w:w="1080"/>
          </w:tcPr>
          <w:p>
            <w:pPr>
              <w:spacing w:after="0"/>
            </w:pPr>
            <w:r/>
            <w:r>
              <w:rPr>
                <w:rFonts w:ascii="Calibri" w:hAnsi="Calibri"/>
                <w:color w:val="333333"/>
                <w:sz w:val="15"/>
              </w:rPr>
              <w:t>6</w:t>
            </w:r>
          </w:p>
        </w:tc>
        <w:tc>
          <w:tcPr>
            <w:tcW w:type="dxa" w:w="792"/>
          </w:tcPr>
          <w:p>
            <w:pPr>
              <w:spacing w:after="0"/>
            </w:pPr>
            <w:r/>
            <w:r>
              <w:rPr>
                <w:rFonts w:ascii="Calibri" w:hAnsi="Calibri"/>
                <w:color w:val="333333"/>
                <w:sz w:val="15"/>
              </w:rPr>
              <w:t>7.5</w:t>
            </w:r>
          </w:p>
        </w:tc>
        <w:tc>
          <w:tcPr>
            <w:tcW w:type="dxa" w:w="3816"/>
          </w:tcPr>
          <w:p>
            <w:pPr>
              <w:spacing w:after="0"/>
            </w:pPr>
            <w:r/>
            <w:r>
              <w:rPr>
                <w:rFonts w:ascii="Calibri" w:hAnsi="Calibri"/>
                <w:color w:val="333333"/>
                <w:sz w:val="15"/>
              </w:rPr>
              <w:t>8-cycle fixed course (label, fictional); persistence KM: analogs 5.9–9.4 mo; Cramer et al. 2008 definitions</w:t>
            </w:r>
          </w:p>
        </w:tc>
      </w:tr>
      <w:tr>
        <w:tc>
          <w:tcPr>
            <w:tcW w:type="dxa" w:w="576"/>
            <w:shd w:val="clear" w:color="auto" w:fill="F3F6FC"/>
          </w:tcPr>
          <w:p>
            <w:pPr>
              <w:spacing w:after="0"/>
            </w:pPr>
            <w:r/>
            <w:r>
              <w:rPr>
                <w:rFonts w:ascii="Calibri" w:hAnsi="Calibri"/>
                <w:b/>
                <w:color w:val="1E2761"/>
                <w:sz w:val="15"/>
              </w:rPr>
              <w:t>D2</w:t>
            </w:r>
          </w:p>
        </w:tc>
        <w:tc>
          <w:tcPr>
            <w:tcW w:type="dxa" w:w="2880"/>
            <w:shd w:val="clear" w:color="auto" w:fill="F3F6FC"/>
          </w:tcPr>
          <w:p>
            <w:pPr>
              <w:spacing w:after="0"/>
            </w:pPr>
            <w:r/>
            <w:r>
              <w:rPr>
                <w:rFonts w:ascii="Calibri" w:hAnsi="Calibri"/>
                <w:color w:val="333333"/>
                <w:sz w:val="15"/>
              </w:rPr>
              <w:t>Compliance (doses received)</w:t>
            </w:r>
          </w:p>
        </w:tc>
        <w:tc>
          <w:tcPr>
            <w:tcW w:type="dxa" w:w="792"/>
            <w:shd w:val="clear" w:color="auto" w:fill="F3F6FC"/>
          </w:tcPr>
          <w:p>
            <w:pPr>
              <w:spacing w:after="0"/>
            </w:pPr>
            <w:r/>
            <w:r>
              <w:rPr>
                <w:rFonts w:ascii="Calibri" w:hAnsi="Calibri"/>
                <w:color w:val="333333"/>
                <w:sz w:val="15"/>
              </w:rPr>
              <w:t>92%</w:t>
            </w:r>
          </w:p>
        </w:tc>
        <w:tc>
          <w:tcPr>
            <w:tcW w:type="dxa" w:w="1080"/>
            <w:shd w:val="clear" w:color="auto" w:fill="F3F6FC"/>
          </w:tcPr>
          <w:p>
            <w:pPr>
              <w:spacing w:after="0"/>
            </w:pPr>
            <w:r/>
            <w:r>
              <w:rPr>
                <w:rFonts w:ascii="Calibri" w:hAnsi="Calibri"/>
                <w:color w:val="333333"/>
                <w:sz w:val="15"/>
              </w:rPr>
              <w:t>95%</w:t>
            </w:r>
          </w:p>
        </w:tc>
        <w:tc>
          <w:tcPr>
            <w:tcW w:type="dxa" w:w="792"/>
            <w:shd w:val="clear" w:color="auto" w:fill="F3F6FC"/>
          </w:tcPr>
          <w:p>
            <w:pPr>
              <w:spacing w:after="0"/>
            </w:pPr>
            <w:r/>
            <w:r>
              <w:rPr>
                <w:rFonts w:ascii="Calibri" w:hAnsi="Calibri"/>
                <w:color w:val="333333"/>
                <w:sz w:val="15"/>
              </w:rPr>
              <w:t>97%</w:t>
            </w:r>
          </w:p>
        </w:tc>
        <w:tc>
          <w:tcPr>
            <w:tcW w:type="dxa" w:w="3816"/>
            <w:shd w:val="clear" w:color="auto" w:fill="F3F6FC"/>
          </w:tcPr>
          <w:p>
            <w:pPr>
              <w:spacing w:after="0"/>
            </w:pPr>
            <w:r/>
            <w:r>
              <w:rPr>
                <w:rFonts w:ascii="Calibri" w:hAnsi="Calibri"/>
                <w:color w:val="333333"/>
                <w:sz w:val="15"/>
              </w:rPr>
              <w:t>Dose delays and holds</w:t>
            </w:r>
          </w:p>
        </w:tc>
      </w:tr>
      <w:tr>
        <w:tc>
          <w:tcPr>
            <w:tcW w:type="dxa" w:w="576"/>
          </w:tcPr>
          <w:p>
            <w:pPr>
              <w:spacing w:after="0"/>
            </w:pPr>
            <w:r/>
            <w:r>
              <w:rPr>
                <w:rFonts w:ascii="Calibri" w:hAnsi="Calibri"/>
                <w:b/>
                <w:color w:val="1E2761"/>
                <w:sz w:val="15"/>
              </w:rPr>
              <w:t>P1</w:t>
            </w:r>
          </w:p>
        </w:tc>
        <w:tc>
          <w:tcPr>
            <w:tcW w:type="dxa" w:w="2880"/>
          </w:tcPr>
          <w:p>
            <w:pPr>
              <w:spacing w:after="0"/>
            </w:pPr>
            <w:r/>
            <w:r>
              <w:rPr>
                <w:rFonts w:ascii="Calibri" w:hAnsi="Calibri"/>
                <w:color w:val="333333"/>
                <w:sz w:val="15"/>
              </w:rPr>
              <w:t>List price (WAC) per 28-day month</w:t>
            </w:r>
          </w:p>
        </w:tc>
        <w:tc>
          <w:tcPr>
            <w:tcW w:type="dxa" w:w="792"/>
          </w:tcPr>
          <w:p>
            <w:pPr>
              <w:spacing w:after="0"/>
            </w:pPr>
            <w:r/>
            <w:r>
              <w:rPr>
                <w:rFonts w:ascii="Calibri" w:hAnsi="Calibri"/>
                <w:color w:val="333333"/>
                <w:sz w:val="15"/>
              </w:rPr>
              <w:t>18,500</w:t>
            </w:r>
          </w:p>
        </w:tc>
        <w:tc>
          <w:tcPr>
            <w:tcW w:type="dxa" w:w="1080"/>
          </w:tcPr>
          <w:p>
            <w:pPr>
              <w:spacing w:after="0"/>
            </w:pPr>
            <w:r/>
            <w:r>
              <w:rPr>
                <w:rFonts w:ascii="Calibri" w:hAnsi="Calibri"/>
                <w:color w:val="333333"/>
                <w:sz w:val="15"/>
              </w:rPr>
              <w:t>18,500</w:t>
            </w:r>
          </w:p>
        </w:tc>
        <w:tc>
          <w:tcPr>
            <w:tcW w:type="dxa" w:w="792"/>
          </w:tcPr>
          <w:p>
            <w:pPr>
              <w:spacing w:after="0"/>
            </w:pPr>
            <w:r/>
            <w:r>
              <w:rPr>
                <w:rFonts w:ascii="Calibri" w:hAnsi="Calibri"/>
                <w:color w:val="333333"/>
                <w:sz w:val="15"/>
              </w:rPr>
              <w:t>18,500</w:t>
            </w:r>
          </w:p>
        </w:tc>
        <w:tc>
          <w:tcPr>
            <w:tcW w:type="dxa" w:w="3816"/>
          </w:tcPr>
          <w:p>
            <w:pPr>
              <w:spacing w:after="0"/>
            </w:pPr>
            <w:r/>
            <w:r>
              <w:rPr>
                <w:rFonts w:ascii="Calibri" w:hAnsi="Calibri"/>
                <w:color w:val="333333"/>
                <w:sz w:val="15"/>
              </w:rPr>
              <w:t>Fictional</w:t>
            </w:r>
          </w:p>
        </w:tc>
      </w:tr>
      <w:tr>
        <w:tc>
          <w:tcPr>
            <w:tcW w:type="dxa" w:w="576"/>
            <w:shd w:val="clear" w:color="auto" w:fill="F3F6FC"/>
          </w:tcPr>
          <w:p>
            <w:pPr>
              <w:spacing w:after="0"/>
            </w:pPr>
            <w:r/>
            <w:r>
              <w:rPr>
                <w:rFonts w:ascii="Calibri" w:hAnsi="Calibri"/>
                <w:b/>
                <w:color w:val="1E2761"/>
                <w:sz w:val="15"/>
              </w:rPr>
              <w:t>P2</w:t>
            </w:r>
          </w:p>
        </w:tc>
        <w:tc>
          <w:tcPr>
            <w:tcW w:type="dxa" w:w="2880"/>
            <w:shd w:val="clear" w:color="auto" w:fill="F3F6FC"/>
          </w:tcPr>
          <w:p>
            <w:pPr>
              <w:spacing w:after="0"/>
            </w:pPr>
            <w:r/>
            <w:r>
              <w:rPr>
                <w:rFonts w:ascii="Calibri" w:hAnsi="Calibri"/>
                <w:color w:val="333333"/>
                <w:sz w:val="15"/>
              </w:rPr>
              <w:t>Gross-to-net (share of WAC kept)</w:t>
            </w:r>
          </w:p>
        </w:tc>
        <w:tc>
          <w:tcPr>
            <w:tcW w:type="dxa" w:w="792"/>
            <w:shd w:val="clear" w:color="auto" w:fill="F3F6FC"/>
          </w:tcPr>
          <w:p>
            <w:pPr>
              <w:spacing w:after="0"/>
            </w:pPr>
            <w:r/>
            <w:r>
              <w:rPr>
                <w:rFonts w:ascii="Calibri" w:hAnsi="Calibri"/>
                <w:color w:val="333333"/>
                <w:sz w:val="15"/>
              </w:rPr>
              <w:t>72%</w:t>
            </w:r>
          </w:p>
        </w:tc>
        <w:tc>
          <w:tcPr>
            <w:tcW w:type="dxa" w:w="1080"/>
            <w:shd w:val="clear" w:color="auto" w:fill="F3F6FC"/>
          </w:tcPr>
          <w:p>
            <w:pPr>
              <w:spacing w:after="0"/>
            </w:pPr>
            <w:r/>
            <w:r>
              <w:rPr>
                <w:rFonts w:ascii="Calibri" w:hAnsi="Calibri"/>
                <w:color w:val="333333"/>
                <w:sz w:val="15"/>
              </w:rPr>
              <w:t>76%</w:t>
            </w:r>
          </w:p>
        </w:tc>
        <w:tc>
          <w:tcPr>
            <w:tcW w:type="dxa" w:w="792"/>
            <w:shd w:val="clear" w:color="auto" w:fill="F3F6FC"/>
          </w:tcPr>
          <w:p>
            <w:pPr>
              <w:spacing w:after="0"/>
            </w:pPr>
            <w:r/>
            <w:r>
              <w:rPr>
                <w:rFonts w:ascii="Calibri" w:hAnsi="Calibri"/>
                <w:color w:val="333333"/>
                <w:sz w:val="15"/>
              </w:rPr>
              <w:t>80%</w:t>
            </w:r>
          </w:p>
        </w:tc>
        <w:tc>
          <w:tcPr>
            <w:tcW w:type="dxa" w:w="3816"/>
            <w:shd w:val="clear" w:color="auto" w:fill="F3F6FC"/>
          </w:tcPr>
          <w:p>
            <w:pPr>
              <w:spacing w:after="0"/>
            </w:pPr>
            <w:r/>
            <w:r>
              <w:rPr>
                <w:rFonts w:ascii="Calibri" w:hAnsi="Calibri"/>
                <w:color w:val="333333"/>
                <w:sz w:val="15"/>
              </w:rPr>
              <w:t>Rebates, 340B, Medicare</w:t>
            </w:r>
          </w:p>
        </w:tc>
      </w:tr>
      <w:tr>
        <w:tc>
          <w:tcPr>
            <w:tcW w:type="dxa" w:w="576"/>
          </w:tcPr>
          <w:p>
            <w:pPr>
              <w:spacing w:after="0"/>
            </w:pPr>
            <w:r/>
            <w:r>
              <w:rPr>
                <w:rFonts w:ascii="Calibri" w:hAnsi="Calibri"/>
                <w:b/>
                <w:color w:val="1E2761"/>
                <w:sz w:val="15"/>
              </w:rPr>
              <w:t>L1</w:t>
            </w:r>
          </w:p>
        </w:tc>
        <w:tc>
          <w:tcPr>
            <w:tcW w:type="dxa" w:w="2880"/>
          </w:tcPr>
          <w:p>
            <w:pPr>
              <w:spacing w:after="0"/>
            </w:pPr>
            <w:r/>
            <w:r>
              <w:rPr>
                <w:rFonts w:ascii="Calibri" w:hAnsi="Calibri"/>
                <w:color w:val="333333"/>
                <w:sz w:val="15"/>
              </w:rPr>
              <w:t>Loss-of-exclusivity year</w:t>
            </w:r>
          </w:p>
        </w:tc>
        <w:tc>
          <w:tcPr>
            <w:tcW w:type="dxa" w:w="792"/>
          </w:tcPr>
          <w:p>
            <w:pPr>
              <w:spacing w:after="0"/>
            </w:pPr>
            <w:r/>
            <w:r>
              <w:rPr>
                <w:rFonts w:ascii="Calibri" w:hAnsi="Calibri"/>
                <w:color w:val="333333"/>
                <w:sz w:val="15"/>
              </w:rPr>
              <w:t>2,038</w:t>
            </w:r>
          </w:p>
        </w:tc>
        <w:tc>
          <w:tcPr>
            <w:tcW w:type="dxa" w:w="1080"/>
          </w:tcPr>
          <w:p>
            <w:pPr>
              <w:spacing w:after="0"/>
            </w:pPr>
            <w:r/>
            <w:r>
              <w:rPr>
                <w:rFonts w:ascii="Calibri" w:hAnsi="Calibri"/>
                <w:color w:val="333333"/>
                <w:sz w:val="15"/>
              </w:rPr>
              <w:t>2,039</w:t>
            </w:r>
          </w:p>
        </w:tc>
        <w:tc>
          <w:tcPr>
            <w:tcW w:type="dxa" w:w="792"/>
          </w:tcPr>
          <w:p>
            <w:pPr>
              <w:spacing w:after="0"/>
            </w:pPr>
            <w:r/>
            <w:r>
              <w:rPr>
                <w:rFonts w:ascii="Calibri" w:hAnsi="Calibri"/>
                <w:color w:val="333333"/>
                <w:sz w:val="15"/>
              </w:rPr>
              <w:t>2,040</w:t>
            </w:r>
          </w:p>
        </w:tc>
        <w:tc>
          <w:tcPr>
            <w:tcW w:type="dxa" w:w="3816"/>
          </w:tcPr>
          <w:p>
            <w:pPr>
              <w:spacing w:after="0"/>
            </w:pPr>
            <w:r/>
            <w:r>
              <w:rPr>
                <w:rFonts w:ascii="Calibri" w:hAnsi="Calibri"/>
                <w:color w:val="333333"/>
                <w:sz w:val="15"/>
              </w:rPr>
              <w:t>Fictional; see IQVIA ADC paper for how exclusivity dates are read</w:t>
            </w:r>
          </w:p>
        </w:tc>
      </w:tr>
      <w:tr>
        <w:tc>
          <w:tcPr>
            <w:tcW w:type="dxa" w:w="576"/>
            <w:shd w:val="clear" w:color="auto" w:fill="F3F6FC"/>
          </w:tcPr>
          <w:p>
            <w:pPr>
              <w:spacing w:after="0"/>
            </w:pPr>
            <w:r/>
            <w:r>
              <w:rPr>
                <w:rFonts w:ascii="Calibri" w:hAnsi="Calibri"/>
                <w:b/>
                <w:color w:val="1E2761"/>
                <w:sz w:val="15"/>
              </w:rPr>
              <w:t>L2</w:t>
            </w:r>
          </w:p>
        </w:tc>
        <w:tc>
          <w:tcPr>
            <w:tcW w:type="dxa" w:w="2880"/>
            <w:shd w:val="clear" w:color="auto" w:fill="F3F6FC"/>
          </w:tcPr>
          <w:p>
            <w:pPr>
              <w:spacing w:after="0"/>
            </w:pPr>
            <w:r/>
            <w:r>
              <w:rPr>
                <w:rFonts w:ascii="Calibri" w:hAnsi="Calibri"/>
                <w:color w:val="333333"/>
                <w:sz w:val="15"/>
              </w:rPr>
              <w:t>Share retained in the LOE year</w:t>
            </w:r>
          </w:p>
        </w:tc>
        <w:tc>
          <w:tcPr>
            <w:tcW w:type="dxa" w:w="792"/>
            <w:shd w:val="clear" w:color="auto" w:fill="F3F6FC"/>
          </w:tcPr>
          <w:p>
            <w:pPr>
              <w:spacing w:after="0"/>
            </w:pPr>
            <w:r/>
            <w:r>
              <w:rPr>
                <w:rFonts w:ascii="Calibri" w:hAnsi="Calibri"/>
                <w:color w:val="333333"/>
                <w:sz w:val="15"/>
              </w:rPr>
              <w:t>65%</w:t>
            </w:r>
          </w:p>
        </w:tc>
        <w:tc>
          <w:tcPr>
            <w:tcW w:type="dxa" w:w="1080"/>
            <w:shd w:val="clear" w:color="auto" w:fill="F3F6FC"/>
          </w:tcPr>
          <w:p>
            <w:pPr>
              <w:spacing w:after="0"/>
            </w:pPr>
            <w:r/>
            <w:r>
              <w:rPr>
                <w:rFonts w:ascii="Calibri" w:hAnsi="Calibri"/>
                <w:color w:val="333333"/>
                <w:sz w:val="15"/>
              </w:rPr>
              <w:t>75%</w:t>
            </w:r>
          </w:p>
        </w:tc>
        <w:tc>
          <w:tcPr>
            <w:tcW w:type="dxa" w:w="792"/>
            <w:shd w:val="clear" w:color="auto" w:fill="F3F6FC"/>
          </w:tcPr>
          <w:p>
            <w:pPr>
              <w:spacing w:after="0"/>
            </w:pPr>
            <w:r/>
            <w:r>
              <w:rPr>
                <w:rFonts w:ascii="Calibri" w:hAnsi="Calibri"/>
                <w:color w:val="333333"/>
                <w:sz w:val="15"/>
              </w:rPr>
              <w:t>85%</w:t>
            </w:r>
          </w:p>
        </w:tc>
        <w:tc>
          <w:tcPr>
            <w:tcW w:type="dxa" w:w="3816"/>
            <w:shd w:val="clear" w:color="auto" w:fill="F3F6FC"/>
          </w:tcPr>
          <w:p>
            <w:pPr>
              <w:spacing w:after="0"/>
            </w:pPr>
            <w:r/>
            <w:r>
              <w:rPr>
                <w:rFonts w:ascii="Calibri" w:hAnsi="Calibri"/>
                <w:color w:val="333333"/>
                <w:sz w:val="15"/>
              </w:rPr>
              <w:t>Mid-year entry</w:t>
            </w:r>
          </w:p>
        </w:tc>
      </w:tr>
      <w:tr>
        <w:tc>
          <w:tcPr>
            <w:tcW w:type="dxa" w:w="576"/>
          </w:tcPr>
          <w:p>
            <w:pPr>
              <w:spacing w:after="0"/>
            </w:pPr>
            <w:r/>
            <w:r>
              <w:rPr>
                <w:rFonts w:ascii="Calibri" w:hAnsi="Calibri"/>
                <w:b/>
                <w:color w:val="1E2761"/>
                <w:sz w:val="15"/>
              </w:rPr>
              <w:t>L3</w:t>
            </w:r>
          </w:p>
        </w:tc>
        <w:tc>
          <w:tcPr>
            <w:tcW w:type="dxa" w:w="2880"/>
          </w:tcPr>
          <w:p>
            <w:pPr>
              <w:spacing w:after="0"/>
            </w:pPr>
            <w:r/>
            <w:r>
              <w:rPr>
                <w:rFonts w:ascii="Calibri" w:hAnsi="Calibri"/>
                <w:color w:val="333333"/>
                <w:sz w:val="15"/>
              </w:rPr>
              <w:t>Share retained after the LOE year</w:t>
            </w:r>
          </w:p>
        </w:tc>
        <w:tc>
          <w:tcPr>
            <w:tcW w:type="dxa" w:w="792"/>
          </w:tcPr>
          <w:p>
            <w:pPr>
              <w:spacing w:after="0"/>
            </w:pPr>
            <w:r/>
            <w:r>
              <w:rPr>
                <w:rFonts w:ascii="Calibri" w:hAnsi="Calibri"/>
                <w:color w:val="333333"/>
                <w:sz w:val="15"/>
              </w:rPr>
              <w:t>25%</w:t>
            </w:r>
          </w:p>
        </w:tc>
        <w:tc>
          <w:tcPr>
            <w:tcW w:type="dxa" w:w="1080"/>
          </w:tcPr>
          <w:p>
            <w:pPr>
              <w:spacing w:after="0"/>
            </w:pPr>
            <w:r/>
            <w:r>
              <w:rPr>
                <w:rFonts w:ascii="Calibri" w:hAnsi="Calibri"/>
                <w:color w:val="333333"/>
                <w:sz w:val="15"/>
              </w:rPr>
              <w:t>40%</w:t>
            </w:r>
          </w:p>
        </w:tc>
        <w:tc>
          <w:tcPr>
            <w:tcW w:type="dxa" w:w="792"/>
          </w:tcPr>
          <w:p>
            <w:pPr>
              <w:spacing w:after="0"/>
            </w:pPr>
            <w:r/>
            <w:r>
              <w:rPr>
                <w:rFonts w:ascii="Calibri" w:hAnsi="Calibri"/>
                <w:color w:val="333333"/>
                <w:sz w:val="15"/>
              </w:rPr>
              <w:t>55%</w:t>
            </w:r>
          </w:p>
        </w:tc>
        <w:tc>
          <w:tcPr>
            <w:tcW w:type="dxa" w:w="3816"/>
          </w:tcPr>
          <w:p>
            <w:pPr>
              <w:spacing w:after="0"/>
            </w:pPr>
            <w:r/>
            <w:r>
              <w:rPr>
                <w:rFonts w:ascii="Calibri" w:hAnsi="Calibri"/>
                <w:color w:val="333333"/>
                <w:sz w:val="15"/>
              </w:rPr>
              <w:t>Grabowski et al. 2021: small-molecule brands keep ~23% of units at 1 yr; biologics erode slower</w:t>
            </w:r>
          </w:p>
        </w:tc>
      </w:tr>
      <w:tr>
        <w:tc>
          <w:tcPr>
            <w:tcW w:type="dxa" w:w="576"/>
            <w:shd w:val="clear" w:color="auto" w:fill="F3F6FC"/>
          </w:tcPr>
          <w:p>
            <w:pPr>
              <w:spacing w:after="0"/>
            </w:pPr>
            <w:r/>
            <w:r>
              <w:rPr>
                <w:rFonts w:ascii="Calibri" w:hAnsi="Calibri"/>
                <w:b/>
                <w:color w:val="1E2761"/>
                <w:sz w:val="15"/>
              </w:rPr>
              <w:t>F1</w:t>
            </w:r>
          </w:p>
        </w:tc>
        <w:tc>
          <w:tcPr>
            <w:tcW w:type="dxa" w:w="2880"/>
            <w:shd w:val="clear" w:color="auto" w:fill="F3F6FC"/>
          </w:tcPr>
          <w:p>
            <w:pPr>
              <w:spacing w:after="0"/>
            </w:pPr>
            <w:r/>
            <w:r>
              <w:rPr>
                <w:rFonts w:ascii="Calibri" w:hAnsi="Calibri"/>
                <w:color w:val="333333"/>
                <w:sz w:val="15"/>
              </w:rPr>
              <w:t>Launch-year phasing of starts</w:t>
            </w:r>
          </w:p>
        </w:tc>
        <w:tc>
          <w:tcPr>
            <w:tcW w:type="dxa" w:w="792"/>
            <w:shd w:val="clear" w:color="auto" w:fill="F3F6FC"/>
          </w:tcPr>
          <w:p>
            <w:pPr>
              <w:spacing w:after="0"/>
            </w:pPr>
            <w:r/>
            <w:r>
              <w:rPr>
                <w:rFonts w:ascii="Calibri" w:hAnsi="Calibri"/>
                <w:color w:val="333333"/>
                <w:sz w:val="15"/>
              </w:rPr>
            </w:r>
          </w:p>
        </w:tc>
        <w:tc>
          <w:tcPr>
            <w:tcW w:type="dxa" w:w="1080"/>
            <w:shd w:val="clear" w:color="auto" w:fill="F3F6FC"/>
          </w:tcPr>
          <w:p>
            <w:pPr>
              <w:spacing w:after="0"/>
            </w:pPr>
            <w:r/>
            <w:r>
              <w:rPr>
                <w:rFonts w:ascii="Calibri" w:hAnsi="Calibri"/>
                <w:color w:val="333333"/>
                <w:sz w:val="15"/>
              </w:rPr>
              <w:t>linear ramp (month m ∝ m)</w:t>
            </w:r>
          </w:p>
        </w:tc>
        <w:tc>
          <w:tcPr>
            <w:tcW w:type="dxa" w:w="792"/>
            <w:shd w:val="clear" w:color="auto" w:fill="F3F6FC"/>
          </w:tcPr>
          <w:p>
            <w:pPr>
              <w:spacing w:after="0"/>
            </w:pPr>
            <w:r/>
            <w:r>
              <w:rPr>
                <w:rFonts w:ascii="Calibri" w:hAnsi="Calibri"/>
                <w:color w:val="333333"/>
                <w:sz w:val="15"/>
              </w:rPr>
            </w:r>
          </w:p>
        </w:tc>
        <w:tc>
          <w:tcPr>
            <w:tcW w:type="dxa" w:w="3816"/>
            <w:shd w:val="clear" w:color="auto" w:fill="F3F6FC"/>
          </w:tcPr>
          <w:p>
            <w:pPr>
              <w:spacing w:after="0"/>
            </w:pPr>
            <w:r/>
            <w:r>
              <w:rPr>
                <w:rFonts w:ascii="Calibri" w:hAnsi="Calibri"/>
                <w:color w:val="333333"/>
                <w:sz w:val="15"/>
              </w:rPr>
            </w:r>
          </w:p>
        </w:tc>
      </w:tr>
      <w:tr>
        <w:tc>
          <w:tcPr>
            <w:tcW w:type="dxa" w:w="576"/>
          </w:tcPr>
          <w:p>
            <w:pPr>
              <w:spacing w:after="0"/>
            </w:pPr>
            <w:r/>
            <w:r>
              <w:rPr>
                <w:rFonts w:ascii="Calibri" w:hAnsi="Calibri"/>
                <w:b/>
                <w:color w:val="1E2761"/>
                <w:sz w:val="15"/>
              </w:rPr>
              <w:t>F2</w:t>
            </w:r>
          </w:p>
        </w:tc>
        <w:tc>
          <w:tcPr>
            <w:tcW w:type="dxa" w:w="2880"/>
          </w:tcPr>
          <w:p>
            <w:pPr>
              <w:spacing w:after="0"/>
            </w:pPr>
            <w:r/>
            <w:r>
              <w:rPr>
                <w:rFonts w:ascii="Calibri" w:hAnsi="Calibri"/>
                <w:color w:val="333333"/>
                <w:sz w:val="15"/>
              </w:rPr>
              <w:t>Phasing after the launch year</w:t>
            </w:r>
          </w:p>
        </w:tc>
        <w:tc>
          <w:tcPr>
            <w:tcW w:type="dxa" w:w="792"/>
          </w:tcPr>
          <w:p>
            <w:pPr>
              <w:spacing w:after="0"/>
            </w:pPr>
            <w:r/>
            <w:r>
              <w:rPr>
                <w:rFonts w:ascii="Calibri" w:hAnsi="Calibri"/>
                <w:color w:val="333333"/>
                <w:sz w:val="15"/>
              </w:rPr>
            </w:r>
          </w:p>
        </w:tc>
        <w:tc>
          <w:tcPr>
            <w:tcW w:type="dxa" w:w="1080"/>
          </w:tcPr>
          <w:p>
            <w:pPr>
              <w:spacing w:after="0"/>
            </w:pPr>
            <w:r/>
            <w:r>
              <w:rPr>
                <w:rFonts w:ascii="Calibri" w:hAnsi="Calibri"/>
                <w:color w:val="333333"/>
                <w:sz w:val="15"/>
              </w:rPr>
              <w:t>flat (1/12 per month)</w:t>
            </w:r>
          </w:p>
        </w:tc>
        <w:tc>
          <w:tcPr>
            <w:tcW w:type="dxa" w:w="792"/>
          </w:tcPr>
          <w:p>
            <w:pPr>
              <w:spacing w:after="0"/>
            </w:pPr>
            <w:r/>
            <w:r>
              <w:rPr>
                <w:rFonts w:ascii="Calibri" w:hAnsi="Calibri"/>
                <w:color w:val="333333"/>
                <w:sz w:val="15"/>
              </w:rPr>
            </w:r>
          </w:p>
        </w:tc>
        <w:tc>
          <w:tcPr>
            <w:tcW w:type="dxa" w:w="3816"/>
          </w:tcPr>
          <w:p>
            <w:pPr>
              <w:spacing w:after="0"/>
            </w:pPr>
            <w:r/>
            <w:r>
              <w:rPr>
                <w:rFonts w:ascii="Calibri" w:hAnsi="Calibri"/>
                <w:color w:val="333333"/>
                <w:sz w:val="15"/>
              </w:rPr>
            </w:r>
          </w:p>
        </w:tc>
      </w:tr>
    </w:tbl>
    <w:p>
      <w:pPr>
        <w:spacing w:after="80"/>
      </w:pPr>
    </w:p>
    <w:p>
      <w:pPr>
        <w:spacing w:after="120" w:before="0"/>
      </w:pPr>
      <w:r>
        <w:rPr>
          <w:rFonts w:ascii="Calibri" w:hAnsi="Calibri"/>
          <w:b/>
          <w:i w:val="0"/>
          <w:color w:val="333333"/>
          <w:sz w:val="22"/>
        </w:rPr>
        <w:t xml:space="preserve">Five source types. </w:t>
      </w:r>
      <w:r>
        <w:rPr>
          <w:rFonts w:ascii="Calibri" w:hAnsi="Calibri"/>
          <w:b w:val="0"/>
          <w:i w:val="0"/>
          <w:color w:val="333333"/>
          <w:sz w:val="22"/>
        </w:rPr>
        <w:t>Data (claims, market, analogs) · Literature (peer-reviewed) · Analogs (similar launches) · Plans and labels (dates, price, dosing) · Judgment (written down, with a reason). Judgment is allowed; undocumented judgment is not.</w:t>
      </w:r>
    </w:p>
    <w:p>
      <w:pPr>
        <w:keepNext/>
        <w:spacing w:after="80" w:before="240"/>
      </w:pPr>
      <w:r>
        <w:rPr>
          <w:rFonts w:ascii="Calibri" w:hAnsi="Calibri"/>
          <w:b/>
          <w:i w:val="0"/>
          <w:color w:val="1E2761"/>
          <w:sz w:val="30"/>
        </w:rPr>
        <w:t>Part 5 · Using data to justify an assumption</w:t>
      </w:r>
    </w:p>
    <w:p>
      <w:pPr>
        <w:spacing w:after="120" w:before="0"/>
      </w:pPr>
      <w:r>
        <w:rPr>
          <w:rFonts w:ascii="Calibri" w:hAnsi="Calibri"/>
          <w:b w:val="0"/>
          <w:i w:val="0"/>
          <w:color w:val="333333"/>
          <w:sz w:val="22"/>
        </w:rPr>
        <w:t>The data do not drive a complicated model; they justify a number in the book.</w:t>
      </w:r>
    </w:p>
    <w:tbl>
      <w:tblPr>
        <w:tblStyle w:val="TableGrid"/>
        <w:tblW w:type="auto" w:w="0"/>
        <w:jc w:val="center"/>
        <w:tblLayout w:type="fixed"/>
        <w:tblLook w:firstColumn="1" w:firstRow="1" w:lastColumn="0" w:lastRow="0" w:noHBand="0" w:noVBand="1" w:val="04A0"/>
      </w:tblPr>
      <w:tblGrid>
        <w:gridCol w:w="2160"/>
        <w:gridCol w:w="4032"/>
        <w:gridCol w:w="3744"/>
      </w:tblGrid>
      <w:tr>
        <w:tc>
          <w:tcPr>
            <w:tcW w:type="dxa" w:w="2160"/>
            <w:shd w:val="clear" w:color="auto" w:fill="1E2761"/>
          </w:tcPr>
          <w:p>
            <w:pPr>
              <w:spacing w:after="0"/>
            </w:pPr>
            <w:r/>
            <w:r>
              <w:rPr>
                <w:rFonts w:ascii="Calibri" w:hAnsi="Calibri"/>
                <w:b/>
                <w:color w:val="FFFFFF"/>
                <w:sz w:val="18"/>
              </w:rPr>
              <w:t>Assumption</w:t>
            </w:r>
          </w:p>
        </w:tc>
        <w:tc>
          <w:tcPr>
            <w:tcW w:type="dxa" w:w="4032"/>
            <w:shd w:val="clear" w:color="auto" w:fill="1E2761"/>
          </w:tcPr>
          <w:p>
            <w:pPr>
              <w:spacing w:after="0"/>
            </w:pPr>
            <w:r/>
            <w:r>
              <w:rPr>
                <w:rFonts w:ascii="Calibri" w:hAnsi="Calibri"/>
                <w:b/>
                <w:color w:val="FFFFFF"/>
                <w:sz w:val="18"/>
              </w:rPr>
              <w:t>Data and method</w:t>
            </w:r>
          </w:p>
        </w:tc>
        <w:tc>
          <w:tcPr>
            <w:tcW w:type="dxa" w:w="3744"/>
            <w:shd w:val="clear" w:color="auto" w:fill="1E2761"/>
          </w:tcPr>
          <w:p>
            <w:pPr>
              <w:spacing w:after="0"/>
            </w:pPr>
            <w:r/>
            <w:r>
              <w:rPr>
                <w:rFonts w:ascii="Calibri" w:hAnsi="Calibri"/>
                <w:b/>
                <w:color w:val="FFFFFF"/>
                <w:sz w:val="18"/>
              </w:rPr>
              <w:t>Result → book</w:t>
            </w:r>
          </w:p>
        </w:tc>
      </w:tr>
      <w:tr>
        <w:tc>
          <w:tcPr>
            <w:tcW w:type="dxa" w:w="2160"/>
          </w:tcPr>
          <w:p>
            <w:pPr>
              <w:spacing w:after="0"/>
            </w:pPr>
            <w:r/>
            <w:r>
              <w:rPr>
                <w:rFonts w:ascii="Calibri" w:hAnsi="Calibri"/>
                <w:b/>
                <w:color w:val="1E2761"/>
                <w:sz w:val="18"/>
              </w:rPr>
              <w:t>T2, T3 progression</w:t>
            </w:r>
          </w:p>
        </w:tc>
        <w:tc>
          <w:tcPr>
            <w:tcW w:type="dxa" w:w="4032"/>
          </w:tcPr>
          <w:p>
            <w:pPr>
              <w:spacing w:after="0"/>
            </w:pPr>
            <w:r/>
            <w:r>
              <w:rPr>
                <w:rFonts w:ascii="Calibri" w:hAnsi="Calibri"/>
                <w:color w:val="333333"/>
                <w:sz w:val="18"/>
              </w:rPr>
              <w:t>Week 2 claims cohort; Kaplan–Meier on time to next line</w:t>
            </w:r>
          </w:p>
        </w:tc>
        <w:tc>
          <w:tcPr>
            <w:tcW w:type="dxa" w:w="3744"/>
          </w:tcPr>
          <w:p>
            <w:pPr>
              <w:spacing w:after="0"/>
            </w:pPr>
            <w:r/>
            <w:r>
              <w:rPr>
                <w:rFonts w:ascii="Calibri" w:hAnsi="Calibri"/>
                <w:color w:val="333333"/>
                <w:sz w:val="18"/>
              </w:rPr>
              <w:t>36% reach 2L (naive count 28%) → T2 = 31% after trimming for frail patients</w:t>
            </w:r>
          </w:p>
        </w:tc>
      </w:tr>
      <w:tr>
        <w:tc>
          <w:tcPr>
            <w:tcW w:type="dxa" w:w="2160"/>
            <w:shd w:val="clear" w:color="auto" w:fill="F3F6FC"/>
          </w:tcPr>
          <w:p>
            <w:pPr>
              <w:spacing w:after="0"/>
            </w:pPr>
            <w:r/>
            <w:r>
              <w:rPr>
                <w:rFonts w:ascii="Calibri" w:hAnsi="Calibri"/>
                <w:b/>
                <w:color w:val="1E2761"/>
                <w:sz w:val="18"/>
              </w:rPr>
              <w:t>D1 months on therapy</w:t>
            </w:r>
          </w:p>
        </w:tc>
        <w:tc>
          <w:tcPr>
            <w:tcW w:type="dxa" w:w="4032"/>
            <w:shd w:val="clear" w:color="auto" w:fill="F3F6FC"/>
          </w:tcPr>
          <w:p>
            <w:pPr>
              <w:spacing w:after="0"/>
            </w:pPr>
            <w:r/>
            <w:r>
              <w:rPr>
                <w:rFonts w:ascii="Calibri" w:hAnsi="Calibri"/>
                <w:color w:val="333333"/>
                <w:sz w:val="18"/>
              </w:rPr>
              <w:t>Kaplan–Meier on months on therapy for three analog regimens</w:t>
            </w:r>
          </w:p>
        </w:tc>
        <w:tc>
          <w:tcPr>
            <w:tcW w:type="dxa" w:w="3744"/>
            <w:shd w:val="clear" w:color="auto" w:fill="F3F6FC"/>
          </w:tcPr>
          <w:p>
            <w:pPr>
              <w:spacing w:after="0"/>
            </w:pPr>
            <w:r/>
            <w:r>
              <w:rPr>
                <w:rFonts w:ascii="Calibri" w:hAnsi="Calibri"/>
                <w:color w:val="333333"/>
                <w:sz w:val="18"/>
              </w:rPr>
              <w:t>means 5.9–9.4 months; label caps at 8 cycles → 6 months</w:t>
            </w:r>
          </w:p>
        </w:tc>
      </w:tr>
      <w:tr>
        <w:tc>
          <w:tcPr>
            <w:tcW w:type="dxa" w:w="2160"/>
          </w:tcPr>
          <w:p>
            <w:pPr>
              <w:spacing w:after="0"/>
            </w:pPr>
            <w:r/>
            <w:r>
              <w:rPr>
                <w:rFonts w:ascii="Calibri" w:hAnsi="Calibri"/>
                <w:b/>
                <w:color w:val="1E2761"/>
                <w:sz w:val="18"/>
              </w:rPr>
              <w:t>U1–U3 uptake</w:t>
            </w:r>
          </w:p>
        </w:tc>
        <w:tc>
          <w:tcPr>
            <w:tcW w:type="dxa" w:w="4032"/>
          </w:tcPr>
          <w:p>
            <w:pPr>
              <w:spacing w:after="0"/>
            </w:pPr>
            <w:r/>
            <w:r>
              <w:rPr>
                <w:rFonts w:ascii="Calibri" w:hAnsi="Calibri"/>
                <w:color w:val="333333"/>
                <w:sz w:val="18"/>
              </w:rPr>
              <w:t>share of peak reached in years 1–3 by analog launches</w:t>
            </w:r>
          </w:p>
        </w:tc>
        <w:tc>
          <w:tcPr>
            <w:tcW w:type="dxa" w:w="3744"/>
          </w:tcPr>
          <w:p>
            <w:pPr>
              <w:spacing w:after="0"/>
            </w:pPr>
            <w:r/>
            <w:r>
              <w:rPr>
                <w:rFonts w:ascii="Calibri" w:hAnsi="Calibri"/>
                <w:color w:val="333333"/>
                <w:sz w:val="18"/>
              </w:rPr>
              <w:t>outpatient 24–37% in year 1; CAR-T 8–12% → 30% / 90% / 100%</w:t>
            </w:r>
          </w:p>
        </w:tc>
      </w:tr>
      <w:tr>
        <w:tc>
          <w:tcPr>
            <w:tcW w:type="dxa" w:w="2160"/>
            <w:shd w:val="clear" w:color="auto" w:fill="F3F6FC"/>
          </w:tcPr>
          <w:p>
            <w:pPr>
              <w:spacing w:after="0"/>
            </w:pPr>
            <w:r/>
            <w:r>
              <w:rPr>
                <w:rFonts w:ascii="Calibri" w:hAnsi="Calibri"/>
                <w:b/>
                <w:color w:val="1E2761"/>
                <w:sz w:val="18"/>
              </w:rPr>
              <w:t>B3 peak share</w:t>
            </w:r>
          </w:p>
        </w:tc>
        <w:tc>
          <w:tcPr>
            <w:tcW w:type="dxa" w:w="4032"/>
            <w:shd w:val="clear" w:color="auto" w:fill="F3F6FC"/>
          </w:tcPr>
          <w:p>
            <w:pPr>
              <w:spacing w:after="0"/>
            </w:pPr>
            <w:r/>
            <w:r>
              <w:rPr>
                <w:rFonts w:ascii="Calibri" w:hAnsi="Calibri"/>
                <w:color w:val="333333"/>
                <w:sz w:val="18"/>
              </w:rPr>
              <w:t>order-of-entry rule: share ≈ pioneer ÷ √order</w:t>
            </w:r>
          </w:p>
        </w:tc>
        <w:tc>
          <w:tcPr>
            <w:tcW w:type="dxa" w:w="3744"/>
            <w:shd w:val="clear" w:color="auto" w:fill="F3F6FC"/>
          </w:tcPr>
          <w:p>
            <w:pPr>
              <w:spacing w:after="0"/>
            </w:pPr>
            <w:r/>
            <w:r>
              <w:rPr>
                <w:rFonts w:ascii="Calibri" w:hAnsi="Calibri"/>
                <w:color w:val="333333"/>
                <w:sz w:val="18"/>
              </w:rPr>
              <w:t>0.26 ÷ √3 = 0.15</w:t>
            </w:r>
          </w:p>
        </w:tc>
      </w:tr>
      <w:tr>
        <w:tc>
          <w:tcPr>
            <w:tcW w:type="dxa" w:w="2160"/>
          </w:tcPr>
          <w:p>
            <w:pPr>
              <w:spacing w:after="0"/>
            </w:pPr>
            <w:r/>
            <w:r>
              <w:rPr>
                <w:rFonts w:ascii="Calibri" w:hAnsi="Calibri"/>
                <w:b/>
                <w:color w:val="1E2761"/>
                <w:sz w:val="18"/>
              </w:rPr>
              <w:t>C1 coverage</w:t>
            </w:r>
          </w:p>
        </w:tc>
        <w:tc>
          <w:tcPr>
            <w:tcW w:type="dxa" w:w="4032"/>
          </w:tcPr>
          <w:p>
            <w:pPr>
              <w:spacing w:after="0"/>
            </w:pPr>
            <w:r/>
            <w:r>
              <w:rPr>
                <w:rFonts w:ascii="Calibri" w:hAnsi="Calibri"/>
                <w:color w:val="333333"/>
                <w:sz w:val="18"/>
              </w:rPr>
              <w:t>prescriber concentration: top 10% write 53% of starts</w:t>
            </w:r>
          </w:p>
        </w:tc>
        <w:tc>
          <w:tcPr>
            <w:tcW w:type="dxa" w:w="3744"/>
          </w:tcPr>
          <w:p>
            <w:pPr>
              <w:spacing w:after="0"/>
            </w:pPr>
            <w:r/>
            <w:r>
              <w:rPr>
                <w:rFonts w:ascii="Calibri" w:hAnsi="Calibri"/>
                <w:color w:val="333333"/>
                <w:sz w:val="18"/>
              </w:rPr>
              <w:t>formulary at the largest centers → 70% reachable in year 1</w:t>
            </w:r>
          </w:p>
        </w:tc>
      </w:tr>
    </w:tbl>
    <w:p>
      <w:pPr>
        <w:spacing w:after="80"/>
      </w:pPr>
    </w:p>
    <w:p>
      <w:pPr>
        <w:spacing w:after="120" w:before="0"/>
      </w:pPr>
      <w:r>
        <w:rPr>
          <w:rFonts w:ascii="Calibri" w:hAnsi="Calibri"/>
          <w:b/>
          <w:i w:val="0"/>
          <w:color w:val="333333"/>
          <w:sz w:val="22"/>
        </w:rPr>
        <w:t xml:space="preserve">Censoring. </w:t>
      </w:r>
      <w:r>
        <w:rPr>
          <w:rFonts w:ascii="Calibri" w:hAnsi="Calibri"/>
          <w:b w:val="0"/>
          <w:i w:val="0"/>
          <w:color w:val="333333"/>
          <w:sz w:val="22"/>
        </w:rPr>
        <w:t>A patient who has not relapsed by the end of the data is ‘not yet’, not ‘never’. Counting her as ‘never’ biases progression rates and months on therapy low. Kaplan–Meier fixes this: at each event time, the share still event-free is multiplied by (1 − events ÷ patients still at risk).</w:t>
      </w:r>
    </w:p>
    <w:p>
      <w:pPr>
        <w:spacing w:after="120" w:before="0"/>
      </w:pPr>
      <w:r>
        <w:rPr>
          <w:rFonts w:ascii="Calibri" w:hAnsi="Calibri"/>
          <w:b/>
          <w:i w:val="0"/>
          <w:color w:val="333333"/>
          <w:sz w:val="22"/>
        </w:rPr>
        <w:t xml:space="preserve">New patients vs patients on therapy. </w:t>
      </w:r>
      <w:r>
        <w:rPr>
          <w:rFonts w:ascii="Calibri" w:hAnsi="Calibri"/>
          <w:b w:val="0"/>
          <w:i w:val="0"/>
          <w:color w:val="333333"/>
          <w:sz w:val="22"/>
        </w:rPr>
        <w:t>New patients are a flow per year; patients on therapy are a stock at a point in time. In a steady state, stock = flow × average time on therapy (Little's law). The field is paid on new patients; supply and revenue follow patients on therapy.</w:t>
      </w:r>
    </w:p>
    <w:p>
      <w:pPr>
        <w:keepNext/>
        <w:spacing w:after="80" w:before="240"/>
      </w:pPr>
      <w:r>
        <w:rPr>
          <w:rFonts w:ascii="Calibri" w:hAnsi="Calibri"/>
          <w:b/>
          <w:i w:val="0"/>
          <w:color w:val="1E2761"/>
          <w:sz w:val="30"/>
        </w:rPr>
        <w:t>Part 6 · Ranges</w:t>
      </w:r>
    </w:p>
    <w:tbl>
      <w:tblPr>
        <w:tblStyle w:val="TableGrid"/>
        <w:tblW w:type="auto" w:w="0"/>
        <w:jc w:val="center"/>
        <w:tblLayout w:type="fixed"/>
        <w:tblLook w:firstColumn="1" w:firstRow="1" w:lastColumn="0" w:lastRow="0" w:noHBand="0" w:noVBand="1" w:val="04A0"/>
      </w:tblPr>
      <w:tblGrid>
        <w:gridCol w:w="2304"/>
        <w:gridCol w:w="1224"/>
        <w:gridCol w:w="1224"/>
        <w:gridCol w:w="1224"/>
        <w:gridCol w:w="1224"/>
        <w:gridCol w:w="1224"/>
        <w:gridCol w:w="1224"/>
      </w:tblGrid>
      <w:tr>
        <w:tc>
          <w:tcPr>
            <w:tcW w:type="dxa" w:w="2304"/>
            <w:shd w:val="clear" w:color="auto" w:fill="1E2761"/>
          </w:tcPr>
          <w:p>
            <w:pPr>
              <w:spacing w:after="0"/>
            </w:pPr>
            <w:r/>
            <w:r>
              <w:rPr>
                <w:rFonts w:ascii="Calibri" w:hAnsi="Calibri"/>
                <w:b/>
                <w:color w:val="FFFFFF"/>
                <w:sz w:val="18"/>
              </w:rPr>
              <w:t>Net revenue, $M</w:t>
            </w:r>
          </w:p>
        </w:tc>
        <w:tc>
          <w:tcPr>
            <w:tcW w:type="dxa" w:w="1224"/>
            <w:shd w:val="clear" w:color="auto" w:fill="1E2761"/>
          </w:tcPr>
          <w:p>
            <w:pPr>
              <w:spacing w:after="0"/>
            </w:pPr>
            <w:r/>
            <w:r>
              <w:rPr>
                <w:rFonts w:ascii="Calibri" w:hAnsi="Calibri"/>
                <w:b/>
                <w:color w:val="FFFFFF"/>
                <w:sz w:val="18"/>
              </w:rPr>
              <w:t>2027</w:t>
            </w:r>
          </w:p>
        </w:tc>
        <w:tc>
          <w:tcPr>
            <w:tcW w:type="dxa" w:w="1224"/>
            <w:shd w:val="clear" w:color="auto" w:fill="1E2761"/>
          </w:tcPr>
          <w:p>
            <w:pPr>
              <w:spacing w:after="0"/>
            </w:pPr>
            <w:r/>
            <w:r>
              <w:rPr>
                <w:rFonts w:ascii="Calibri" w:hAnsi="Calibri"/>
                <w:b/>
                <w:color w:val="FFFFFF"/>
                <w:sz w:val="18"/>
              </w:rPr>
              <w:t>2028</w:t>
            </w:r>
          </w:p>
        </w:tc>
        <w:tc>
          <w:tcPr>
            <w:tcW w:type="dxa" w:w="1224"/>
            <w:shd w:val="clear" w:color="auto" w:fill="1E2761"/>
          </w:tcPr>
          <w:p>
            <w:pPr>
              <w:spacing w:after="0"/>
            </w:pPr>
            <w:r/>
            <w:r>
              <w:rPr>
                <w:rFonts w:ascii="Calibri" w:hAnsi="Calibri"/>
                <w:b/>
                <w:color w:val="FFFFFF"/>
                <w:sz w:val="18"/>
              </w:rPr>
              <w:t>2029</w:t>
            </w:r>
          </w:p>
        </w:tc>
        <w:tc>
          <w:tcPr>
            <w:tcW w:type="dxa" w:w="1224"/>
            <w:shd w:val="clear" w:color="auto" w:fill="1E2761"/>
          </w:tcPr>
          <w:p>
            <w:pPr>
              <w:spacing w:after="0"/>
            </w:pPr>
            <w:r/>
            <w:r>
              <w:rPr>
                <w:rFonts w:ascii="Calibri" w:hAnsi="Calibri"/>
                <w:b/>
                <w:color w:val="FFFFFF"/>
                <w:sz w:val="18"/>
              </w:rPr>
              <w:t>2032</w:t>
            </w:r>
          </w:p>
        </w:tc>
        <w:tc>
          <w:tcPr>
            <w:tcW w:type="dxa" w:w="1224"/>
            <w:shd w:val="clear" w:color="auto" w:fill="1E2761"/>
          </w:tcPr>
          <w:p>
            <w:pPr>
              <w:spacing w:after="0"/>
            </w:pPr>
            <w:r/>
            <w:r>
              <w:rPr>
                <w:rFonts w:ascii="Calibri" w:hAnsi="Calibri"/>
                <w:b/>
                <w:color w:val="FFFFFF"/>
                <w:sz w:val="18"/>
              </w:rPr>
              <w:t>2035</w:t>
            </w:r>
          </w:p>
        </w:tc>
        <w:tc>
          <w:tcPr>
            <w:tcW w:type="dxa" w:w="1224"/>
            <w:shd w:val="clear" w:color="auto" w:fill="1E2761"/>
          </w:tcPr>
          <w:p>
            <w:pPr>
              <w:spacing w:after="0"/>
            </w:pPr>
            <w:r/>
            <w:r>
              <w:rPr>
                <w:rFonts w:ascii="Calibri" w:hAnsi="Calibri"/>
                <w:b/>
                <w:color w:val="FFFFFF"/>
                <w:sz w:val="18"/>
              </w:rPr>
              <w:t>Peak</w:t>
            </w:r>
          </w:p>
        </w:tc>
      </w:tr>
      <w:tr>
        <w:tc>
          <w:tcPr>
            <w:tcW w:type="dxa" w:w="2304"/>
          </w:tcPr>
          <w:p>
            <w:pPr>
              <w:spacing w:after="0"/>
            </w:pPr>
            <w:r/>
            <w:r>
              <w:rPr>
                <w:rFonts w:ascii="Calibri" w:hAnsi="Calibri"/>
                <w:b/>
                <w:color w:val="1E2761"/>
                <w:sz w:val="18"/>
              </w:rPr>
              <w:t>Low</w:t>
            </w:r>
          </w:p>
        </w:tc>
        <w:tc>
          <w:tcPr>
            <w:tcW w:type="dxa" w:w="1224"/>
          </w:tcPr>
          <w:p>
            <w:pPr>
              <w:spacing w:after="0"/>
            </w:pPr>
            <w:r/>
            <w:r>
              <w:rPr>
                <w:rFonts w:ascii="Calibri" w:hAnsi="Calibri"/>
                <w:color w:val="333333"/>
                <w:sz w:val="18"/>
              </w:rPr>
              <w:t>1</w:t>
            </w:r>
          </w:p>
        </w:tc>
        <w:tc>
          <w:tcPr>
            <w:tcW w:type="dxa" w:w="1224"/>
          </w:tcPr>
          <w:p>
            <w:pPr>
              <w:spacing w:after="0"/>
            </w:pPr>
            <w:r/>
            <w:r>
              <w:rPr>
                <w:rFonts w:ascii="Calibri" w:hAnsi="Calibri"/>
                <w:color w:val="333333"/>
                <w:sz w:val="18"/>
              </w:rPr>
              <w:t>7</w:t>
            </w:r>
          </w:p>
        </w:tc>
        <w:tc>
          <w:tcPr>
            <w:tcW w:type="dxa" w:w="1224"/>
          </w:tcPr>
          <w:p>
            <w:pPr>
              <w:spacing w:after="0"/>
            </w:pPr>
            <w:r/>
            <w:r>
              <w:rPr>
                <w:rFonts w:ascii="Calibri" w:hAnsi="Calibri"/>
                <w:color w:val="333333"/>
                <w:sz w:val="18"/>
              </w:rPr>
              <w:t>11</w:t>
            </w:r>
          </w:p>
        </w:tc>
        <w:tc>
          <w:tcPr>
            <w:tcW w:type="dxa" w:w="1224"/>
          </w:tcPr>
          <w:p>
            <w:pPr>
              <w:spacing w:after="0"/>
            </w:pPr>
            <w:r/>
            <w:r>
              <w:rPr>
                <w:rFonts w:ascii="Calibri" w:hAnsi="Calibri"/>
                <w:color w:val="333333"/>
                <w:sz w:val="18"/>
              </w:rPr>
              <w:t>28</w:t>
            </w:r>
          </w:p>
        </w:tc>
        <w:tc>
          <w:tcPr>
            <w:tcW w:type="dxa" w:w="1224"/>
          </w:tcPr>
          <w:p>
            <w:pPr>
              <w:spacing w:after="0"/>
            </w:pPr>
            <w:r/>
            <w:r>
              <w:rPr>
                <w:rFonts w:ascii="Calibri" w:hAnsi="Calibri"/>
                <w:color w:val="333333"/>
                <w:sz w:val="18"/>
              </w:rPr>
              <w:t>30</w:t>
            </w:r>
          </w:p>
        </w:tc>
        <w:tc>
          <w:tcPr>
            <w:tcW w:type="dxa" w:w="1224"/>
          </w:tcPr>
          <w:p>
            <w:pPr>
              <w:spacing w:after="0"/>
            </w:pPr>
            <w:r/>
            <w:r>
              <w:rPr>
                <w:rFonts w:ascii="Calibri" w:hAnsi="Calibri"/>
                <w:color w:val="333333"/>
                <w:sz w:val="18"/>
              </w:rPr>
              <w:t>31</w:t>
            </w:r>
          </w:p>
        </w:tc>
      </w:tr>
      <w:tr>
        <w:tc>
          <w:tcPr>
            <w:tcW w:type="dxa" w:w="2304"/>
            <w:shd w:val="clear" w:color="auto" w:fill="F3F6FC"/>
          </w:tcPr>
          <w:p>
            <w:pPr>
              <w:spacing w:after="0"/>
            </w:pPr>
            <w:r/>
            <w:r>
              <w:rPr>
                <w:rFonts w:ascii="Calibri" w:hAnsi="Calibri"/>
                <w:b/>
                <w:color w:val="1E2761"/>
                <w:sz w:val="18"/>
              </w:rPr>
              <w:t>Base</w:t>
            </w:r>
          </w:p>
        </w:tc>
        <w:tc>
          <w:tcPr>
            <w:tcW w:type="dxa" w:w="1224"/>
            <w:shd w:val="clear" w:color="auto" w:fill="F3F6FC"/>
          </w:tcPr>
          <w:p>
            <w:pPr>
              <w:spacing w:after="0"/>
            </w:pPr>
            <w:r/>
            <w:r>
              <w:rPr>
                <w:rFonts w:ascii="Calibri" w:hAnsi="Calibri"/>
                <w:color w:val="333333"/>
                <w:sz w:val="18"/>
              </w:rPr>
              <w:t>9</w:t>
            </w:r>
          </w:p>
        </w:tc>
        <w:tc>
          <w:tcPr>
            <w:tcW w:type="dxa" w:w="1224"/>
            <w:shd w:val="clear" w:color="auto" w:fill="F3F6FC"/>
          </w:tcPr>
          <w:p>
            <w:pPr>
              <w:spacing w:after="0"/>
            </w:pPr>
            <w:r/>
            <w:r>
              <w:rPr>
                <w:rFonts w:ascii="Calibri" w:hAnsi="Calibri"/>
                <w:color w:val="333333"/>
                <w:sz w:val="18"/>
              </w:rPr>
              <w:t>37</w:t>
            </w:r>
          </w:p>
        </w:tc>
        <w:tc>
          <w:tcPr>
            <w:tcW w:type="dxa" w:w="1224"/>
            <w:shd w:val="clear" w:color="auto" w:fill="F3F6FC"/>
          </w:tcPr>
          <w:p>
            <w:pPr>
              <w:spacing w:after="0"/>
            </w:pPr>
            <w:r/>
            <w:r>
              <w:rPr>
                <w:rFonts w:ascii="Calibri" w:hAnsi="Calibri"/>
                <w:color w:val="333333"/>
                <w:sz w:val="18"/>
              </w:rPr>
              <w:t>52</w:t>
            </w:r>
          </w:p>
        </w:tc>
        <w:tc>
          <w:tcPr>
            <w:tcW w:type="dxa" w:w="1224"/>
            <w:shd w:val="clear" w:color="auto" w:fill="F3F6FC"/>
          </w:tcPr>
          <w:p>
            <w:pPr>
              <w:spacing w:after="0"/>
            </w:pPr>
            <w:r/>
            <w:r>
              <w:rPr>
                <w:rFonts w:ascii="Calibri" w:hAnsi="Calibri"/>
                <w:color w:val="333333"/>
                <w:sz w:val="18"/>
              </w:rPr>
              <w:t>94</w:t>
            </w:r>
          </w:p>
        </w:tc>
        <w:tc>
          <w:tcPr>
            <w:tcW w:type="dxa" w:w="1224"/>
            <w:shd w:val="clear" w:color="auto" w:fill="F3F6FC"/>
          </w:tcPr>
          <w:p>
            <w:pPr>
              <w:spacing w:after="0"/>
            </w:pPr>
            <w:r/>
            <w:r>
              <w:rPr>
                <w:rFonts w:ascii="Calibri" w:hAnsi="Calibri"/>
                <w:color w:val="333333"/>
                <w:sz w:val="18"/>
              </w:rPr>
              <w:t>101</w:t>
            </w:r>
          </w:p>
        </w:tc>
        <w:tc>
          <w:tcPr>
            <w:tcW w:type="dxa" w:w="1224"/>
            <w:shd w:val="clear" w:color="auto" w:fill="F3F6FC"/>
          </w:tcPr>
          <w:p>
            <w:pPr>
              <w:spacing w:after="0"/>
            </w:pPr>
            <w:r/>
            <w:r>
              <w:rPr>
                <w:rFonts w:ascii="Calibri" w:hAnsi="Calibri"/>
                <w:color w:val="333333"/>
                <w:sz w:val="18"/>
              </w:rPr>
              <w:t>108</w:t>
            </w:r>
          </w:p>
        </w:tc>
      </w:tr>
      <w:tr>
        <w:tc>
          <w:tcPr>
            <w:tcW w:type="dxa" w:w="2304"/>
          </w:tcPr>
          <w:p>
            <w:pPr>
              <w:spacing w:after="0"/>
            </w:pPr>
            <w:r/>
            <w:r>
              <w:rPr>
                <w:rFonts w:ascii="Calibri" w:hAnsi="Calibri"/>
                <w:b/>
                <w:color w:val="1E2761"/>
                <w:sz w:val="18"/>
              </w:rPr>
              <w:t>High</w:t>
            </w:r>
          </w:p>
        </w:tc>
        <w:tc>
          <w:tcPr>
            <w:tcW w:type="dxa" w:w="1224"/>
          </w:tcPr>
          <w:p>
            <w:pPr>
              <w:spacing w:after="0"/>
            </w:pPr>
            <w:r/>
            <w:r>
              <w:rPr>
                <w:rFonts w:ascii="Calibri" w:hAnsi="Calibri"/>
                <w:color w:val="333333"/>
                <w:sz w:val="18"/>
              </w:rPr>
              <w:t>37</w:t>
            </w:r>
          </w:p>
        </w:tc>
        <w:tc>
          <w:tcPr>
            <w:tcW w:type="dxa" w:w="1224"/>
          </w:tcPr>
          <w:p>
            <w:pPr>
              <w:spacing w:after="0"/>
            </w:pPr>
            <w:r/>
            <w:r>
              <w:rPr>
                <w:rFonts w:ascii="Calibri" w:hAnsi="Calibri"/>
                <w:color w:val="333333"/>
                <w:sz w:val="18"/>
              </w:rPr>
              <w:t>148</w:t>
            </w:r>
          </w:p>
        </w:tc>
        <w:tc>
          <w:tcPr>
            <w:tcW w:type="dxa" w:w="1224"/>
          </w:tcPr>
          <w:p>
            <w:pPr>
              <w:spacing w:after="0"/>
            </w:pPr>
            <w:r/>
            <w:r>
              <w:rPr>
                <w:rFonts w:ascii="Calibri" w:hAnsi="Calibri"/>
                <w:color w:val="333333"/>
                <w:sz w:val="18"/>
              </w:rPr>
              <w:t>228</w:t>
            </w:r>
          </w:p>
        </w:tc>
        <w:tc>
          <w:tcPr>
            <w:tcW w:type="dxa" w:w="1224"/>
          </w:tcPr>
          <w:p>
            <w:pPr>
              <w:spacing w:after="0"/>
            </w:pPr>
            <w:r/>
            <w:r>
              <w:rPr>
                <w:rFonts w:ascii="Calibri" w:hAnsi="Calibri"/>
                <w:color w:val="333333"/>
                <w:sz w:val="18"/>
              </w:rPr>
              <w:t>251</w:t>
            </w:r>
          </w:p>
        </w:tc>
        <w:tc>
          <w:tcPr>
            <w:tcW w:type="dxa" w:w="1224"/>
          </w:tcPr>
          <w:p>
            <w:pPr>
              <w:spacing w:after="0"/>
            </w:pPr>
            <w:r/>
            <w:r>
              <w:rPr>
                <w:rFonts w:ascii="Calibri" w:hAnsi="Calibri"/>
                <w:color w:val="333333"/>
                <w:sz w:val="18"/>
              </w:rPr>
              <w:t>274</w:t>
            </w:r>
          </w:p>
        </w:tc>
        <w:tc>
          <w:tcPr>
            <w:tcW w:type="dxa" w:w="1224"/>
          </w:tcPr>
          <w:p>
            <w:pPr>
              <w:spacing w:after="0"/>
            </w:pPr>
            <w:r/>
            <w:r>
              <w:rPr>
                <w:rFonts w:ascii="Calibri" w:hAnsi="Calibri"/>
                <w:color w:val="333333"/>
                <w:sz w:val="18"/>
              </w:rPr>
              <w:t>308</w:t>
            </w:r>
          </w:p>
        </w:tc>
      </w:tr>
    </w:tbl>
    <w:p>
      <w:pPr>
        <w:spacing w:after="80"/>
      </w:pPr>
    </w:p>
    <w:p>
      <w:pPr>
        <w:spacing w:after="120" w:before="0"/>
      </w:pPr>
      <w:r>
        <w:rPr>
          <w:rFonts w:ascii="Calibri" w:hAnsi="Calibri"/>
          <w:b/>
          <w:i w:val="0"/>
          <w:color w:val="333333"/>
          <w:sz w:val="22"/>
        </w:rPr>
        <w:t xml:space="preserve">Scenarios </w:t>
      </w:r>
      <w:r>
        <w:rPr>
          <w:rFonts w:ascii="Calibri" w:hAnsi="Calibri"/>
          <w:b w:val="0"/>
          <w:i w:val="0"/>
          <w:color w:val="333333"/>
          <w:sz w:val="22"/>
        </w:rPr>
        <w:t xml:space="preserve">move every assumption to low (or high) together — the outer edges, deliberately extreme. </w:t>
      </w:r>
      <w:r>
        <w:rPr>
          <w:rFonts w:ascii="Calibri" w:hAnsi="Calibri"/>
          <w:b/>
          <w:i w:val="0"/>
          <w:color w:val="333333"/>
          <w:sz w:val="22"/>
        </w:rPr>
        <w:t xml:space="preserve">The tornado </w:t>
      </w:r>
      <w:r>
        <w:rPr>
          <w:rFonts w:ascii="Calibri" w:hAnsi="Calibri"/>
          <w:b w:val="0"/>
          <w:i w:val="0"/>
          <w:color w:val="333333"/>
          <w:sz w:val="22"/>
        </w:rPr>
        <w:t>moves one assumption at a time and ranks them by the swing they cause. Research the top bars first.</w:t>
      </w:r>
    </w:p>
    <w:tbl>
      <w:tblPr>
        <w:tblStyle w:val="TableGrid"/>
        <w:tblW w:type="auto" w:w="0"/>
        <w:jc w:val="center"/>
        <w:tblLayout w:type="fixed"/>
        <w:tblLook w:firstColumn="1" w:firstRow="1" w:lastColumn="0" w:lastRow="0" w:noHBand="0" w:noVBand="1" w:val="04A0"/>
      </w:tblPr>
      <w:tblGrid>
        <w:gridCol w:w="6192"/>
        <w:gridCol w:w="1872"/>
        <w:gridCol w:w="1872"/>
      </w:tblGrid>
      <w:tr>
        <w:tc>
          <w:tcPr>
            <w:tcW w:type="dxa" w:w="6192"/>
            <w:shd w:val="clear" w:color="auto" w:fill="1E2761"/>
          </w:tcPr>
          <w:p>
            <w:pPr>
              <w:spacing w:after="0"/>
            </w:pPr>
            <w:r/>
            <w:r>
              <w:rPr>
                <w:rFonts w:ascii="Calibri" w:hAnsi="Calibri"/>
                <w:b/>
                <w:color w:val="FFFFFF"/>
                <w:sz w:val="18"/>
              </w:rPr>
              <w:t>Tornado (2032, base $94M)</w:t>
            </w:r>
          </w:p>
        </w:tc>
        <w:tc>
          <w:tcPr>
            <w:tcW w:type="dxa" w:w="1872"/>
            <w:shd w:val="clear" w:color="auto" w:fill="1E2761"/>
          </w:tcPr>
          <w:p>
            <w:pPr>
              <w:spacing w:after="0"/>
            </w:pPr>
            <w:r/>
            <w:r>
              <w:rPr>
                <w:rFonts w:ascii="Calibri" w:hAnsi="Calibri"/>
                <w:b/>
                <w:color w:val="FFFFFF"/>
                <w:sz w:val="18"/>
              </w:rPr>
              <w:t>Low</w:t>
            </w:r>
          </w:p>
        </w:tc>
        <w:tc>
          <w:tcPr>
            <w:tcW w:type="dxa" w:w="1872"/>
            <w:shd w:val="clear" w:color="auto" w:fill="1E2761"/>
          </w:tcPr>
          <w:p>
            <w:pPr>
              <w:spacing w:after="0"/>
            </w:pPr>
            <w:r/>
            <w:r>
              <w:rPr>
                <w:rFonts w:ascii="Calibri" w:hAnsi="Calibri"/>
                <w:b/>
                <w:color w:val="FFFFFF"/>
                <w:sz w:val="18"/>
              </w:rPr>
              <w:t>High</w:t>
            </w:r>
          </w:p>
        </w:tc>
      </w:tr>
      <w:tr>
        <w:tc>
          <w:tcPr>
            <w:tcW w:type="dxa" w:w="6192"/>
          </w:tcPr>
          <w:p>
            <w:pPr>
              <w:spacing w:after="0"/>
            </w:pPr>
            <w:r/>
            <w:r>
              <w:rPr>
                <w:rFonts w:ascii="Calibri" w:hAnsi="Calibri"/>
                <w:b/>
                <w:color w:val="1E2761"/>
                <w:sz w:val="18"/>
              </w:rPr>
              <w:t>B4 Peak share of 2L starts</w:t>
            </w:r>
          </w:p>
        </w:tc>
        <w:tc>
          <w:tcPr>
            <w:tcW w:type="dxa" w:w="1872"/>
          </w:tcPr>
          <w:p>
            <w:pPr>
              <w:spacing w:after="0"/>
            </w:pPr>
            <w:r/>
            <w:r>
              <w:rPr>
                <w:rFonts w:ascii="Calibri" w:hAnsi="Calibri"/>
                <w:color w:val="333333"/>
                <w:sz w:val="18"/>
              </w:rPr>
              <w:t>-20</w:t>
            </w:r>
          </w:p>
        </w:tc>
        <w:tc>
          <w:tcPr>
            <w:tcW w:type="dxa" w:w="1872"/>
          </w:tcPr>
          <w:p>
            <w:pPr>
              <w:spacing w:after="0"/>
            </w:pPr>
            <w:r/>
            <w:r>
              <w:rPr>
                <w:rFonts w:ascii="Calibri" w:hAnsi="Calibri"/>
                <w:color w:val="333333"/>
                <w:sz w:val="18"/>
              </w:rPr>
              <w:t>+20</w:t>
            </w:r>
          </w:p>
        </w:tc>
      </w:tr>
      <w:tr>
        <w:tc>
          <w:tcPr>
            <w:tcW w:type="dxa" w:w="6192"/>
            <w:shd w:val="clear" w:color="auto" w:fill="F3F6FC"/>
          </w:tcPr>
          <w:p>
            <w:pPr>
              <w:spacing w:after="0"/>
            </w:pPr>
            <w:r/>
            <w:r>
              <w:rPr>
                <w:rFonts w:ascii="Calibri" w:hAnsi="Calibri"/>
                <w:b/>
                <w:color w:val="1E2761"/>
                <w:sz w:val="18"/>
              </w:rPr>
              <w:t>D1 Average months on therapy</w:t>
            </w:r>
          </w:p>
        </w:tc>
        <w:tc>
          <w:tcPr>
            <w:tcW w:type="dxa" w:w="1872"/>
            <w:shd w:val="clear" w:color="auto" w:fill="F3F6FC"/>
          </w:tcPr>
          <w:p>
            <w:pPr>
              <w:spacing w:after="0"/>
            </w:pPr>
            <w:r/>
            <w:r>
              <w:rPr>
                <w:rFonts w:ascii="Calibri" w:hAnsi="Calibri"/>
                <w:color w:val="333333"/>
                <w:sz w:val="18"/>
              </w:rPr>
              <w:t>-16</w:t>
            </w:r>
          </w:p>
        </w:tc>
        <w:tc>
          <w:tcPr>
            <w:tcW w:type="dxa" w:w="1872"/>
            <w:shd w:val="clear" w:color="auto" w:fill="F3F6FC"/>
          </w:tcPr>
          <w:p>
            <w:pPr>
              <w:spacing w:after="0"/>
            </w:pPr>
            <w:r/>
            <w:r>
              <w:rPr>
                <w:rFonts w:ascii="Calibri" w:hAnsi="Calibri"/>
                <w:color w:val="333333"/>
                <w:sz w:val="18"/>
              </w:rPr>
              <w:t>+24</w:t>
            </w:r>
          </w:p>
        </w:tc>
      </w:tr>
      <w:tr>
        <w:tc>
          <w:tcPr>
            <w:tcW w:type="dxa" w:w="6192"/>
          </w:tcPr>
          <w:p>
            <w:pPr>
              <w:spacing w:after="0"/>
            </w:pPr>
            <w:r/>
            <w:r>
              <w:rPr>
                <w:rFonts w:ascii="Calibri" w:hAnsi="Calibri"/>
                <w:b/>
                <w:color w:val="1E2761"/>
                <w:sz w:val="18"/>
              </w:rPr>
              <w:t>T2 Progress to 2L (lifetime), one year later</w:t>
            </w:r>
          </w:p>
        </w:tc>
        <w:tc>
          <w:tcPr>
            <w:tcW w:type="dxa" w:w="1872"/>
          </w:tcPr>
          <w:p>
            <w:pPr>
              <w:spacing w:after="0"/>
            </w:pPr>
            <w:r/>
            <w:r>
              <w:rPr>
                <w:rFonts w:ascii="Calibri" w:hAnsi="Calibri"/>
                <w:color w:val="333333"/>
                <w:sz w:val="18"/>
              </w:rPr>
              <w:t>-15</w:t>
            </w:r>
          </w:p>
        </w:tc>
        <w:tc>
          <w:tcPr>
            <w:tcW w:type="dxa" w:w="1872"/>
          </w:tcPr>
          <w:p>
            <w:pPr>
              <w:spacing w:after="0"/>
            </w:pPr>
            <w:r/>
            <w:r>
              <w:rPr>
                <w:rFonts w:ascii="Calibri" w:hAnsi="Calibri"/>
                <w:color w:val="333333"/>
                <w:sz w:val="18"/>
              </w:rPr>
              <w:t>+15</w:t>
            </w:r>
          </w:p>
        </w:tc>
      </w:tr>
      <w:tr>
        <w:tc>
          <w:tcPr>
            <w:tcW w:type="dxa" w:w="6192"/>
            <w:shd w:val="clear" w:color="auto" w:fill="F3F6FC"/>
          </w:tcPr>
          <w:p>
            <w:pPr>
              <w:spacing w:after="0"/>
            </w:pPr>
            <w:r/>
            <w:r>
              <w:rPr>
                <w:rFonts w:ascii="Calibri" w:hAnsi="Calibri"/>
                <w:b/>
                <w:color w:val="1E2761"/>
                <w:sz w:val="18"/>
              </w:rPr>
              <w:t>B3 Peak share of 3L+ starts</w:t>
            </w:r>
          </w:p>
        </w:tc>
        <w:tc>
          <w:tcPr>
            <w:tcW w:type="dxa" w:w="1872"/>
            <w:shd w:val="clear" w:color="auto" w:fill="F3F6FC"/>
          </w:tcPr>
          <w:p>
            <w:pPr>
              <w:spacing w:after="0"/>
            </w:pPr>
            <w:r/>
            <w:r>
              <w:rPr>
                <w:rFonts w:ascii="Calibri" w:hAnsi="Calibri"/>
                <w:color w:val="333333"/>
                <w:sz w:val="18"/>
              </w:rPr>
              <w:t>-15</w:t>
            </w:r>
          </w:p>
        </w:tc>
        <w:tc>
          <w:tcPr>
            <w:tcW w:type="dxa" w:w="1872"/>
            <w:shd w:val="clear" w:color="auto" w:fill="F3F6FC"/>
          </w:tcPr>
          <w:p>
            <w:pPr>
              <w:spacing w:after="0"/>
            </w:pPr>
            <w:r/>
            <w:r>
              <w:rPr>
                <w:rFonts w:ascii="Calibri" w:hAnsi="Calibri"/>
                <w:color w:val="333333"/>
                <w:sz w:val="18"/>
              </w:rPr>
              <w:t>+15</w:t>
            </w:r>
          </w:p>
        </w:tc>
      </w:tr>
      <w:tr>
        <w:tc>
          <w:tcPr>
            <w:tcW w:type="dxa" w:w="6192"/>
          </w:tcPr>
          <w:p>
            <w:pPr>
              <w:spacing w:after="0"/>
            </w:pPr>
            <w:r/>
            <w:r>
              <w:rPr>
                <w:rFonts w:ascii="Calibri" w:hAnsi="Calibri"/>
                <w:b/>
                <w:color w:val="1E2761"/>
                <w:sz w:val="18"/>
              </w:rPr>
              <w:t>T3 Progress to 3L (lifetime), one year later</w:t>
            </w:r>
          </w:p>
        </w:tc>
        <w:tc>
          <w:tcPr>
            <w:tcW w:type="dxa" w:w="1872"/>
          </w:tcPr>
          <w:p>
            <w:pPr>
              <w:spacing w:after="0"/>
            </w:pPr>
            <w:r/>
            <w:r>
              <w:rPr>
                <w:rFonts w:ascii="Calibri" w:hAnsi="Calibri"/>
                <w:color w:val="333333"/>
                <w:sz w:val="18"/>
              </w:rPr>
              <w:t>-6</w:t>
            </w:r>
          </w:p>
        </w:tc>
        <w:tc>
          <w:tcPr>
            <w:tcW w:type="dxa" w:w="1872"/>
          </w:tcPr>
          <w:p>
            <w:pPr>
              <w:spacing w:after="0"/>
            </w:pPr>
            <w:r/>
            <w:r>
              <w:rPr>
                <w:rFonts w:ascii="Calibri" w:hAnsi="Calibri"/>
                <w:color w:val="333333"/>
                <w:sz w:val="18"/>
              </w:rPr>
              <w:t>+6</w:t>
            </w:r>
          </w:p>
        </w:tc>
      </w:tr>
      <w:tr>
        <w:tc>
          <w:tcPr>
            <w:tcW w:type="dxa" w:w="6192"/>
            <w:shd w:val="clear" w:color="auto" w:fill="F3F6FC"/>
          </w:tcPr>
          <w:p>
            <w:pPr>
              <w:spacing w:after="0"/>
            </w:pPr>
            <w:r/>
            <w:r>
              <w:rPr>
                <w:rFonts w:ascii="Calibri" w:hAnsi="Calibri"/>
                <w:b/>
                <w:color w:val="1E2761"/>
                <w:sz w:val="18"/>
              </w:rPr>
              <w:t>P2 Gross-to-net (share of WAC kept)</w:t>
            </w:r>
          </w:p>
        </w:tc>
        <w:tc>
          <w:tcPr>
            <w:tcW w:type="dxa" w:w="1872"/>
            <w:shd w:val="clear" w:color="auto" w:fill="F3F6FC"/>
          </w:tcPr>
          <w:p>
            <w:pPr>
              <w:spacing w:after="0"/>
            </w:pPr>
            <w:r/>
            <w:r>
              <w:rPr>
                <w:rFonts w:ascii="Calibri" w:hAnsi="Calibri"/>
                <w:color w:val="333333"/>
                <w:sz w:val="18"/>
              </w:rPr>
              <w:t>-5</w:t>
            </w:r>
          </w:p>
        </w:tc>
        <w:tc>
          <w:tcPr>
            <w:tcW w:type="dxa" w:w="1872"/>
            <w:shd w:val="clear" w:color="auto" w:fill="F3F6FC"/>
          </w:tcPr>
          <w:p>
            <w:pPr>
              <w:spacing w:after="0"/>
            </w:pPr>
            <w:r/>
            <w:r>
              <w:rPr>
                <w:rFonts w:ascii="Calibri" w:hAnsi="Calibri"/>
                <w:color w:val="333333"/>
                <w:sz w:val="18"/>
              </w:rPr>
              <w:t>+5</w:t>
            </w:r>
          </w:p>
        </w:tc>
      </w:tr>
    </w:tbl>
    <w:p>
      <w:pPr>
        <w:spacing w:after="80"/>
      </w:pPr>
    </w:p>
    <w:p>
      <w:pPr>
        <w:spacing w:after="120" w:before="0"/>
      </w:pPr>
      <w:r>
        <w:rPr>
          <w:rFonts w:ascii="Calibri" w:hAnsi="Calibri"/>
          <w:b/>
          <w:i w:val="0"/>
          <w:color w:val="333333"/>
          <w:sz w:val="22"/>
        </w:rPr>
        <w:t xml:space="preserve">The plan conversation. </w:t>
      </w:r>
      <w:r>
        <w:rPr>
          <w:rFonts w:ascii="Calibri" w:hAnsi="Calibri"/>
          <w:b w:val="0"/>
          <w:i w:val="0"/>
          <w:color w:val="333333"/>
          <w:sz w:val="22"/>
        </w:rPr>
        <w:t>The plan of record says $250M in 2029. That needs 3,119 new patients — 4.8× the base case and 85% of all 3L+ starts. Ask ‘what would have to be true?’ and put the answer in assumption terms.</w:t>
      </w:r>
    </w:p>
    <w:p>
      <w:pPr>
        <w:keepNext/>
        <w:spacing w:after="80" w:before="240"/>
      </w:pPr>
      <w:r>
        <w:rPr>
          <w:rFonts w:ascii="Calibri" w:hAnsi="Calibri"/>
          <w:b/>
          <w:i w:val="0"/>
          <w:color w:val="1E2761"/>
          <w:sz w:val="30"/>
        </w:rPr>
        <w:t>Part 7 · Simple checks before the forecast leaves your desk</w:t>
      </w:r>
    </w:p>
    <w:p>
      <w:pPr>
        <w:pStyle w:val="ListBullet"/>
        <w:spacing w:after="60"/>
      </w:pPr>
      <w:r>
        <w:rPr>
          <w:rFonts w:ascii="Calibri" w:hAnsi="Calibri"/>
          <w:b/>
          <w:color w:val="333333"/>
          <w:sz w:val="22"/>
        </w:rPr>
        <w:t xml:space="preserve">Back-cast. </w:t>
      </w:r>
      <w:r>
        <w:rPr>
          <w:rFonts w:ascii="Calibri" w:hAnsi="Calibri"/>
          <w:b w:val="0"/>
          <w:color w:val="333333"/>
          <w:sz w:val="22"/>
        </w:rPr>
        <w:t>Run the funnel on past years. Tonight it matches 2025 within 3% (1L +2%, 2L +1%, 3L+ −3%).</w:t>
      </w:r>
    </w:p>
    <w:p>
      <w:pPr>
        <w:pStyle w:val="ListBullet"/>
        <w:spacing w:after="60"/>
      </w:pPr>
      <w:r>
        <w:rPr>
          <w:rFonts w:ascii="Calibri" w:hAnsi="Calibri"/>
          <w:b/>
          <w:color w:val="333333"/>
          <w:sz w:val="22"/>
        </w:rPr>
        <w:t xml:space="preserve">Market trend. </w:t>
      </w:r>
      <w:r>
        <w:rPr>
          <w:rFonts w:ascii="Calibri" w:hAnsi="Calibri"/>
          <w:b w:val="0"/>
          <w:color w:val="333333"/>
          <w:sz w:val="22"/>
        </w:rPr>
        <w:t>Exponential smoothing (ETS) on the monthly 3L+ starts: 4.6% error on the last 12 months vs 6.7% for ‘same as last year’; trend and funnel agree within 2% for 2027.</w:t>
      </w:r>
    </w:p>
    <w:p>
      <w:pPr>
        <w:pStyle w:val="ListBullet"/>
        <w:spacing w:after="60"/>
      </w:pPr>
      <w:r>
        <w:rPr>
          <w:rFonts w:ascii="Calibri" w:hAnsi="Calibri"/>
          <w:b/>
          <w:color w:val="333333"/>
          <w:sz w:val="22"/>
        </w:rPr>
        <w:t xml:space="preserve">Top-down split. </w:t>
      </w:r>
      <w:r>
        <w:rPr>
          <w:rFonts w:ascii="Calibri" w:hAnsi="Calibri"/>
          <w:b w:val="0"/>
          <w:color w:val="333333"/>
          <w:sz w:val="22"/>
        </w:rPr>
        <w:t>Last year's regional and account shares × the national forecast. Every piece adds back to the national number.</w:t>
      </w:r>
    </w:p>
    <w:p>
      <w:pPr>
        <w:pStyle w:val="ListBullet"/>
        <w:spacing w:after="60"/>
      </w:pPr>
      <w:r>
        <w:rPr>
          <w:rFonts w:ascii="Calibri" w:hAnsi="Calibri"/>
          <w:b/>
          <w:color w:val="333333"/>
          <w:sz w:val="22"/>
        </w:rPr>
        <w:t xml:space="preserve">Loss of exclusivity. </w:t>
      </w:r>
      <w:r>
        <w:rPr>
          <w:rFonts w:ascii="Calibri" w:hAnsi="Calibri"/>
          <w:b w:val="0"/>
          <w:color w:val="333333"/>
          <w:sz w:val="22"/>
        </w:rPr>
        <w:t>Borrow other drugs' history: small-molecule brands keep about 23% of units one year after generic entry (Grabowski et al. 2021). Biologics erode slower — a documented judgment.</w:t>
      </w:r>
    </w:p>
    <w:p>
      <w:pPr>
        <w:pStyle w:val="ListBullet"/>
        <w:spacing w:after="60"/>
      </w:pPr>
      <w:r>
        <w:rPr>
          <w:rFonts w:ascii="Calibri" w:hAnsi="Calibri"/>
          <w:b/>
          <w:color w:val="333333"/>
          <w:sz w:val="22"/>
        </w:rPr>
        <w:t xml:space="preserve">Prevalence model. </w:t>
      </w:r>
      <w:r>
        <w:rPr>
          <w:rFonts w:ascii="Calibri" w:hAnsi="Calibri"/>
          <w:b w:val="0"/>
          <w:color w:val="333333"/>
          <w:sz w:val="22"/>
        </w:rPr>
        <w:t>GLUCOREN 2025: 266M adults × 11.4% have T2D × 78% diagnosed × 72% treated × 47% add-on × 9.5% class × 4.7% brand × 8.8 fills = 313k prescriptions. Brand share is set so the model matches 2025.</w:t>
      </w:r>
    </w:p>
    <w:p>
      <w:pPr>
        <w:spacing w:after="120" w:before="0"/>
      </w:pPr>
      <w:r>
        <w:rPr>
          <w:rFonts w:ascii="Calibri" w:hAnsi="Calibri"/>
          <w:b/>
          <w:i w:val="0"/>
          <w:color w:val="333333"/>
          <w:sz w:val="22"/>
        </w:rPr>
        <w:t xml:space="preserve">Where time series and foundation models fit. </w:t>
      </w:r>
      <w:r>
        <w:rPr>
          <w:rFonts w:ascii="Calibri" w:hAnsi="Calibri"/>
          <w:b w:val="0"/>
          <w:i w:val="0"/>
          <w:color w:val="333333"/>
          <w:sz w:val="22"/>
        </w:rPr>
        <w:t>Projecting a market or an in-line brand one or two years out. Not a launch: no history, no forecast. Foundation models (Chronos, TimesFM) need no fitting and help with many series at once; same limit.</w:t>
      </w:r>
    </w:p>
    <w:p>
      <w:pPr>
        <w:keepNext/>
        <w:spacing w:after="80" w:before="240"/>
      </w:pPr>
      <w:r>
        <w:rPr>
          <w:rFonts w:ascii="Calibri" w:hAnsi="Calibri"/>
          <w:b/>
          <w:i w:val="0"/>
          <w:color w:val="1E2761"/>
          <w:sz w:val="30"/>
        </w:rPr>
        <w:t>Part 8 · Governance and pitfalls</w:t>
      </w:r>
    </w:p>
    <w:p>
      <w:pPr>
        <w:spacing w:after="120" w:before="0"/>
      </w:pPr>
      <w:r>
        <w:rPr>
          <w:rFonts w:ascii="Calibri" w:hAnsi="Calibri"/>
          <w:b w:val="0"/>
          <w:i w:val="0"/>
          <w:color w:val="333333"/>
          <w:sz w:val="22"/>
        </w:rPr>
        <w:t>IQVIA's study of ~12,000 launches: 50–70% miss their first-year forecast, usually on the high side. A written assumption book is how the bias gets caught.</w:t>
      </w:r>
    </w:p>
    <w:p>
      <w:pPr>
        <w:pStyle w:val="ListBullet"/>
        <w:spacing w:after="60"/>
      </w:pPr>
      <w:r>
        <w:rPr>
          <w:rFonts w:ascii="Calibri" w:hAnsi="Calibri"/>
          <w:b/>
          <w:color w:val="333333"/>
          <w:sz w:val="22"/>
        </w:rPr>
        <w:t xml:space="preserve">Assumption book, versioned. </w:t>
      </w:r>
      <w:r>
        <w:rPr>
          <w:rFonts w:ascii="Calibri" w:hAnsi="Calibri"/>
          <w:b w:val="0"/>
          <w:color w:val="333333"/>
          <w:sz w:val="22"/>
        </w:rPr>
        <w:t>every input with a range, source, reason, owner, date</w:t>
      </w:r>
    </w:p>
    <w:p>
      <w:pPr>
        <w:pStyle w:val="ListBullet"/>
        <w:spacing w:after="60"/>
      </w:pPr>
      <w:r>
        <w:rPr>
          <w:rFonts w:ascii="Calibri" w:hAnsi="Calibri"/>
          <w:b/>
          <w:color w:val="333333"/>
          <w:sz w:val="22"/>
        </w:rPr>
        <w:t xml:space="preserve">One model. </w:t>
      </w:r>
      <w:r>
        <w:rPr>
          <w:rFonts w:ascii="Calibri" w:hAnsi="Calibri"/>
          <w:b w:val="0"/>
          <w:color w:val="333333"/>
          <w:sz w:val="22"/>
        </w:rPr>
        <w:t>the budget is the first years of the LRP</w:t>
      </w:r>
    </w:p>
    <w:p>
      <w:pPr>
        <w:pStyle w:val="ListBullet"/>
        <w:spacing w:after="60"/>
      </w:pPr>
      <w:r>
        <w:rPr>
          <w:rFonts w:ascii="Calibri" w:hAnsi="Calibri"/>
          <w:b/>
          <w:color w:val="333333"/>
          <w:sz w:val="22"/>
        </w:rPr>
        <w:t xml:space="preserve">Ranges every time. </w:t>
      </w:r>
      <w:r>
        <w:rPr>
          <w:rFonts w:ascii="Calibri" w:hAnsi="Calibri"/>
          <w:b w:val="0"/>
          <w:color w:val="333333"/>
          <w:sz w:val="22"/>
        </w:rPr>
        <w:t>scenarios and a tornado</w:t>
      </w:r>
    </w:p>
    <w:p>
      <w:pPr>
        <w:pStyle w:val="ListBullet"/>
        <w:spacing w:after="60"/>
      </w:pPr>
      <w:r>
        <w:rPr>
          <w:rFonts w:ascii="Calibri" w:hAnsi="Calibri"/>
          <w:b/>
          <w:color w:val="333333"/>
          <w:sz w:val="22"/>
        </w:rPr>
        <w:t xml:space="preserve">Forecast vs actual. </w:t>
      </w:r>
      <w:r>
        <w:rPr>
          <w:rFonts w:ascii="Calibri" w:hAnsi="Calibri"/>
          <w:b w:val="0"/>
          <w:color w:val="333333"/>
          <w:sz w:val="22"/>
        </w:rPr>
        <w:t>track your own misses and their direction</w:t>
      </w:r>
    </w:p>
    <w:p>
      <w:pPr>
        <w:pStyle w:val="ListBullet"/>
        <w:spacing w:after="60"/>
      </w:pPr>
      <w:r>
        <w:rPr>
          <w:rFonts w:ascii="Calibri" w:hAnsi="Calibri"/>
          <w:b/>
          <w:color w:val="333333"/>
          <w:sz w:val="22"/>
        </w:rPr>
        <w:t xml:space="preserve">Simple checks. </w:t>
      </w:r>
      <w:r>
        <w:rPr>
          <w:rFonts w:ascii="Calibri" w:hAnsi="Calibri"/>
          <w:b w:val="0"/>
          <w:color w:val="333333"/>
          <w:sz w:val="22"/>
        </w:rPr>
        <w:t>back-cast; trend; the pieces add up</w:t>
      </w:r>
    </w:p>
    <w:p>
      <w:pPr>
        <w:keepNext/>
        <w:spacing w:after="60" w:before="160"/>
      </w:pPr>
      <w:r>
        <w:rPr>
          <w:rFonts w:ascii="Calibri" w:hAnsi="Calibri"/>
          <w:b/>
          <w:i w:val="0"/>
          <w:color w:val="1E2761"/>
          <w:sz w:val="25"/>
        </w:rPr>
        <w:t>Five common mistakes</w:t>
      </w:r>
    </w:p>
    <w:p>
      <w:pPr>
        <w:pStyle w:val="ListBullet"/>
        <w:spacing w:after="60"/>
      </w:pPr>
      <w:r>
        <w:rPr>
          <w:rFonts w:ascii="Calibri" w:hAnsi="Calibri"/>
          <w:b w:val="0"/>
          <w:color w:val="333333"/>
          <w:sz w:val="22"/>
        </w:rPr>
        <w:t>Undocumented assumptions — nobody can challenge them.</w:t>
      </w:r>
    </w:p>
    <w:p>
      <w:pPr>
        <w:pStyle w:val="ListBullet"/>
        <w:spacing w:after="60"/>
      </w:pPr>
      <w:r>
        <w:rPr>
          <w:rFonts w:ascii="Calibri" w:hAnsi="Calibri"/>
          <w:b w:val="0"/>
          <w:color w:val="333333"/>
          <w:sz w:val="22"/>
        </w:rPr>
        <w:t>Naive counts from censored data — 28% where the answer is 36%.</w:t>
      </w:r>
    </w:p>
    <w:p>
      <w:pPr>
        <w:pStyle w:val="ListBullet"/>
        <w:spacing w:after="60"/>
      </w:pPr>
      <w:r>
        <w:rPr>
          <w:rFonts w:ascii="Calibri" w:hAnsi="Calibri"/>
          <w:b w:val="0"/>
          <w:color w:val="333333"/>
          <w:sz w:val="22"/>
        </w:rPr>
        <w:t>Reading new patients as patients on therapy — persistence ignored.</w:t>
      </w:r>
    </w:p>
    <w:p>
      <w:pPr>
        <w:pStyle w:val="ListBullet"/>
        <w:spacing w:after="60"/>
      </w:pPr>
      <w:r>
        <w:rPr>
          <w:rFonts w:ascii="Calibri" w:hAnsi="Calibri"/>
          <w:b w:val="0"/>
          <w:color w:val="333333"/>
          <w:sz w:val="22"/>
        </w:rPr>
        <w:t>One number — no range, no tornado.</w:t>
      </w:r>
    </w:p>
    <w:p>
      <w:pPr>
        <w:pStyle w:val="ListBullet"/>
        <w:spacing w:after="60"/>
      </w:pPr>
      <w:r>
        <w:rPr>
          <w:rFonts w:ascii="Calibri" w:hAnsi="Calibri"/>
          <w:b w:val="0"/>
          <w:color w:val="333333"/>
          <w:sz w:val="22"/>
        </w:rPr>
        <w:t>A complicated model — nobody can follow it, so nobody trusts it.</w:t>
      </w:r>
    </w:p>
    <w:p>
      <w:pPr>
        <w:keepNext/>
        <w:spacing w:after="80" w:before="240"/>
      </w:pPr>
      <w:r>
        <w:rPr>
          <w:rFonts w:ascii="Calibri" w:hAnsi="Calibri"/>
          <w:b/>
          <w:i w:val="0"/>
          <w:color w:val="1E2761"/>
          <w:sz w:val="30"/>
        </w:rPr>
        <w:t>Part 9 · Vocabulary → source</w:t>
      </w:r>
    </w:p>
    <w:tbl>
      <w:tblPr>
        <w:tblStyle w:val="TableGrid"/>
        <w:tblW w:type="auto" w:w="0"/>
        <w:jc w:val="center"/>
        <w:tblLayout w:type="fixed"/>
        <w:tblLook w:firstColumn="1" w:firstRow="1" w:lastColumn="0" w:lastRow="0" w:noHBand="0" w:noVBand="1" w:val="04A0"/>
      </w:tblPr>
      <w:tblGrid>
        <w:gridCol w:w="3024"/>
        <w:gridCol w:w="4176"/>
        <w:gridCol w:w="2736"/>
      </w:tblGrid>
      <w:tr>
        <w:tc>
          <w:tcPr>
            <w:tcW w:type="dxa" w:w="3024"/>
            <w:shd w:val="clear" w:color="auto" w:fill="1E2761"/>
          </w:tcPr>
          <w:p>
            <w:pPr>
              <w:spacing w:after="0"/>
            </w:pPr>
            <w:r/>
            <w:r>
              <w:rPr>
                <w:rFonts w:ascii="Calibri" w:hAnsi="Calibri"/>
                <w:b/>
                <w:color w:val="FFFFFF"/>
                <w:sz w:val="17"/>
              </w:rPr>
              <w:t>Term</w:t>
            </w:r>
          </w:p>
        </w:tc>
        <w:tc>
          <w:tcPr>
            <w:tcW w:type="dxa" w:w="4176"/>
            <w:shd w:val="clear" w:color="auto" w:fill="1E2761"/>
          </w:tcPr>
          <w:p>
            <w:pPr>
              <w:spacing w:after="0"/>
            </w:pPr>
            <w:r/>
            <w:r>
              <w:rPr>
                <w:rFonts w:ascii="Calibri" w:hAnsi="Calibri"/>
                <w:b/>
                <w:color w:val="FFFFFF"/>
                <w:sz w:val="17"/>
              </w:rPr>
              <w:t>Meaning tonight</w:t>
            </w:r>
          </w:p>
        </w:tc>
        <w:tc>
          <w:tcPr>
            <w:tcW w:type="dxa" w:w="2736"/>
            <w:shd w:val="clear" w:color="auto" w:fill="1E2761"/>
          </w:tcPr>
          <w:p>
            <w:pPr>
              <w:spacing w:after="0"/>
            </w:pPr>
            <w:r/>
            <w:r>
              <w:rPr>
                <w:rFonts w:ascii="Calibri" w:hAnsi="Calibri"/>
                <w:b/>
                <w:color w:val="FFFFFF"/>
                <w:sz w:val="17"/>
              </w:rPr>
              <w:t>Source</w:t>
            </w:r>
          </w:p>
        </w:tc>
      </w:tr>
      <w:tr>
        <w:tc>
          <w:tcPr>
            <w:tcW w:type="dxa" w:w="3024"/>
          </w:tcPr>
          <w:p>
            <w:pPr>
              <w:spacing w:after="0"/>
            </w:pPr>
            <w:r/>
            <w:r>
              <w:rPr>
                <w:rFonts w:ascii="Calibri" w:hAnsi="Calibri"/>
                <w:b/>
                <w:color w:val="1E2761"/>
                <w:sz w:val="17"/>
              </w:rPr>
              <w:t>Budget forecast vs long-range plan (LRP)</w:t>
            </w:r>
          </w:p>
        </w:tc>
        <w:tc>
          <w:tcPr>
            <w:tcW w:type="dxa" w:w="4176"/>
          </w:tcPr>
          <w:p>
            <w:pPr>
              <w:spacing w:after="0"/>
            </w:pPr>
            <w:r/>
            <w:r>
              <w:rPr>
                <w:rFonts w:ascii="Calibri" w:hAnsi="Calibri"/>
                <w:color w:val="333333"/>
                <w:sz w:val="17"/>
              </w:rPr>
              <w:t>Two horizons from one model: 2–3 years by month; 5–15 years by year</w:t>
            </w:r>
          </w:p>
        </w:tc>
        <w:tc>
          <w:tcPr>
            <w:tcW w:type="dxa" w:w="2736"/>
          </w:tcPr>
          <w:p>
            <w:pPr>
              <w:spacing w:after="0"/>
            </w:pPr>
            <w:r/>
            <w:r>
              <w:rPr>
                <w:rFonts w:ascii="Calibri" w:hAnsi="Calibri"/>
                <w:color w:val="333333"/>
                <w:sz w:val="17"/>
              </w:rPr>
              <w:t>Cook 2015</w:t>
            </w:r>
          </w:p>
        </w:tc>
      </w:tr>
      <w:tr>
        <w:tc>
          <w:tcPr>
            <w:tcW w:type="dxa" w:w="3024"/>
            <w:shd w:val="clear" w:color="auto" w:fill="F3F6FC"/>
          </w:tcPr>
          <w:p>
            <w:pPr>
              <w:spacing w:after="0"/>
            </w:pPr>
            <w:r/>
            <w:r>
              <w:rPr>
                <w:rFonts w:ascii="Calibri" w:hAnsi="Calibri"/>
                <w:b/>
                <w:color w:val="1E2761"/>
                <w:sz w:val="17"/>
              </w:rPr>
              <w:t>Incidence vs prevalence</w:t>
            </w:r>
          </w:p>
        </w:tc>
        <w:tc>
          <w:tcPr>
            <w:tcW w:type="dxa" w:w="4176"/>
            <w:shd w:val="clear" w:color="auto" w:fill="F3F6FC"/>
          </w:tcPr>
          <w:p>
            <w:pPr>
              <w:spacing w:after="0"/>
            </w:pPr>
            <w:r/>
            <w:r>
              <w:rPr>
                <w:rFonts w:ascii="Calibri" w:hAnsi="Calibri"/>
                <w:color w:val="333333"/>
                <w:sz w:val="17"/>
              </w:rPr>
              <w:t>What the funnel starts from; prevalence ≈ incidence × duration</w:t>
            </w:r>
          </w:p>
        </w:tc>
        <w:tc>
          <w:tcPr>
            <w:tcW w:type="dxa" w:w="2736"/>
            <w:shd w:val="clear" w:color="auto" w:fill="F3F6FC"/>
          </w:tcPr>
          <w:p>
            <w:pPr>
              <w:spacing w:after="0"/>
            </w:pPr>
            <w:r/>
            <w:r>
              <w:rPr>
                <w:rFonts w:ascii="Calibri" w:hAnsi="Calibri"/>
                <w:color w:val="333333"/>
                <w:sz w:val="17"/>
              </w:rPr>
              <w:t>Centers for Disease Control and Prevention 2006</w:t>
            </w:r>
          </w:p>
        </w:tc>
      </w:tr>
      <w:tr>
        <w:tc>
          <w:tcPr>
            <w:tcW w:type="dxa" w:w="3024"/>
          </w:tcPr>
          <w:p>
            <w:pPr>
              <w:spacing w:after="0"/>
            </w:pPr>
            <w:r/>
            <w:r>
              <w:rPr>
                <w:rFonts w:ascii="Calibri" w:hAnsi="Calibri"/>
                <w:b/>
                <w:color w:val="1E2761"/>
                <w:sz w:val="17"/>
              </w:rPr>
              <w:t>Flow vs stock model</w:t>
            </w:r>
          </w:p>
        </w:tc>
        <w:tc>
          <w:tcPr>
            <w:tcW w:type="dxa" w:w="4176"/>
          </w:tcPr>
          <w:p>
            <w:pPr>
              <w:spacing w:after="0"/>
            </w:pPr>
            <w:r/>
            <w:r>
              <w:rPr>
                <w:rFonts w:ascii="Calibri" w:hAnsi="Calibri"/>
                <w:color w:val="333333"/>
                <w:sz w:val="17"/>
              </w:rPr>
              <w:t>Patients moving through time vs a yearly snapshot</w:t>
            </w:r>
          </w:p>
        </w:tc>
        <w:tc>
          <w:tcPr>
            <w:tcW w:type="dxa" w:w="2736"/>
          </w:tcPr>
          <w:p>
            <w:pPr>
              <w:spacing w:after="0"/>
            </w:pPr>
            <w:r/>
            <w:r>
              <w:rPr>
                <w:rFonts w:ascii="Calibri" w:hAnsi="Calibri"/>
                <w:color w:val="333333"/>
                <w:sz w:val="17"/>
              </w:rPr>
              <w:t>Briggs 1998; Cook 2015</w:t>
            </w:r>
          </w:p>
        </w:tc>
      </w:tr>
      <w:tr>
        <w:tc>
          <w:tcPr>
            <w:tcW w:type="dxa" w:w="3024"/>
            <w:shd w:val="clear" w:color="auto" w:fill="F3F6FC"/>
          </w:tcPr>
          <w:p>
            <w:pPr>
              <w:spacing w:after="0"/>
            </w:pPr>
            <w:r/>
            <w:r>
              <w:rPr>
                <w:rFonts w:ascii="Calibri" w:hAnsi="Calibri"/>
                <w:b/>
                <w:color w:val="1E2761"/>
                <w:sz w:val="17"/>
              </w:rPr>
              <w:t>Assumption book</w:t>
            </w:r>
          </w:p>
        </w:tc>
        <w:tc>
          <w:tcPr>
            <w:tcW w:type="dxa" w:w="4176"/>
            <w:shd w:val="clear" w:color="auto" w:fill="F3F6FC"/>
          </w:tcPr>
          <w:p>
            <w:pPr>
              <w:spacing w:after="0"/>
            </w:pPr>
            <w:r/>
            <w:r>
              <w:rPr>
                <w:rFonts w:ascii="Calibri" w:hAnsi="Calibri"/>
                <w:color w:val="333333"/>
                <w:sz w:val="17"/>
              </w:rPr>
              <w:t>Every input with low / base / high, source and reason</w:t>
            </w:r>
          </w:p>
        </w:tc>
        <w:tc>
          <w:tcPr>
            <w:tcW w:type="dxa" w:w="2736"/>
            <w:shd w:val="clear" w:color="auto" w:fill="F3F6FC"/>
          </w:tcPr>
          <w:p>
            <w:pPr>
              <w:spacing w:after="0"/>
            </w:pPr>
            <w:r/>
            <w:r>
              <w:rPr>
                <w:rFonts w:ascii="Calibri" w:hAnsi="Calibri"/>
                <w:color w:val="333333"/>
                <w:sz w:val="17"/>
              </w:rPr>
              <w:t>Cook 2015; Gupta 2017</w:t>
            </w:r>
          </w:p>
        </w:tc>
      </w:tr>
      <w:tr>
        <w:tc>
          <w:tcPr>
            <w:tcW w:type="dxa" w:w="3024"/>
          </w:tcPr>
          <w:p>
            <w:pPr>
              <w:spacing w:after="0"/>
            </w:pPr>
            <w:r/>
            <w:r>
              <w:rPr>
                <w:rFonts w:ascii="Calibri" w:hAnsi="Calibri"/>
                <w:b/>
                <w:color w:val="1E2761"/>
                <w:sz w:val="17"/>
              </w:rPr>
              <w:t>Censoring; Kaplan–Meier</w:t>
            </w:r>
          </w:p>
        </w:tc>
        <w:tc>
          <w:tcPr>
            <w:tcW w:type="dxa" w:w="4176"/>
          </w:tcPr>
          <w:p>
            <w:pPr>
              <w:spacing w:after="0"/>
            </w:pPr>
            <w:r/>
            <w:r>
              <w:rPr>
                <w:rFonts w:ascii="Calibri" w:hAnsi="Calibri"/>
                <w:color w:val="333333"/>
                <w:sz w:val="17"/>
              </w:rPr>
              <w:t>Counting patients who have not had the event yet</w:t>
            </w:r>
          </w:p>
        </w:tc>
        <w:tc>
          <w:tcPr>
            <w:tcW w:type="dxa" w:w="2736"/>
          </w:tcPr>
          <w:p>
            <w:pPr>
              <w:spacing w:after="0"/>
            </w:pPr>
            <w:r/>
            <w:r>
              <w:rPr>
                <w:rFonts w:ascii="Calibri" w:hAnsi="Calibri"/>
                <w:color w:val="333333"/>
                <w:sz w:val="17"/>
              </w:rPr>
              <w:t>Kaplan 1958; Clark 2003</w:t>
            </w:r>
          </w:p>
        </w:tc>
      </w:tr>
      <w:tr>
        <w:tc>
          <w:tcPr>
            <w:tcW w:type="dxa" w:w="3024"/>
            <w:shd w:val="clear" w:color="auto" w:fill="F3F6FC"/>
          </w:tcPr>
          <w:p>
            <w:pPr>
              <w:spacing w:after="0"/>
            </w:pPr>
            <w:r/>
            <w:r>
              <w:rPr>
                <w:rFonts w:ascii="Calibri" w:hAnsi="Calibri"/>
                <w:b/>
                <w:color w:val="1E2761"/>
                <w:sz w:val="17"/>
              </w:rPr>
              <w:t>Persistence; compliance</w:t>
            </w:r>
          </w:p>
        </w:tc>
        <w:tc>
          <w:tcPr>
            <w:tcW w:type="dxa" w:w="4176"/>
            <w:shd w:val="clear" w:color="auto" w:fill="F3F6FC"/>
          </w:tcPr>
          <w:p>
            <w:pPr>
              <w:spacing w:after="0"/>
            </w:pPr>
            <w:r/>
            <w:r>
              <w:rPr>
                <w:rFonts w:ascii="Calibri" w:hAnsi="Calibri"/>
                <w:color w:val="333333"/>
                <w:sz w:val="17"/>
              </w:rPr>
              <w:t>Months on therapy; doses taken as planned</w:t>
            </w:r>
          </w:p>
        </w:tc>
        <w:tc>
          <w:tcPr>
            <w:tcW w:type="dxa" w:w="2736"/>
            <w:shd w:val="clear" w:color="auto" w:fill="F3F6FC"/>
          </w:tcPr>
          <w:p>
            <w:pPr>
              <w:spacing w:after="0"/>
            </w:pPr>
            <w:r/>
            <w:r>
              <w:rPr>
                <w:rFonts w:ascii="Calibri" w:hAnsi="Calibri"/>
                <w:color w:val="333333"/>
                <w:sz w:val="17"/>
              </w:rPr>
              <w:t>Cramer 2008</w:t>
            </w:r>
          </w:p>
        </w:tc>
      </w:tr>
      <w:tr>
        <w:tc>
          <w:tcPr>
            <w:tcW w:type="dxa" w:w="3024"/>
          </w:tcPr>
          <w:p>
            <w:pPr>
              <w:spacing w:after="0"/>
            </w:pPr>
            <w:r/>
            <w:r>
              <w:rPr>
                <w:rFonts w:ascii="Calibri" w:hAnsi="Calibri"/>
                <w:b/>
                <w:color w:val="1E2761"/>
                <w:sz w:val="17"/>
              </w:rPr>
              <w:t>New patients vs patients on therapy; Little's law</w:t>
            </w:r>
          </w:p>
        </w:tc>
        <w:tc>
          <w:tcPr>
            <w:tcW w:type="dxa" w:w="4176"/>
          </w:tcPr>
          <w:p>
            <w:pPr>
              <w:spacing w:after="0"/>
            </w:pPr>
            <w:r/>
            <w:r>
              <w:rPr>
                <w:rFonts w:ascii="Calibri" w:hAnsi="Calibri"/>
                <w:color w:val="333333"/>
                <w:sz w:val="17"/>
              </w:rPr>
              <w:t>On therapy = new patients × months ÷ 12</w:t>
            </w:r>
          </w:p>
        </w:tc>
        <w:tc>
          <w:tcPr>
            <w:tcW w:type="dxa" w:w="2736"/>
          </w:tcPr>
          <w:p>
            <w:pPr>
              <w:spacing w:after="0"/>
            </w:pPr>
            <w:r/>
            <w:r>
              <w:rPr>
                <w:rFonts w:ascii="Calibri" w:hAnsi="Calibri"/>
                <w:color w:val="333333"/>
                <w:sz w:val="17"/>
              </w:rPr>
              <w:t>Little 1961</w:t>
            </w:r>
          </w:p>
        </w:tc>
      </w:tr>
      <w:tr>
        <w:tc>
          <w:tcPr>
            <w:tcW w:type="dxa" w:w="3024"/>
            <w:shd w:val="clear" w:color="auto" w:fill="F3F6FC"/>
          </w:tcPr>
          <w:p>
            <w:pPr>
              <w:spacing w:after="0"/>
            </w:pPr>
            <w:r/>
            <w:r>
              <w:rPr>
                <w:rFonts w:ascii="Calibri" w:hAnsi="Calibri"/>
                <w:b/>
                <w:color w:val="1E2761"/>
                <w:sz w:val="17"/>
              </w:rPr>
              <w:t>Uptake ramp; analogs; Bass</w:t>
            </w:r>
          </w:p>
        </w:tc>
        <w:tc>
          <w:tcPr>
            <w:tcW w:type="dxa" w:w="4176"/>
            <w:shd w:val="clear" w:color="auto" w:fill="F3F6FC"/>
          </w:tcPr>
          <w:p>
            <w:pPr>
              <w:spacing w:after="0"/>
            </w:pPr>
            <w:r/>
            <w:r>
              <w:rPr>
                <w:rFonts w:ascii="Calibri" w:hAnsi="Calibri"/>
                <w:color w:val="333333"/>
                <w:sz w:val="17"/>
              </w:rPr>
              <w:t>Share of peak reached by year since launch</w:t>
            </w:r>
          </w:p>
        </w:tc>
        <w:tc>
          <w:tcPr>
            <w:tcW w:type="dxa" w:w="2736"/>
            <w:shd w:val="clear" w:color="auto" w:fill="F3F6FC"/>
          </w:tcPr>
          <w:p>
            <w:pPr>
              <w:spacing w:after="0"/>
            </w:pPr>
            <w:r/>
            <w:r>
              <w:rPr>
                <w:rFonts w:ascii="Calibri" w:hAnsi="Calibri"/>
                <w:color w:val="333333"/>
                <w:sz w:val="17"/>
              </w:rPr>
              <w:t>Bass 1969; IQVIA 2025</w:t>
            </w:r>
          </w:p>
        </w:tc>
      </w:tr>
      <w:tr>
        <w:tc>
          <w:tcPr>
            <w:tcW w:type="dxa" w:w="3024"/>
          </w:tcPr>
          <w:p>
            <w:pPr>
              <w:spacing w:after="0"/>
            </w:pPr>
            <w:r/>
            <w:r>
              <w:rPr>
                <w:rFonts w:ascii="Calibri" w:hAnsi="Calibri"/>
                <w:b/>
                <w:color w:val="1E2761"/>
                <w:sz w:val="17"/>
              </w:rPr>
              <w:t>Order of entry; rank-size (Zipf)</w:t>
            </w:r>
          </w:p>
        </w:tc>
        <w:tc>
          <w:tcPr>
            <w:tcW w:type="dxa" w:w="4176"/>
          </w:tcPr>
          <w:p>
            <w:pPr>
              <w:spacing w:after="0"/>
            </w:pPr>
            <w:r/>
            <w:r>
              <w:rPr>
                <w:rFonts w:ascii="Calibri" w:hAnsi="Calibri"/>
                <w:color w:val="333333"/>
                <w:sz w:val="17"/>
              </w:rPr>
              <w:t>Later entrants get less; a few prescribers write most</w:t>
            </w:r>
          </w:p>
        </w:tc>
        <w:tc>
          <w:tcPr>
            <w:tcW w:type="dxa" w:w="2736"/>
          </w:tcPr>
          <w:p>
            <w:pPr>
              <w:spacing w:after="0"/>
            </w:pPr>
            <w:r/>
            <w:r>
              <w:rPr>
                <w:rFonts w:ascii="Calibri" w:hAnsi="Calibri"/>
                <w:color w:val="333333"/>
                <w:sz w:val="17"/>
              </w:rPr>
              <w:t>Kalyanaram 1995; Zipf 1949; Centers for Medicare &amp; Medicaid Services</w:t>
            </w:r>
          </w:p>
        </w:tc>
      </w:tr>
      <w:tr>
        <w:tc>
          <w:tcPr>
            <w:tcW w:type="dxa" w:w="3024"/>
            <w:shd w:val="clear" w:color="auto" w:fill="F3F6FC"/>
          </w:tcPr>
          <w:p>
            <w:pPr>
              <w:spacing w:after="0"/>
            </w:pPr>
            <w:r/>
            <w:r>
              <w:rPr>
                <w:rFonts w:ascii="Calibri" w:hAnsi="Calibri"/>
                <w:b/>
                <w:color w:val="1E2761"/>
                <w:sz w:val="17"/>
              </w:rPr>
              <w:t>Loss of exclusivity</w:t>
            </w:r>
          </w:p>
        </w:tc>
        <w:tc>
          <w:tcPr>
            <w:tcW w:type="dxa" w:w="4176"/>
            <w:shd w:val="clear" w:color="auto" w:fill="F3F6FC"/>
          </w:tcPr>
          <w:p>
            <w:pPr>
              <w:spacing w:after="0"/>
            </w:pPr>
            <w:r/>
            <w:r>
              <w:rPr>
                <w:rFonts w:ascii="Calibri" w:hAnsi="Calibri"/>
                <w:color w:val="333333"/>
                <w:sz w:val="17"/>
              </w:rPr>
              <w:t>How much a brand keeps after generic entry</w:t>
            </w:r>
          </w:p>
        </w:tc>
        <w:tc>
          <w:tcPr>
            <w:tcW w:type="dxa" w:w="2736"/>
            <w:shd w:val="clear" w:color="auto" w:fill="F3F6FC"/>
          </w:tcPr>
          <w:p>
            <w:pPr>
              <w:spacing w:after="0"/>
            </w:pPr>
            <w:r/>
            <w:r>
              <w:rPr>
                <w:rFonts w:ascii="Calibri" w:hAnsi="Calibri"/>
                <w:color w:val="333333"/>
                <w:sz w:val="17"/>
              </w:rPr>
              <w:t>Grabowski 2021; IQVIA 2025</w:t>
            </w:r>
          </w:p>
        </w:tc>
      </w:tr>
      <w:tr>
        <w:tc>
          <w:tcPr>
            <w:tcW w:type="dxa" w:w="3024"/>
          </w:tcPr>
          <w:p>
            <w:pPr>
              <w:spacing w:after="0"/>
            </w:pPr>
            <w:r/>
            <w:r>
              <w:rPr>
                <w:rFonts w:ascii="Calibri" w:hAnsi="Calibri"/>
                <w:b/>
                <w:color w:val="1E2761"/>
                <w:sz w:val="17"/>
              </w:rPr>
              <w:t>Exponential smoothing (ETS); top-down split</w:t>
            </w:r>
          </w:p>
        </w:tc>
        <w:tc>
          <w:tcPr>
            <w:tcW w:type="dxa" w:w="4176"/>
          </w:tcPr>
          <w:p>
            <w:pPr>
              <w:spacing w:after="0"/>
            </w:pPr>
            <w:r/>
            <w:r>
              <w:rPr>
                <w:rFonts w:ascii="Calibri" w:hAnsi="Calibri"/>
                <w:color w:val="333333"/>
                <w:sz w:val="17"/>
              </w:rPr>
              <w:t>Market check; regional split</w:t>
            </w:r>
          </w:p>
        </w:tc>
        <w:tc>
          <w:tcPr>
            <w:tcW w:type="dxa" w:w="2736"/>
          </w:tcPr>
          <w:p>
            <w:pPr>
              <w:spacing w:after="0"/>
            </w:pPr>
            <w:r/>
            <w:r>
              <w:rPr>
                <w:rFonts w:ascii="Calibri" w:hAnsi="Calibri"/>
                <w:color w:val="333333"/>
                <w:sz w:val="17"/>
              </w:rPr>
              <w:t>Hyndman 2021</w:t>
            </w:r>
          </w:p>
        </w:tc>
      </w:tr>
      <w:tr>
        <w:tc>
          <w:tcPr>
            <w:tcW w:type="dxa" w:w="3024"/>
            <w:shd w:val="clear" w:color="auto" w:fill="F3F6FC"/>
          </w:tcPr>
          <w:p>
            <w:pPr>
              <w:spacing w:after="0"/>
            </w:pPr>
            <w:r/>
            <w:r>
              <w:rPr>
                <w:rFonts w:ascii="Calibri" w:hAnsi="Calibri"/>
                <w:b/>
                <w:color w:val="1E2761"/>
                <w:sz w:val="17"/>
              </w:rPr>
              <w:t>Foundation models</w:t>
            </w:r>
          </w:p>
        </w:tc>
        <w:tc>
          <w:tcPr>
            <w:tcW w:type="dxa" w:w="4176"/>
            <w:shd w:val="clear" w:color="auto" w:fill="F3F6FC"/>
          </w:tcPr>
          <w:p>
            <w:pPr>
              <w:spacing w:after="0"/>
            </w:pPr>
            <w:r/>
            <w:r>
              <w:rPr>
                <w:rFonts w:ascii="Calibri" w:hAnsi="Calibri"/>
                <w:color w:val="333333"/>
                <w:sz w:val="17"/>
              </w:rPr>
              <w:t>Chronos, TimesFM, Lag-Llama, TimeGPT</w:t>
            </w:r>
          </w:p>
        </w:tc>
        <w:tc>
          <w:tcPr>
            <w:tcW w:type="dxa" w:w="2736"/>
            <w:shd w:val="clear" w:color="auto" w:fill="F3F6FC"/>
          </w:tcPr>
          <w:p>
            <w:pPr>
              <w:spacing w:after="0"/>
            </w:pPr>
            <w:r/>
            <w:r>
              <w:rPr>
                <w:rFonts w:ascii="Calibri" w:hAnsi="Calibri"/>
                <w:color w:val="333333"/>
                <w:sz w:val="17"/>
              </w:rPr>
              <w:t>Ansari 2024; Das 2024; Rasul 2023; Garza 2023</w:t>
            </w:r>
          </w:p>
        </w:tc>
      </w:tr>
      <w:tr>
        <w:tc>
          <w:tcPr>
            <w:tcW w:type="dxa" w:w="3024"/>
          </w:tcPr>
          <w:p>
            <w:pPr>
              <w:spacing w:after="0"/>
            </w:pPr>
            <w:r/>
            <w:r>
              <w:rPr>
                <w:rFonts w:ascii="Calibri" w:hAnsi="Calibri"/>
                <w:b/>
                <w:color w:val="1E2761"/>
                <w:sz w:val="17"/>
              </w:rPr>
              <w:t>Launch forecast error</w:t>
            </w:r>
          </w:p>
        </w:tc>
        <w:tc>
          <w:tcPr>
            <w:tcW w:type="dxa" w:w="4176"/>
          </w:tcPr>
          <w:p>
            <w:pPr>
              <w:spacing w:after="0"/>
            </w:pPr>
            <w:r/>
            <w:r>
              <w:rPr>
                <w:rFonts w:ascii="Calibri" w:hAnsi="Calibri"/>
                <w:color w:val="333333"/>
                <w:sz w:val="17"/>
              </w:rPr>
              <w:t>50–70% of launches miss their first-year forecast</w:t>
            </w:r>
          </w:p>
        </w:tc>
        <w:tc>
          <w:tcPr>
            <w:tcW w:type="dxa" w:w="2736"/>
          </w:tcPr>
          <w:p>
            <w:pPr>
              <w:spacing w:after="0"/>
            </w:pPr>
            <w:r/>
            <w:r>
              <w:rPr>
                <w:rFonts w:ascii="Calibri" w:hAnsi="Calibri"/>
                <w:color w:val="333333"/>
                <w:sz w:val="17"/>
              </w:rPr>
              <w:t>Gupta 2017</w:t>
            </w:r>
          </w:p>
        </w:tc>
      </w:tr>
    </w:tbl>
    <w:p>
      <w:pPr>
        <w:spacing w:after="80"/>
      </w:pPr>
    </w:p>
    <w:p>
      <w:pPr>
        <w:keepNext/>
        <w:spacing w:after="80" w:before="240"/>
      </w:pPr>
      <w:r>
        <w:rPr>
          <w:rFonts w:ascii="Calibri" w:hAnsi="Calibri"/>
          <w:b/>
          <w:i w:val="0"/>
          <w:color w:val="1E2761"/>
          <w:sz w:val="30"/>
        </w:rPr>
        <w:t>Appendix · The data files (data/)</w:t>
      </w:r>
    </w:p>
    <w:tbl>
      <w:tblPr>
        <w:tblStyle w:val="TableGrid"/>
        <w:tblW w:type="auto" w:w="0"/>
        <w:jc w:val="center"/>
        <w:tblLayout w:type="fixed"/>
        <w:tblLook w:firstColumn="1" w:firstRow="1" w:lastColumn="0" w:lastRow="0" w:noHBand="0" w:noVBand="1" w:val="04A0"/>
      </w:tblPr>
      <w:tblGrid>
        <w:gridCol w:w="4032"/>
        <w:gridCol w:w="5904"/>
      </w:tblGrid>
      <w:tr>
        <w:tc>
          <w:tcPr>
            <w:tcW w:type="dxa" w:w="4032"/>
            <w:shd w:val="clear" w:color="auto" w:fill="1E2761"/>
          </w:tcPr>
          <w:p>
            <w:pPr>
              <w:spacing w:after="0"/>
            </w:pPr>
            <w:r/>
            <w:r>
              <w:rPr>
                <w:rFonts w:ascii="Calibri" w:hAnsi="Calibri"/>
                <w:b/>
                <w:color w:val="FFFFFF"/>
                <w:sz w:val="17"/>
              </w:rPr>
              <w:t>File</w:t>
            </w:r>
          </w:p>
        </w:tc>
        <w:tc>
          <w:tcPr>
            <w:tcW w:type="dxa" w:w="5904"/>
            <w:shd w:val="clear" w:color="auto" w:fill="1E2761"/>
          </w:tcPr>
          <w:p>
            <w:pPr>
              <w:spacing w:after="0"/>
            </w:pPr>
            <w:r/>
            <w:r>
              <w:rPr>
                <w:rFonts w:ascii="Calibri" w:hAnsi="Calibri"/>
                <w:b/>
                <w:color w:val="FFFFFF"/>
                <w:sz w:val="17"/>
              </w:rPr>
              <w:t>What it is</w:t>
            </w:r>
          </w:p>
        </w:tc>
      </w:tr>
      <w:tr>
        <w:tc>
          <w:tcPr>
            <w:tcW w:type="dxa" w:w="4032"/>
          </w:tcPr>
          <w:p>
            <w:pPr>
              <w:spacing w:after="0"/>
            </w:pPr>
            <w:r/>
            <w:r>
              <w:rPr>
                <w:rFonts w:ascii="Calibri" w:hAnsi="Calibri"/>
                <w:b/>
                <w:color w:val="1E2761"/>
                <w:sz w:val="17"/>
              </w:rPr>
              <w:t>lymbrexa_assumptions.csv</w:t>
            </w:r>
          </w:p>
        </w:tc>
        <w:tc>
          <w:tcPr>
            <w:tcW w:type="dxa" w:w="5904"/>
          </w:tcPr>
          <w:p>
            <w:pPr>
              <w:spacing w:after="0"/>
            </w:pPr>
            <w:r/>
            <w:r>
              <w:rPr>
                <w:rFonts w:ascii="Calibri" w:hAnsi="Calibri"/>
                <w:color w:val="333333"/>
                <w:sz w:val="17"/>
              </w:rPr>
              <w:t>the assumption book (27 rows)</w:t>
            </w:r>
          </w:p>
        </w:tc>
      </w:tr>
      <w:tr>
        <w:tc>
          <w:tcPr>
            <w:tcW w:type="dxa" w:w="4032"/>
            <w:shd w:val="clear" w:color="auto" w:fill="F3F6FC"/>
          </w:tcPr>
          <w:p>
            <w:pPr>
              <w:spacing w:after="0"/>
            </w:pPr>
            <w:r/>
            <w:r>
              <w:rPr>
                <w:rFonts w:ascii="Calibri" w:hAnsi="Calibri"/>
                <w:b/>
                <w:color w:val="1E2761"/>
                <w:sz w:val="17"/>
              </w:rPr>
              <w:t>dlbcl_epi_inputs.csv</w:t>
            </w:r>
          </w:p>
        </w:tc>
        <w:tc>
          <w:tcPr>
            <w:tcW w:type="dxa" w:w="5904"/>
            <w:shd w:val="clear" w:color="auto" w:fill="F3F6FC"/>
          </w:tcPr>
          <w:p>
            <w:pPr>
              <w:spacing w:after="0"/>
            </w:pPr>
            <w:r/>
            <w:r>
              <w:rPr>
                <w:rFonts w:ascii="Calibri" w:hAnsi="Calibri"/>
                <w:color w:val="333333"/>
                <w:sz w:val="17"/>
              </w:rPr>
              <w:t>population, incidence and new cases by age band, 2016–2030</w:t>
            </w:r>
          </w:p>
        </w:tc>
      </w:tr>
      <w:tr>
        <w:tc>
          <w:tcPr>
            <w:tcW w:type="dxa" w:w="4032"/>
          </w:tcPr>
          <w:p>
            <w:pPr>
              <w:spacing w:after="0"/>
            </w:pPr>
            <w:r/>
            <w:r>
              <w:rPr>
                <w:rFonts w:ascii="Calibri" w:hAnsi="Calibri"/>
                <w:b/>
                <w:color w:val="1E2761"/>
                <w:sz w:val="17"/>
              </w:rPr>
              <w:t>dlbcl_treatment_funnel.csv</w:t>
            </w:r>
          </w:p>
        </w:tc>
        <w:tc>
          <w:tcPr>
            <w:tcW w:type="dxa" w:w="5904"/>
          </w:tcPr>
          <w:p>
            <w:pPr>
              <w:spacing w:after="0"/>
            </w:pPr>
            <w:r/>
            <w:r>
              <w:rPr>
                <w:rFonts w:ascii="Calibri" w:hAnsi="Calibri"/>
                <w:color w:val="333333"/>
                <w:sz w:val="17"/>
              </w:rPr>
              <w:t>diagnosed, treated, progression and later-lines rates by age band</w:t>
            </w:r>
          </w:p>
        </w:tc>
      </w:tr>
      <w:tr>
        <w:tc>
          <w:tcPr>
            <w:tcW w:type="dxa" w:w="4032"/>
            <w:shd w:val="clear" w:color="auto" w:fill="F3F6FC"/>
          </w:tcPr>
          <w:p>
            <w:pPr>
              <w:spacing w:after="0"/>
            </w:pPr>
            <w:r/>
            <w:r>
              <w:rPr>
                <w:rFonts w:ascii="Calibri" w:hAnsi="Calibri"/>
                <w:b/>
                <w:color w:val="1E2761"/>
                <w:sz w:val="17"/>
              </w:rPr>
              <w:t>dlbcl_market_monthly.csv</w:t>
            </w:r>
          </w:p>
        </w:tc>
        <w:tc>
          <w:tcPr>
            <w:tcW w:type="dxa" w:w="5904"/>
            <w:shd w:val="clear" w:color="auto" w:fill="F3F6FC"/>
          </w:tcPr>
          <w:p>
            <w:pPr>
              <w:spacing w:after="0"/>
            </w:pPr>
            <w:r/>
            <w:r>
              <w:rPr>
                <w:rFonts w:ascii="Calibri" w:hAnsi="Calibri"/>
                <w:color w:val="333333"/>
                <w:sz w:val="17"/>
              </w:rPr>
              <w:t>national treatment starts by line, Jan 2019 – Jun 2026</w:t>
            </w:r>
          </w:p>
        </w:tc>
      </w:tr>
      <w:tr>
        <w:tc>
          <w:tcPr>
            <w:tcW w:type="dxa" w:w="4032"/>
          </w:tcPr>
          <w:p>
            <w:pPr>
              <w:spacing w:after="0"/>
            </w:pPr>
            <w:r/>
            <w:r>
              <w:rPr>
                <w:rFonts w:ascii="Calibri" w:hAnsi="Calibri"/>
                <w:b/>
                <w:color w:val="1E2761"/>
                <w:sz w:val="17"/>
              </w:rPr>
              <w:t>dlbcl_market_by_region_account.csv</w:t>
            </w:r>
          </w:p>
        </w:tc>
        <w:tc>
          <w:tcPr>
            <w:tcW w:type="dxa" w:w="5904"/>
          </w:tcPr>
          <w:p>
            <w:pPr>
              <w:spacing w:after="0"/>
            </w:pPr>
            <w:r/>
            <w:r>
              <w:rPr>
                <w:rFonts w:ascii="Calibri" w:hAnsi="Calibri"/>
                <w:color w:val="333333"/>
                <w:sz w:val="17"/>
              </w:rPr>
              <w:t>the same by region and account type</w:t>
            </w:r>
          </w:p>
        </w:tc>
      </w:tr>
      <w:tr>
        <w:tc>
          <w:tcPr>
            <w:tcW w:type="dxa" w:w="4032"/>
            <w:shd w:val="clear" w:color="auto" w:fill="F3F6FC"/>
          </w:tcPr>
          <w:p>
            <w:pPr>
              <w:spacing w:after="0"/>
            </w:pPr>
            <w:r/>
            <w:r>
              <w:rPr>
                <w:rFonts w:ascii="Calibri" w:hAnsi="Calibri"/>
                <w:b/>
                <w:color w:val="1E2761"/>
                <w:sz w:val="17"/>
              </w:rPr>
              <w:t>dlbcl_time_to_next_line.csv</w:t>
            </w:r>
          </w:p>
        </w:tc>
        <w:tc>
          <w:tcPr>
            <w:tcW w:type="dxa" w:w="5904"/>
            <w:shd w:val="clear" w:color="auto" w:fill="F3F6FC"/>
          </w:tcPr>
          <w:p>
            <w:pPr>
              <w:spacing w:after="0"/>
            </w:pPr>
            <w:r/>
            <w:r>
              <w:rPr>
                <w:rFonts w:ascii="Calibri" w:hAnsi="Calibri"/>
                <w:color w:val="333333"/>
                <w:sz w:val="17"/>
              </w:rPr>
              <w:t>months to next line, with a censoring flag (from the Week 2 cohort)</w:t>
            </w:r>
          </w:p>
        </w:tc>
      </w:tr>
      <w:tr>
        <w:tc>
          <w:tcPr>
            <w:tcW w:type="dxa" w:w="4032"/>
          </w:tcPr>
          <w:p>
            <w:pPr>
              <w:spacing w:after="0"/>
            </w:pPr>
            <w:r/>
            <w:r>
              <w:rPr>
                <w:rFonts w:ascii="Calibri" w:hAnsi="Calibri"/>
                <w:b/>
                <w:color w:val="1E2761"/>
                <w:sz w:val="17"/>
              </w:rPr>
              <w:t>regimen_persistence_patients.csv</w:t>
            </w:r>
          </w:p>
        </w:tc>
        <w:tc>
          <w:tcPr>
            <w:tcW w:type="dxa" w:w="5904"/>
          </w:tcPr>
          <w:p>
            <w:pPr>
              <w:spacing w:after="0"/>
            </w:pPr>
            <w:r/>
            <w:r>
              <w:rPr>
                <w:rFonts w:ascii="Calibri" w:hAnsi="Calibri"/>
                <w:color w:val="333333"/>
                <w:sz w:val="17"/>
              </w:rPr>
              <w:t>months on therapy, with a censoring flag, for three analog regimens</w:t>
            </w:r>
          </w:p>
        </w:tc>
      </w:tr>
      <w:tr>
        <w:tc>
          <w:tcPr>
            <w:tcW w:type="dxa" w:w="4032"/>
            <w:shd w:val="clear" w:color="auto" w:fill="F3F6FC"/>
          </w:tcPr>
          <w:p>
            <w:pPr>
              <w:spacing w:after="0"/>
            </w:pPr>
            <w:r/>
            <w:r>
              <w:rPr>
                <w:rFonts w:ascii="Calibri" w:hAnsi="Calibri"/>
                <w:b/>
                <w:color w:val="1E2761"/>
                <w:sz w:val="17"/>
              </w:rPr>
              <w:t>analog_launches_monthly.csv / _attributes.csv</w:t>
            </w:r>
          </w:p>
        </w:tc>
        <w:tc>
          <w:tcPr>
            <w:tcW w:type="dxa" w:w="5904"/>
            <w:shd w:val="clear" w:color="auto" w:fill="F3F6FC"/>
          </w:tcPr>
          <w:p>
            <w:pPr>
              <w:spacing w:after="0"/>
            </w:pPr>
            <w:r/>
            <w:r>
              <w:rPr>
                <w:rFonts w:ascii="Calibri" w:hAnsi="Calibri"/>
                <w:color w:val="333333"/>
                <w:sz w:val="17"/>
              </w:rPr>
              <w:t>share of line starts for 36 months after launch, eight analogs</w:t>
            </w:r>
          </w:p>
        </w:tc>
      </w:tr>
      <w:tr>
        <w:tc>
          <w:tcPr>
            <w:tcW w:type="dxa" w:w="4032"/>
          </w:tcPr>
          <w:p>
            <w:pPr>
              <w:spacing w:after="0"/>
            </w:pPr>
            <w:r/>
            <w:r>
              <w:rPr>
                <w:rFonts w:ascii="Calibri" w:hAnsi="Calibri"/>
                <w:b/>
                <w:color w:val="1E2761"/>
                <w:sz w:val="17"/>
              </w:rPr>
              <w:t>dlbcl_prescriber_3Lplus_starts.csv</w:t>
            </w:r>
          </w:p>
        </w:tc>
        <w:tc>
          <w:tcPr>
            <w:tcW w:type="dxa" w:w="5904"/>
          </w:tcPr>
          <w:p>
            <w:pPr>
              <w:spacing w:after="0"/>
            </w:pPr>
            <w:r/>
            <w:r>
              <w:rPr>
                <w:rFonts w:ascii="Calibri" w:hAnsi="Calibri"/>
                <w:color w:val="333333"/>
                <w:sz w:val="17"/>
              </w:rPr>
              <w:t>3L+ starts per prescriber, trailing 12 months</w:t>
            </w:r>
          </w:p>
        </w:tc>
      </w:tr>
      <w:tr>
        <w:tc>
          <w:tcPr>
            <w:tcW w:type="dxa" w:w="4032"/>
            <w:shd w:val="clear" w:color="auto" w:fill="F3F6FC"/>
          </w:tcPr>
          <w:p>
            <w:pPr>
              <w:spacing w:after="0"/>
            </w:pPr>
            <w:r/>
            <w:r>
              <w:rPr>
                <w:rFonts w:ascii="Calibri" w:hAnsi="Calibri"/>
                <w:b/>
                <w:color w:val="1E2761"/>
                <w:sz w:val="17"/>
              </w:rPr>
              <w:t>class_order_of_entry_shares.csv</w:t>
            </w:r>
          </w:p>
        </w:tc>
        <w:tc>
          <w:tcPr>
            <w:tcW w:type="dxa" w:w="5904"/>
            <w:shd w:val="clear" w:color="auto" w:fill="F3F6FC"/>
          </w:tcPr>
          <w:p>
            <w:pPr>
              <w:spacing w:after="0"/>
            </w:pPr>
            <w:r/>
            <w:r>
              <w:rPr>
                <w:rFonts w:ascii="Calibri" w:hAnsi="Calibri"/>
                <w:color w:val="333333"/>
                <w:sz w:val="17"/>
              </w:rPr>
              <w:t>share by order of entry in eight classes</w:t>
            </w:r>
          </w:p>
        </w:tc>
      </w:tr>
      <w:tr>
        <w:tc>
          <w:tcPr>
            <w:tcW w:type="dxa" w:w="4032"/>
          </w:tcPr>
          <w:p>
            <w:pPr>
              <w:spacing w:after="0"/>
            </w:pPr>
            <w:r/>
            <w:r>
              <w:rPr>
                <w:rFonts w:ascii="Calibri" w:hAnsi="Calibri"/>
                <w:b/>
                <w:color w:val="1E2761"/>
                <w:sz w:val="17"/>
              </w:rPr>
              <w:t>glucoren_monthly_trx.csv; t2d_prevalence_funnel.csv; glucoren_assumptions.csv</w:t>
            </w:r>
          </w:p>
        </w:tc>
        <w:tc>
          <w:tcPr>
            <w:tcW w:type="dxa" w:w="5904"/>
          </w:tcPr>
          <w:p>
            <w:pPr>
              <w:spacing w:after="0"/>
            </w:pPr>
            <w:r/>
            <w:r>
              <w:rPr>
                <w:rFonts w:ascii="Calibri" w:hAnsi="Calibri"/>
                <w:color w:val="333333"/>
                <w:sz w:val="17"/>
              </w:rPr>
              <w:t>the prevalence and LOE example</w:t>
            </w:r>
          </w:p>
        </w:tc>
      </w:tr>
      <w:tr>
        <w:tc>
          <w:tcPr>
            <w:tcW w:type="dxa" w:w="4032"/>
            <w:shd w:val="clear" w:color="auto" w:fill="F3F6FC"/>
          </w:tcPr>
          <w:p>
            <w:pPr>
              <w:spacing w:after="0"/>
            </w:pPr>
            <w:r/>
            <w:r>
              <w:rPr>
                <w:rFonts w:ascii="Calibri" w:hAnsi="Calibri"/>
                <w:b/>
                <w:color w:val="1E2761"/>
                <w:sz w:val="17"/>
              </w:rPr>
              <w:t>homework2/</w:t>
            </w:r>
          </w:p>
        </w:tc>
        <w:tc>
          <w:tcPr>
            <w:tcW w:type="dxa" w:w="5904"/>
            <w:shd w:val="clear" w:color="auto" w:fill="F3F6FC"/>
          </w:tcPr>
          <w:p>
            <w:pPr>
              <w:spacing w:after="0"/>
            </w:pPr>
            <w:r/>
            <w:r>
              <w:rPr>
                <w:rFonts w:ascii="Calibri" w:hAnsi="Calibri"/>
                <w:color w:val="333333"/>
                <w:sz w:val="17"/>
              </w:rPr>
              <w:t>the VELTRAXA / mantle cell lymphoma set for Homework 2</w:t>
            </w:r>
          </w:p>
        </w:tc>
      </w:tr>
    </w:tbl>
    <w:p>
      <w:pPr>
        <w:spacing w:after="80"/>
      </w:pPr>
    </w:p>
    <w:p>
      <w:pPr>
        <w:keepNext/>
        <w:spacing w:after="80" w:before="240"/>
      </w:pPr>
      <w:r>
        <w:rPr>
          <w:rFonts w:ascii="Calibri" w:hAnsi="Calibri"/>
          <w:b/>
          <w:i w:val="0"/>
          <w:color w:val="1E2761"/>
          <w:sz w:val="30"/>
        </w:rPr>
        <w:t>References</w:t>
      </w:r>
    </w:p>
    <w:p>
      <w:pPr>
        <w:pStyle w:val="ListBullet"/>
        <w:spacing w:after="60"/>
      </w:pPr>
      <w:r>
        <w:rPr>
          <w:rFonts w:ascii="Calibri" w:hAnsi="Calibri"/>
          <w:b w:val="0"/>
          <w:color w:val="333333"/>
          <w:sz w:val="18"/>
        </w:rPr>
        <w:t xml:space="preserve">Cook, A. G. </w:t>
      </w:r>
      <w:r>
        <w:rPr>
          <w:rFonts w:ascii="Calibri" w:hAnsi="Calibri"/>
          <w:b/>
          <w:color w:val="333333"/>
          <w:sz w:val="18"/>
        </w:rPr>
        <w:t xml:space="preserve">Forecasting for the Pharmaceutical Industry: Models for New Product and In-Market Forecasting and How to Use Them (2nd ed.). </w:t>
      </w:r>
      <w:r>
        <w:rPr>
          <w:rFonts w:ascii="Calibri" w:hAnsi="Calibri"/>
          <w:b w:val="0"/>
          <w:color w:val="333333"/>
          <w:sz w:val="18"/>
        </w:rPr>
        <w:t xml:space="preserve">Gower / Routledge, 2015. </w:t>
      </w:r>
      <w:r>
        <w:rPr>
          <w:rFonts w:ascii="Calibri" w:hAnsi="Calibri"/>
          <w:b w:val="0"/>
          <w:color w:val="333333"/>
          <w:sz w:val="18"/>
        </w:rPr>
        <w:t>https://www.routledge.com/9781032838571</w:t>
      </w:r>
    </w:p>
    <w:p>
      <w:pPr>
        <w:pStyle w:val="ListBullet"/>
        <w:spacing w:after="60"/>
      </w:pPr>
      <w:r>
        <w:rPr>
          <w:rFonts w:ascii="Calibri" w:hAnsi="Calibri"/>
          <w:b w:val="0"/>
          <w:color w:val="333333"/>
          <w:sz w:val="18"/>
        </w:rPr>
        <w:t xml:space="preserve">Gupta, M. &amp; McClellan, W. (IQVIA) </w:t>
      </w:r>
      <w:r>
        <w:rPr>
          <w:rFonts w:ascii="Calibri" w:hAnsi="Calibri"/>
          <w:b/>
          <w:color w:val="333333"/>
          <w:sz w:val="18"/>
        </w:rPr>
        <w:t xml:space="preserve">A Framework for Successful Biopharma Launches. </w:t>
      </w:r>
      <w:r>
        <w:rPr>
          <w:rFonts w:ascii="Calibri" w:hAnsi="Calibri"/>
          <w:b w:val="0"/>
          <w:color w:val="333333"/>
          <w:sz w:val="18"/>
        </w:rPr>
        <w:t xml:space="preserve">IQVIA white paper, 2017 — course library. </w:t>
      </w:r>
      <w:r>
        <w:rPr>
          <w:rFonts w:ascii="Calibri" w:hAnsi="Calibri"/>
          <w:b w:val="0"/>
          <w:color w:val="333333"/>
          <w:sz w:val="18"/>
        </w:rPr>
        <w:t>Course library: a-framework-for-successful-biopharma-launches.pdf</w:t>
      </w:r>
    </w:p>
    <w:p>
      <w:pPr>
        <w:pStyle w:val="ListBullet"/>
        <w:spacing w:after="60"/>
      </w:pPr>
      <w:r>
        <w:rPr>
          <w:rFonts w:ascii="Calibri" w:hAnsi="Calibri"/>
          <w:b w:val="0"/>
          <w:color w:val="333333"/>
          <w:sz w:val="18"/>
        </w:rPr>
        <w:t xml:space="preserve">Centers for Disease Control and Prevention </w:t>
      </w:r>
      <w:r>
        <w:rPr>
          <w:rFonts w:ascii="Calibri" w:hAnsi="Calibri"/>
          <w:b/>
          <w:color w:val="333333"/>
          <w:sz w:val="18"/>
        </w:rPr>
        <w:t xml:space="preserve">Principles of Epidemiology in Public Health Practice (3rd ed.), Lesson 3: Measures of Risk. </w:t>
      </w:r>
      <w:r>
        <w:rPr>
          <w:rFonts w:ascii="Calibri" w:hAnsi="Calibri"/>
          <w:b w:val="0"/>
          <w:color w:val="333333"/>
          <w:sz w:val="18"/>
        </w:rPr>
        <w:t xml:space="preserve">CDC, 2006 (updated 2012). </w:t>
      </w:r>
      <w:r>
        <w:rPr>
          <w:rFonts w:ascii="Calibri" w:hAnsi="Calibri"/>
          <w:b w:val="0"/>
          <w:color w:val="333333"/>
          <w:sz w:val="18"/>
        </w:rPr>
        <w:t>https://archive.cdc.gov/www_cdc_gov/csels/dsepd/ss1978/lesson3/section2.html</w:t>
      </w:r>
    </w:p>
    <w:p>
      <w:pPr>
        <w:pStyle w:val="ListBullet"/>
        <w:spacing w:after="60"/>
      </w:pPr>
      <w:r>
        <w:rPr>
          <w:rFonts w:ascii="Calibri" w:hAnsi="Calibri"/>
          <w:b w:val="0"/>
          <w:color w:val="333333"/>
          <w:sz w:val="18"/>
        </w:rPr>
        <w:t xml:space="preserve">Teras, L. R., DeSantis, C. E., Cerhan, J. R., et al. </w:t>
      </w:r>
      <w:r>
        <w:rPr>
          <w:rFonts w:ascii="Calibri" w:hAnsi="Calibri"/>
          <w:b/>
          <w:color w:val="333333"/>
          <w:sz w:val="18"/>
        </w:rPr>
        <w:t xml:space="preserve">2016 US lymphoid malignancy statistics by World Health Organization subtypes. </w:t>
      </w:r>
      <w:r>
        <w:rPr>
          <w:rFonts w:ascii="Calibri" w:hAnsi="Calibri"/>
          <w:b w:val="0"/>
          <w:color w:val="333333"/>
          <w:sz w:val="18"/>
        </w:rPr>
        <w:t xml:space="preserve">CA: A Cancer Journal for Clinicians 66(6):443–459, 2016. </w:t>
      </w:r>
      <w:r>
        <w:rPr>
          <w:rFonts w:ascii="Calibri" w:hAnsi="Calibri"/>
          <w:b w:val="0"/>
          <w:color w:val="333333"/>
          <w:sz w:val="18"/>
        </w:rPr>
        <w:t>https://doi.org/10.3322/caac.21357</w:t>
      </w:r>
    </w:p>
    <w:p>
      <w:pPr>
        <w:pStyle w:val="ListBullet"/>
        <w:spacing w:after="60"/>
      </w:pPr>
      <w:r>
        <w:rPr>
          <w:rFonts w:ascii="Calibri" w:hAnsi="Calibri"/>
          <w:b w:val="0"/>
          <w:color w:val="333333"/>
          <w:sz w:val="18"/>
        </w:rPr>
        <w:t xml:space="preserve">IQVIA </w:t>
      </w:r>
      <w:r>
        <w:rPr>
          <w:rFonts w:ascii="Calibri" w:hAnsi="Calibri"/>
          <w:b/>
          <w:color w:val="333333"/>
          <w:sz w:val="18"/>
        </w:rPr>
        <w:t xml:space="preserve">Self-Driving CAR for Hematologic Malignancies. </w:t>
      </w:r>
      <w:r>
        <w:rPr>
          <w:rFonts w:ascii="Calibri" w:hAnsi="Calibri"/>
          <w:b w:val="0"/>
          <w:color w:val="333333"/>
          <w:sz w:val="18"/>
        </w:rPr>
        <w:t xml:space="preserve">IQVIA white paper, 2025 — course library. </w:t>
      </w:r>
      <w:r>
        <w:rPr>
          <w:rFonts w:ascii="Calibri" w:hAnsi="Calibri"/>
          <w:b w:val="0"/>
          <w:color w:val="333333"/>
          <w:sz w:val="18"/>
        </w:rPr>
        <w:t>Course library: self-driving-car-for-hematologic-malignancies.pdf</w:t>
      </w:r>
    </w:p>
    <w:p>
      <w:pPr>
        <w:pStyle w:val="ListBullet"/>
        <w:spacing w:after="60"/>
      </w:pPr>
      <w:r>
        <w:rPr>
          <w:rFonts w:ascii="Calibri" w:hAnsi="Calibri"/>
          <w:b w:val="0"/>
          <w:color w:val="333333"/>
          <w:sz w:val="18"/>
        </w:rPr>
        <w:t xml:space="preserve">Sehn, L. H. &amp; Salles, G. </w:t>
      </w:r>
      <w:r>
        <w:rPr>
          <w:rFonts w:ascii="Calibri" w:hAnsi="Calibri"/>
          <w:b/>
          <w:color w:val="333333"/>
          <w:sz w:val="18"/>
        </w:rPr>
        <w:t xml:space="preserve">Diffuse Large B-Cell Lymphoma. </w:t>
      </w:r>
      <w:r>
        <w:rPr>
          <w:rFonts w:ascii="Calibri" w:hAnsi="Calibri"/>
          <w:b w:val="0"/>
          <w:color w:val="333333"/>
          <w:sz w:val="18"/>
        </w:rPr>
        <w:t xml:space="preserve">New England Journal of Medicine 384:842–858, 2021. </w:t>
      </w:r>
      <w:r>
        <w:rPr>
          <w:rFonts w:ascii="Calibri" w:hAnsi="Calibri"/>
          <w:b w:val="0"/>
          <w:color w:val="333333"/>
          <w:sz w:val="18"/>
        </w:rPr>
        <w:t>https://pubmed.ncbi.nlm.nih.gov/33657296/</w:t>
      </w:r>
    </w:p>
    <w:p>
      <w:pPr>
        <w:pStyle w:val="ListBullet"/>
        <w:spacing w:after="60"/>
      </w:pPr>
      <w:r>
        <w:rPr>
          <w:rFonts w:ascii="Calibri" w:hAnsi="Calibri"/>
          <w:b w:val="0"/>
          <w:color w:val="333333"/>
          <w:sz w:val="18"/>
        </w:rPr>
        <w:t xml:space="preserve">IQVIA </w:t>
      </w:r>
      <w:r>
        <w:rPr>
          <w:rFonts w:ascii="Calibri" w:hAnsi="Calibri"/>
          <w:b/>
          <w:color w:val="333333"/>
          <w:sz w:val="18"/>
        </w:rPr>
        <w:t xml:space="preserve">The Path to CAR T-cell Therapy: Barriers in LBCL. </w:t>
      </w:r>
      <w:r>
        <w:rPr>
          <w:rFonts w:ascii="Calibri" w:hAnsi="Calibri"/>
          <w:b w:val="0"/>
          <w:color w:val="333333"/>
          <w:sz w:val="18"/>
        </w:rPr>
        <w:t xml:space="preserve">IQVIA white paper, 2025 — course library. </w:t>
      </w:r>
      <w:r>
        <w:rPr>
          <w:rFonts w:ascii="Calibri" w:hAnsi="Calibri"/>
          <w:b w:val="0"/>
          <w:color w:val="333333"/>
          <w:sz w:val="18"/>
        </w:rPr>
        <w:t>Course library: iqvia-the-path-to-car-tcell-therapy-white-paper-2025.pdf</w:t>
      </w:r>
    </w:p>
    <w:p>
      <w:pPr>
        <w:pStyle w:val="ListBullet"/>
        <w:spacing w:after="60"/>
      </w:pPr>
      <w:r>
        <w:rPr>
          <w:rFonts w:ascii="Calibri" w:hAnsi="Calibri"/>
          <w:b w:val="0"/>
          <w:color w:val="333333"/>
          <w:sz w:val="18"/>
        </w:rPr>
        <w:t xml:space="preserve">IQVIA </w:t>
      </w:r>
      <w:r>
        <w:rPr>
          <w:rFonts w:ascii="Calibri" w:hAnsi="Calibri"/>
          <w:b/>
          <w:color w:val="333333"/>
          <w:sz w:val="18"/>
        </w:rPr>
        <w:t xml:space="preserve">From Orphan to Opportunity: Mastering Rare Disease Launch Excellence. </w:t>
      </w:r>
      <w:r>
        <w:rPr>
          <w:rFonts w:ascii="Calibri" w:hAnsi="Calibri"/>
          <w:b w:val="0"/>
          <w:color w:val="333333"/>
          <w:sz w:val="18"/>
        </w:rPr>
        <w:t xml:space="preserve">IQVIA white paper, 2025 — course library. </w:t>
      </w:r>
      <w:r>
        <w:rPr>
          <w:rFonts w:ascii="Calibri" w:hAnsi="Calibri"/>
          <w:b w:val="0"/>
          <w:color w:val="333333"/>
          <w:sz w:val="18"/>
        </w:rPr>
        <w:t>Course library: from-orphan-to-opportunity-mastering-rare-disease-launch-excellence.pdf</w:t>
      </w:r>
    </w:p>
    <w:p>
      <w:pPr>
        <w:pStyle w:val="ListBullet"/>
        <w:spacing w:after="60"/>
      </w:pPr>
      <w:r>
        <w:rPr>
          <w:rFonts w:ascii="Calibri" w:hAnsi="Calibri"/>
          <w:b w:val="0"/>
          <w:color w:val="333333"/>
          <w:sz w:val="18"/>
        </w:rPr>
        <w:t xml:space="preserve">Kaplan, E. L. &amp; Meier, P. </w:t>
      </w:r>
      <w:r>
        <w:rPr>
          <w:rFonts w:ascii="Calibri" w:hAnsi="Calibri"/>
          <w:b/>
          <w:color w:val="333333"/>
          <w:sz w:val="18"/>
        </w:rPr>
        <w:t xml:space="preserve">Nonparametric Estimation from Incomplete Observations. </w:t>
      </w:r>
      <w:r>
        <w:rPr>
          <w:rFonts w:ascii="Calibri" w:hAnsi="Calibri"/>
          <w:b w:val="0"/>
          <w:color w:val="333333"/>
          <w:sz w:val="18"/>
        </w:rPr>
        <w:t xml:space="preserve">Journal of the American Statistical Association 53:457–481, 1958. </w:t>
      </w:r>
      <w:r>
        <w:rPr>
          <w:rFonts w:ascii="Calibri" w:hAnsi="Calibri"/>
          <w:b w:val="0"/>
          <w:color w:val="333333"/>
          <w:sz w:val="18"/>
        </w:rPr>
        <w:t>https://doi.org/10.1080/01621459.1958.10501452</w:t>
      </w:r>
    </w:p>
    <w:p>
      <w:pPr>
        <w:pStyle w:val="ListBullet"/>
        <w:spacing w:after="60"/>
      </w:pPr>
      <w:r>
        <w:rPr>
          <w:rFonts w:ascii="Calibri" w:hAnsi="Calibri"/>
          <w:b w:val="0"/>
          <w:color w:val="333333"/>
          <w:sz w:val="18"/>
        </w:rPr>
        <w:t xml:space="preserve">Clark, T. G., Bradburn, M. J., Love, S. B. &amp; Altman, D. G. </w:t>
      </w:r>
      <w:r>
        <w:rPr>
          <w:rFonts w:ascii="Calibri" w:hAnsi="Calibri"/>
          <w:b/>
          <w:color w:val="333333"/>
          <w:sz w:val="18"/>
        </w:rPr>
        <w:t xml:space="preserve">Survival Analysis Part I: Basic concepts and first analyses. </w:t>
      </w:r>
      <w:r>
        <w:rPr>
          <w:rFonts w:ascii="Calibri" w:hAnsi="Calibri"/>
          <w:b w:val="0"/>
          <w:color w:val="333333"/>
          <w:sz w:val="18"/>
        </w:rPr>
        <w:t xml:space="preserve">British Journal of Cancer 89:232–238, 2003. </w:t>
      </w:r>
      <w:r>
        <w:rPr>
          <w:rFonts w:ascii="Calibri" w:hAnsi="Calibri"/>
          <w:b w:val="0"/>
          <w:color w:val="333333"/>
          <w:sz w:val="18"/>
        </w:rPr>
        <w:t>https://doi.org/10.1038/sj.bjc.6601118</w:t>
      </w:r>
    </w:p>
    <w:p>
      <w:pPr>
        <w:pStyle w:val="ListBullet"/>
        <w:spacing w:after="60"/>
      </w:pPr>
      <w:r>
        <w:rPr>
          <w:rFonts w:ascii="Calibri" w:hAnsi="Calibri"/>
          <w:b w:val="0"/>
          <w:color w:val="333333"/>
          <w:sz w:val="18"/>
        </w:rPr>
        <w:t xml:space="preserve">Briggs, A. &amp; Sculpher, M. </w:t>
      </w:r>
      <w:r>
        <w:rPr>
          <w:rFonts w:ascii="Calibri" w:hAnsi="Calibri"/>
          <w:b/>
          <w:color w:val="333333"/>
          <w:sz w:val="18"/>
        </w:rPr>
        <w:t xml:space="preserve">An Introduction to Markov Modelling for Economic Evaluation. </w:t>
      </w:r>
      <w:r>
        <w:rPr>
          <w:rFonts w:ascii="Calibri" w:hAnsi="Calibri"/>
          <w:b w:val="0"/>
          <w:color w:val="333333"/>
          <w:sz w:val="18"/>
        </w:rPr>
        <w:t xml:space="preserve">PharmacoEconomics 13(4):397–409, 1998. </w:t>
      </w:r>
      <w:r>
        <w:rPr>
          <w:rFonts w:ascii="Calibri" w:hAnsi="Calibri"/>
          <w:b w:val="0"/>
          <w:color w:val="333333"/>
          <w:sz w:val="18"/>
        </w:rPr>
        <w:t>https://doi.org/10.2165/00019053-199813040-00003</w:t>
      </w:r>
    </w:p>
    <w:p>
      <w:pPr>
        <w:pStyle w:val="ListBullet"/>
        <w:spacing w:after="60"/>
      </w:pPr>
      <w:r>
        <w:rPr>
          <w:rFonts w:ascii="Calibri" w:hAnsi="Calibri"/>
          <w:b w:val="0"/>
          <w:color w:val="333333"/>
          <w:sz w:val="18"/>
        </w:rPr>
        <w:t xml:space="preserve">Cramer, J. A., Roy, A., Burrell, A., et al. </w:t>
      </w:r>
      <w:r>
        <w:rPr>
          <w:rFonts w:ascii="Calibri" w:hAnsi="Calibri"/>
          <w:b/>
          <w:color w:val="333333"/>
          <w:sz w:val="18"/>
        </w:rPr>
        <w:t xml:space="preserve">Medication Compliance and Persistence: Terminology and Definitions. </w:t>
      </w:r>
      <w:r>
        <w:rPr>
          <w:rFonts w:ascii="Calibri" w:hAnsi="Calibri"/>
          <w:b w:val="0"/>
          <w:color w:val="333333"/>
          <w:sz w:val="18"/>
        </w:rPr>
        <w:t xml:space="preserve">Value in Health 11(1):44–47, 2008. </w:t>
      </w:r>
      <w:r>
        <w:rPr>
          <w:rFonts w:ascii="Calibri" w:hAnsi="Calibri"/>
          <w:b w:val="0"/>
          <w:color w:val="333333"/>
          <w:sz w:val="18"/>
        </w:rPr>
        <w:t>https://doi.org/10.1111/j.1524-4733.2007.00213.x</w:t>
      </w:r>
    </w:p>
    <w:p>
      <w:pPr>
        <w:pStyle w:val="ListBullet"/>
        <w:spacing w:after="60"/>
      </w:pPr>
      <w:r>
        <w:rPr>
          <w:rFonts w:ascii="Calibri" w:hAnsi="Calibri"/>
          <w:b w:val="0"/>
          <w:color w:val="333333"/>
          <w:sz w:val="18"/>
        </w:rPr>
        <w:t xml:space="preserve">Little, J. D. C. </w:t>
      </w:r>
      <w:r>
        <w:rPr>
          <w:rFonts w:ascii="Calibri" w:hAnsi="Calibri"/>
          <w:b/>
          <w:color w:val="333333"/>
          <w:sz w:val="18"/>
        </w:rPr>
        <w:t xml:space="preserve">A Proof for the Queuing Formula: L = λW. </w:t>
      </w:r>
      <w:r>
        <w:rPr>
          <w:rFonts w:ascii="Calibri" w:hAnsi="Calibri"/>
          <w:b w:val="0"/>
          <w:color w:val="333333"/>
          <w:sz w:val="18"/>
        </w:rPr>
        <w:t xml:space="preserve">Operations Research 9(3):383–387, 1961. </w:t>
      </w:r>
      <w:r>
        <w:rPr>
          <w:rFonts w:ascii="Calibri" w:hAnsi="Calibri"/>
          <w:b w:val="0"/>
          <w:color w:val="333333"/>
          <w:sz w:val="18"/>
        </w:rPr>
        <w:t>https://doi.org/10.1287/opre.9.3.383</w:t>
      </w:r>
    </w:p>
    <w:p>
      <w:pPr>
        <w:pStyle w:val="ListBullet"/>
        <w:spacing w:after="60"/>
      </w:pPr>
      <w:r>
        <w:rPr>
          <w:rFonts w:ascii="Calibri" w:hAnsi="Calibri"/>
          <w:b w:val="0"/>
          <w:color w:val="333333"/>
          <w:sz w:val="18"/>
        </w:rPr>
        <w:t xml:space="preserve">Bass, F. M. </w:t>
      </w:r>
      <w:r>
        <w:rPr>
          <w:rFonts w:ascii="Calibri" w:hAnsi="Calibri"/>
          <w:b/>
          <w:color w:val="333333"/>
          <w:sz w:val="18"/>
        </w:rPr>
        <w:t xml:space="preserve">A New Product Growth for Model Consumer Durables. </w:t>
      </w:r>
      <w:r>
        <w:rPr>
          <w:rFonts w:ascii="Calibri" w:hAnsi="Calibri"/>
          <w:b w:val="0"/>
          <w:color w:val="333333"/>
          <w:sz w:val="18"/>
        </w:rPr>
        <w:t xml:space="preserve">Management Science 15(5):215–227, 1969. </w:t>
      </w:r>
      <w:r>
        <w:rPr>
          <w:rFonts w:ascii="Calibri" w:hAnsi="Calibri"/>
          <w:b w:val="0"/>
          <w:color w:val="333333"/>
          <w:sz w:val="18"/>
        </w:rPr>
        <w:t>https://doi.org/10.1287/mnsc.15.5.215</w:t>
      </w:r>
    </w:p>
    <w:p>
      <w:pPr>
        <w:pStyle w:val="ListBullet"/>
        <w:spacing w:after="60"/>
      </w:pPr>
      <w:r>
        <w:rPr>
          <w:rFonts w:ascii="Calibri" w:hAnsi="Calibri"/>
          <w:b w:val="0"/>
          <w:color w:val="333333"/>
          <w:sz w:val="18"/>
        </w:rPr>
        <w:t xml:space="preserve">Kalyanaram, G., Robinson, W. T. &amp; Urban, G. L. </w:t>
      </w:r>
      <w:r>
        <w:rPr>
          <w:rFonts w:ascii="Calibri" w:hAnsi="Calibri"/>
          <w:b/>
          <w:color w:val="333333"/>
          <w:sz w:val="18"/>
        </w:rPr>
        <w:t xml:space="preserve">Order of Market Entry: Established Empirical Generalizations, Emerging Empirical Generalizations, and Future Research. </w:t>
      </w:r>
      <w:r>
        <w:rPr>
          <w:rFonts w:ascii="Calibri" w:hAnsi="Calibri"/>
          <w:b w:val="0"/>
          <w:color w:val="333333"/>
          <w:sz w:val="18"/>
        </w:rPr>
        <w:t xml:space="preserve">Marketing Science 14(3):G212–G221, 1995. </w:t>
      </w:r>
      <w:r>
        <w:rPr>
          <w:rFonts w:ascii="Calibri" w:hAnsi="Calibri"/>
          <w:b w:val="0"/>
          <w:color w:val="333333"/>
          <w:sz w:val="18"/>
        </w:rPr>
        <w:t>https://doi.org/10.1287/mksc.14.3.G212</w:t>
      </w:r>
    </w:p>
    <w:p>
      <w:pPr>
        <w:pStyle w:val="ListBullet"/>
        <w:spacing w:after="60"/>
      </w:pPr>
      <w:r>
        <w:rPr>
          <w:rFonts w:ascii="Calibri" w:hAnsi="Calibri"/>
          <w:b w:val="0"/>
          <w:color w:val="333333"/>
          <w:sz w:val="18"/>
        </w:rPr>
        <w:t xml:space="preserve">Zipf, G. K. </w:t>
      </w:r>
      <w:r>
        <w:rPr>
          <w:rFonts w:ascii="Calibri" w:hAnsi="Calibri"/>
          <w:b/>
          <w:color w:val="333333"/>
          <w:sz w:val="18"/>
        </w:rPr>
        <w:t xml:space="preserve">Human Behavior and the Principle of Least Effort. </w:t>
      </w:r>
      <w:r>
        <w:rPr>
          <w:rFonts w:ascii="Calibri" w:hAnsi="Calibri"/>
          <w:b w:val="0"/>
          <w:color w:val="333333"/>
          <w:sz w:val="18"/>
        </w:rPr>
        <w:t xml:space="preserve">Addison-Wesley, 1949. </w:t>
      </w:r>
      <w:r>
        <w:rPr>
          <w:rFonts w:ascii="Calibri" w:hAnsi="Calibri"/>
          <w:b w:val="0"/>
          <w:color w:val="333333"/>
          <w:sz w:val="18"/>
        </w:rPr>
        <w:t>https://archive.org/details/in.ernet.dli.2015.90211</w:t>
      </w:r>
    </w:p>
    <w:p>
      <w:pPr>
        <w:pStyle w:val="ListBullet"/>
        <w:spacing w:after="60"/>
      </w:pPr>
      <w:r>
        <w:rPr>
          <w:rFonts w:ascii="Calibri" w:hAnsi="Calibri"/>
          <w:b w:val="0"/>
          <w:color w:val="333333"/>
          <w:sz w:val="18"/>
        </w:rPr>
        <w:t xml:space="preserve">Centers for Medicare &amp; Medicaid Services </w:t>
      </w:r>
      <w:r>
        <w:rPr>
          <w:rFonts w:ascii="Calibri" w:hAnsi="Calibri"/>
          <w:b/>
          <w:color w:val="333333"/>
          <w:sz w:val="18"/>
        </w:rPr>
        <w:t xml:space="preserve">Medicare Part D Prescribers — by Provider and Drug (public use file). </w:t>
      </w:r>
      <w:r>
        <w:rPr>
          <w:rFonts w:ascii="Calibri" w:hAnsi="Calibri"/>
          <w:b w:val="0"/>
          <w:color w:val="333333"/>
          <w:sz w:val="18"/>
        </w:rPr>
        <w:t xml:space="preserve">CMS, annual. </w:t>
      </w:r>
      <w:r>
        <w:rPr>
          <w:rFonts w:ascii="Calibri" w:hAnsi="Calibri"/>
          <w:b w:val="0"/>
          <w:color w:val="333333"/>
          <w:sz w:val="18"/>
        </w:rPr>
        <w:t>https://data.cms.gov/provider-summary-by-type-of-service/medicare-part-d-prescribers</w:t>
      </w:r>
    </w:p>
    <w:p>
      <w:pPr>
        <w:pStyle w:val="ListBullet"/>
        <w:spacing w:after="60"/>
      </w:pPr>
      <w:r>
        <w:rPr>
          <w:rFonts w:ascii="Calibri" w:hAnsi="Calibri"/>
          <w:b w:val="0"/>
          <w:color w:val="333333"/>
          <w:sz w:val="18"/>
        </w:rPr>
        <w:t xml:space="preserve">Grabowski, H., Long, G., Mortimer, R. &amp; Bilginsoy, M. </w:t>
      </w:r>
      <w:r>
        <w:rPr>
          <w:rFonts w:ascii="Calibri" w:hAnsi="Calibri"/>
          <w:b/>
          <w:color w:val="333333"/>
          <w:sz w:val="18"/>
        </w:rPr>
        <w:t xml:space="preserve">Continuing trends in U.S. brand-name and generic drug competition. </w:t>
      </w:r>
      <w:r>
        <w:rPr>
          <w:rFonts w:ascii="Calibri" w:hAnsi="Calibri"/>
          <w:b w:val="0"/>
          <w:color w:val="333333"/>
          <w:sz w:val="18"/>
        </w:rPr>
        <w:t xml:space="preserve">Journal of Medical Economics 24(1):908–917, 2021. </w:t>
      </w:r>
      <w:r>
        <w:rPr>
          <w:rFonts w:ascii="Calibri" w:hAnsi="Calibri"/>
          <w:b w:val="0"/>
          <w:color w:val="333333"/>
          <w:sz w:val="18"/>
        </w:rPr>
        <w:t>https://pubmed.ncbi.nlm.nih.gov/34253119/</w:t>
      </w:r>
    </w:p>
    <w:p>
      <w:pPr>
        <w:pStyle w:val="ListBullet"/>
        <w:spacing w:after="60"/>
      </w:pPr>
      <w:r>
        <w:rPr>
          <w:rFonts w:ascii="Calibri" w:hAnsi="Calibri"/>
          <w:b w:val="0"/>
          <w:color w:val="333333"/>
          <w:sz w:val="18"/>
        </w:rPr>
        <w:t xml:space="preserve">IQVIA (Ark Patent Intelligence) </w:t>
      </w:r>
      <w:r>
        <w:rPr>
          <w:rFonts w:ascii="Calibri" w:hAnsi="Calibri"/>
          <w:b/>
          <w:color w:val="333333"/>
          <w:sz w:val="18"/>
        </w:rPr>
        <w:t xml:space="preserve">ADCs in Cancer. </w:t>
      </w:r>
      <w:r>
        <w:rPr>
          <w:rFonts w:ascii="Calibri" w:hAnsi="Calibri"/>
          <w:b w:val="0"/>
          <w:color w:val="333333"/>
          <w:sz w:val="18"/>
        </w:rPr>
        <w:t xml:space="preserve">IQVIA white paper, September 2025 — course library. </w:t>
      </w:r>
      <w:r>
        <w:rPr>
          <w:rFonts w:ascii="Calibri" w:hAnsi="Calibri"/>
          <w:b w:val="0"/>
          <w:color w:val="333333"/>
          <w:sz w:val="18"/>
        </w:rPr>
        <w:t>Course library: iqvia-ark-pi-adc-cancer-whitepaper-09-25-forweb.pdf</w:t>
      </w:r>
    </w:p>
    <w:p>
      <w:pPr>
        <w:pStyle w:val="ListBullet"/>
        <w:spacing w:after="60"/>
      </w:pPr>
      <w:r>
        <w:rPr>
          <w:rFonts w:ascii="Calibri" w:hAnsi="Calibri"/>
          <w:b w:val="0"/>
          <w:color w:val="333333"/>
          <w:sz w:val="18"/>
        </w:rPr>
        <w:t xml:space="preserve">Hyndman, R. J. &amp; Athanasopoulos, G. </w:t>
      </w:r>
      <w:r>
        <w:rPr>
          <w:rFonts w:ascii="Calibri" w:hAnsi="Calibri"/>
          <w:b/>
          <w:color w:val="333333"/>
          <w:sz w:val="18"/>
        </w:rPr>
        <w:t xml:space="preserve">Forecasting: Principles and Practice (3rd ed.). </w:t>
      </w:r>
      <w:r>
        <w:rPr>
          <w:rFonts w:ascii="Calibri" w:hAnsi="Calibri"/>
          <w:b w:val="0"/>
          <w:color w:val="333333"/>
          <w:sz w:val="18"/>
        </w:rPr>
        <w:t xml:space="preserve">OTexts, 2021 (free online). </w:t>
      </w:r>
      <w:r>
        <w:rPr>
          <w:rFonts w:ascii="Calibri" w:hAnsi="Calibri"/>
          <w:b w:val="0"/>
          <w:color w:val="333333"/>
          <w:sz w:val="18"/>
        </w:rPr>
        <w:t>https://otexts.com/fpp3/</w:t>
      </w:r>
    </w:p>
    <w:p>
      <w:pPr>
        <w:pStyle w:val="ListBullet"/>
        <w:spacing w:after="60"/>
      </w:pPr>
      <w:r>
        <w:rPr>
          <w:rFonts w:ascii="Calibri" w:hAnsi="Calibri"/>
          <w:b w:val="0"/>
          <w:color w:val="333333"/>
          <w:sz w:val="18"/>
        </w:rPr>
        <w:t xml:space="preserve">Ansari, A. F., Stella, L., Turkmen, C., et al. (Amazon) </w:t>
      </w:r>
      <w:r>
        <w:rPr>
          <w:rFonts w:ascii="Calibri" w:hAnsi="Calibri"/>
          <w:b/>
          <w:color w:val="333333"/>
          <w:sz w:val="18"/>
        </w:rPr>
        <w:t xml:space="preserve">Chronos: Learning the Language of Time Series. </w:t>
      </w:r>
      <w:r>
        <w:rPr>
          <w:rFonts w:ascii="Calibri" w:hAnsi="Calibri"/>
          <w:b w:val="0"/>
          <w:color w:val="333333"/>
          <w:sz w:val="18"/>
        </w:rPr>
        <w:t xml:space="preserve">Transactions on Machine Learning Research, 2024. </w:t>
      </w:r>
      <w:r>
        <w:rPr>
          <w:rFonts w:ascii="Calibri" w:hAnsi="Calibri"/>
          <w:b w:val="0"/>
          <w:color w:val="333333"/>
          <w:sz w:val="18"/>
        </w:rPr>
        <w:t>https://arxiv.org/abs/2403.07815</w:t>
      </w:r>
    </w:p>
    <w:p>
      <w:pPr>
        <w:pStyle w:val="ListBullet"/>
        <w:spacing w:after="60"/>
      </w:pPr>
      <w:r>
        <w:rPr>
          <w:rFonts w:ascii="Calibri" w:hAnsi="Calibri"/>
          <w:b w:val="0"/>
          <w:color w:val="333333"/>
          <w:sz w:val="18"/>
        </w:rPr>
        <w:t xml:space="preserve">Das, A., Kong, W., Sen, R. &amp; Zhou, Y. (Google) </w:t>
      </w:r>
      <w:r>
        <w:rPr>
          <w:rFonts w:ascii="Calibri" w:hAnsi="Calibri"/>
          <w:b/>
          <w:color w:val="333333"/>
          <w:sz w:val="18"/>
        </w:rPr>
        <w:t xml:space="preserve">A decoder-only foundation model for time-series forecasting. </w:t>
      </w:r>
      <w:r>
        <w:rPr>
          <w:rFonts w:ascii="Calibri" w:hAnsi="Calibri"/>
          <w:b w:val="0"/>
          <w:color w:val="333333"/>
          <w:sz w:val="18"/>
        </w:rPr>
        <w:t xml:space="preserve">ICML 2024. </w:t>
      </w:r>
      <w:r>
        <w:rPr>
          <w:rFonts w:ascii="Calibri" w:hAnsi="Calibri"/>
          <w:b w:val="0"/>
          <w:color w:val="333333"/>
          <w:sz w:val="18"/>
        </w:rPr>
        <w:t>https://arxiv.org/abs/2310.10688</w:t>
      </w:r>
    </w:p>
    <w:p>
      <w:pPr>
        <w:pStyle w:val="ListBullet"/>
        <w:spacing w:after="60"/>
      </w:pPr>
      <w:r>
        <w:rPr>
          <w:rFonts w:ascii="Calibri" w:hAnsi="Calibri"/>
          <w:b w:val="0"/>
          <w:color w:val="333333"/>
          <w:sz w:val="18"/>
        </w:rPr>
        <w:t xml:space="preserve">Rasul, K., Ashok, A., Williams, A. R., et al. </w:t>
      </w:r>
      <w:r>
        <w:rPr>
          <w:rFonts w:ascii="Calibri" w:hAnsi="Calibri"/>
          <w:b/>
          <w:color w:val="333333"/>
          <w:sz w:val="18"/>
        </w:rPr>
        <w:t xml:space="preserve">Lag-Llama: Towards Foundation Models for Probabilistic Time Series Forecasting. </w:t>
      </w:r>
      <w:r>
        <w:rPr>
          <w:rFonts w:ascii="Calibri" w:hAnsi="Calibri"/>
          <w:b w:val="0"/>
          <w:color w:val="333333"/>
          <w:sz w:val="18"/>
        </w:rPr>
        <w:t xml:space="preserve">arXiv preprint, 2023. </w:t>
      </w:r>
      <w:r>
        <w:rPr>
          <w:rFonts w:ascii="Calibri" w:hAnsi="Calibri"/>
          <w:b w:val="0"/>
          <w:color w:val="333333"/>
          <w:sz w:val="18"/>
        </w:rPr>
        <w:t>https://arxiv.org/abs/2310.08278</w:t>
      </w:r>
    </w:p>
    <w:p>
      <w:pPr>
        <w:pStyle w:val="ListBullet"/>
        <w:spacing w:after="60"/>
      </w:pPr>
      <w:r>
        <w:rPr>
          <w:rFonts w:ascii="Calibri" w:hAnsi="Calibri"/>
          <w:b w:val="0"/>
          <w:color w:val="333333"/>
          <w:sz w:val="18"/>
        </w:rPr>
        <w:t xml:space="preserve">Garza, A., Challu, C. &amp; Mergenthaler-Canseco, M. (Nixtla) </w:t>
      </w:r>
      <w:r>
        <w:rPr>
          <w:rFonts w:ascii="Calibri" w:hAnsi="Calibri"/>
          <w:b/>
          <w:color w:val="333333"/>
          <w:sz w:val="18"/>
        </w:rPr>
        <w:t xml:space="preserve">TimeGPT-1. </w:t>
      </w:r>
      <w:r>
        <w:rPr>
          <w:rFonts w:ascii="Calibri" w:hAnsi="Calibri"/>
          <w:b w:val="0"/>
          <w:color w:val="333333"/>
          <w:sz w:val="18"/>
        </w:rPr>
        <w:t xml:space="preserve">arXiv preprint, 2023 (vendor technical report). </w:t>
      </w:r>
      <w:r>
        <w:rPr>
          <w:rFonts w:ascii="Calibri" w:hAnsi="Calibri"/>
          <w:b w:val="0"/>
          <w:color w:val="333333"/>
          <w:sz w:val="18"/>
        </w:rPr>
        <w:t>https://arxiv.org/abs/2310.03589</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Week 6 Forecasting Field Guide · Applied Data Science and AI in Pharma Commercial · Columbia DSI · Fall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 Cupallari</dc:creator>
  <cp:keywords/>
  <dc:description/>
  <cp:lastModifiedBy>Andi Cupallari</cp:lastModifiedBy>
  <cp:revision>1</cp:revision>
  <dcterms:created xsi:type="dcterms:W3CDTF">2026-10-18T20:01:53Z</dcterms:created>
  <dcterms:modified xsi:type="dcterms:W3CDTF">2026-10-18T20:01:53Z</dcterms:modified>
  <cp:category/>
</cp:coreProperties>
</file>