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Homework 2: A Forecast for VELTRAXA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Relapsed/refractory mantle cell lymphoma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Released Monday, October 19, 2026 · Due Monday, November 2, 2026, 11:59 PM ET · 10% of the course grade · Individual</w:t>
      </w:r>
    </w:p>
    <w:p>
      <w:pPr>
        <w:spacing w:after="160"/>
        <w:pBdr>
          <w:bottom w:val="single" w:sz="8" w:space="1" w:color="1E2761"/>
        </w:pBdr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1. The brief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VELTRAXA is a fictional once-daily oral BTK degrader launching in July 2027 for relapsed/refractory mantle cell lymphoma after at least one prior line (2L+). The brand forecaster needs: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a monthly budget for July 2027 to December 2028;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a long-range plan to 2035, with a low, base and high case;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2"/>
        </w:rPr>
        <w:t>an answer to one question: the plan of record says $180M in 2029. Is that reachable, and what would have to be true?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Use the model from class. Grading rewards clear, well-supported assumptions, not model complexity. All data are synthetic.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2. Data (data/homework2/)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c>
          <w:tcPr>
            <w:tcW w:type="dxa" w:w="37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61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mcl_epi_inputs.csv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New MCL cases per year (sum the age bands)</w:t>
            </w:r>
          </w:p>
        </w:tc>
      </w:tr>
      <w:tr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mcl_treatment_funnel.csv</w:t>
            </w:r>
          </w:p>
        </w:tc>
        <w:tc>
          <w:tcPr>
            <w:tcW w:type="dxa" w:w="61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Diagnosed, treated and progression rates, with ranges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mcl_market_monthly.csv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Observed 2L and 3L+ starts, 2019–2026, to check your funnel</w:t>
            </w:r>
          </w:p>
        </w:tc>
      </w:tr>
      <w:tr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mcl_market_by_region.csv</w:t>
            </w:r>
          </w:p>
        </w:tc>
        <w:tc>
          <w:tcPr>
            <w:tcW w:type="dxa" w:w="61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Regional shares for the top-down split</w:t>
            </w:r>
          </w:p>
        </w:tc>
      </w:tr>
      <w:tr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mcl_analog_launches_monthly.csv, _attributes.csv</w:t>
            </w:r>
          </w:p>
        </w:tc>
        <w:tc>
          <w:tcPr>
            <w:tcW w:type="dxa" w:w="61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Six analog launches: peak share and uptake by year</w:t>
            </w:r>
          </w:p>
        </w:tc>
      </w:tr>
      <w:tr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veltraxa_assumptions.csv</w:t>
            </w:r>
          </w:p>
        </w:tc>
        <w:tc>
          <w:tcPr>
            <w:tcW w:type="dxa" w:w="61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Starter assumption book: launch, price, gross-to-net, compliance, patent expiry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You may start from Week_06_LYMBREXA_Forecast_Model.xlsx or the class notebook. Change any assumption, but record why. Do not change the data.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3. Tasks</w:t>
      </w:r>
    </w:p>
    <w:p>
      <w:pPr>
        <w:pStyle w:val="ListNumber"/>
        <w:spacing w:after="60"/>
      </w:pPr>
      <w:r>
        <w:rPr>
          <w:rFonts w:ascii="Calibri" w:hAnsi="Calibri"/>
          <w:b/>
          <w:color w:val="333333"/>
          <w:sz w:val="22"/>
        </w:rPr>
        <w:t xml:space="preserve">Assumption book (30 pts). </w:t>
      </w:r>
      <w:r>
        <w:rPr>
          <w:rFonts w:ascii="Calibri" w:hAnsi="Calibri"/>
          <w:b w:val="0"/>
          <w:color w:val="333333"/>
          <w:sz w:val="22"/>
        </w:rPr>
        <w:t>At least 20 rows in the class format (ID, category, assumption, unit, low, base, high, source type, source, reason). Every number in the model traces to a row. Support the key rows with the data: progression rates from the funnel file, peak share and uptake from the analogs and the order-of-entry rule, months on therapy from the label and analogs.</w:t>
      </w:r>
    </w:p>
    <w:p>
      <w:pPr>
        <w:pStyle w:val="ListNumber"/>
        <w:spacing w:after="60"/>
      </w:pPr>
      <w:r>
        <w:rPr>
          <w:rFonts w:ascii="Calibri" w:hAnsi="Calibri"/>
          <w:b/>
          <w:color w:val="333333"/>
          <w:sz w:val="22"/>
        </w:rPr>
        <w:t xml:space="preserve">Funnel and brand forecast (25 pts). </w:t>
      </w:r>
      <w:r>
        <w:rPr>
          <w:rFonts w:ascii="Calibri" w:hAnsi="Calibri"/>
          <w:b w:val="0"/>
          <w:color w:val="333333"/>
          <w:sz w:val="22"/>
        </w:rPr>
        <w:t>Annual, 2023–2035: new cases, 1L, 2L and 3L+ starts, new VELTRAXA patients, patients on therapy, net revenue. State the model type (incidence or prevalence; flow or stock). Show that the funnel matches the 2025 market within about 10%, or explain the gap.</w:t>
      </w:r>
    </w:p>
    <w:p>
      <w:pPr>
        <w:pStyle w:val="ListNumber"/>
        <w:spacing w:after="60"/>
      </w:pPr>
      <w:r>
        <w:rPr>
          <w:rFonts w:ascii="Calibri" w:hAnsi="Calibri"/>
          <w:b/>
          <w:color w:val="333333"/>
          <w:sz w:val="22"/>
        </w:rPr>
        <w:t xml:space="preserve">Ranges (15 pts). </w:t>
      </w:r>
      <w:r>
        <w:rPr>
          <w:rFonts w:ascii="Calibri" w:hAnsi="Calibri"/>
          <w:b w:val="0"/>
          <w:color w:val="333333"/>
          <w:sz w:val="22"/>
        </w:rPr>
        <w:t>Low, base and high scenarios, and a tornado chart for 2029 revenue. Name the three assumptions that matter most.</w:t>
      </w:r>
    </w:p>
    <w:p>
      <w:pPr>
        <w:pStyle w:val="ListNumber"/>
        <w:spacing w:after="60"/>
      </w:pPr>
      <w:r>
        <w:rPr>
          <w:rFonts w:ascii="Calibri" w:hAnsi="Calibri"/>
          <w:b/>
          <w:color w:val="333333"/>
          <w:sz w:val="22"/>
        </w:rPr>
        <w:t xml:space="preserve">Checks (10 pts). </w:t>
      </w:r>
      <w:r>
        <w:rPr>
          <w:rFonts w:ascii="Calibri" w:hAnsi="Calibri"/>
          <w:b w:val="0"/>
          <w:color w:val="333333"/>
          <w:sz w:val="22"/>
        </w:rPr>
        <w:t>Compare a simple trend of 2L+ starts with your funnel for 2027–28. Split 2028 new patients by region so the regions sum to the national total.</w:t>
      </w:r>
    </w:p>
    <w:p>
      <w:pPr>
        <w:pStyle w:val="ListNumber"/>
        <w:spacing w:after="60"/>
      </w:pPr>
      <w:r>
        <w:rPr>
          <w:rFonts w:ascii="Calibri" w:hAnsi="Calibri"/>
          <w:b/>
          <w:color w:val="333333"/>
          <w:sz w:val="22"/>
        </w:rPr>
        <w:t xml:space="preserve">Memo (20 pts). </w:t>
      </w:r>
      <w:r>
        <w:rPr>
          <w:rFonts w:ascii="Calibri" w:hAnsi="Calibri"/>
          <w:b w:val="0"/>
          <w:color w:val="333333"/>
          <w:sz w:val="22"/>
        </w:rPr>
        <w:t>Two pages to the brand forecaster: the forecast and its range in one chart; the three key assumptions and the evidence that would change each; your answer on $180M; what you would research in the next 90 days. Include the monthly budget and the annual long-range plan from the same model, with the phasing assumption stated.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Note on duration. </w:t>
      </w:r>
      <w:r>
        <w:rPr>
          <w:rFonts w:ascii="Calibri" w:hAnsi="Calibri"/>
          <w:b w:val="0"/>
          <w:i w:val="0"/>
          <w:color w:val="333333"/>
          <w:sz w:val="22"/>
        </w:rPr>
        <w:t>VELTRAXA is taken until progression, so many patients stay on it for more than a year. Booking all of a patient's revenue in the start year is acceptable; record it as an assumption.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Bonus (+5). </w:t>
      </w:r>
      <w:r>
        <w:rPr>
          <w:rFonts w:ascii="Calibri" w:hAnsi="Calibri"/>
          <w:b w:val="0"/>
          <w:i w:val="0"/>
          <w:color w:val="333333"/>
          <w:sz w:val="22"/>
        </w:rPr>
        <w:t>Add a foundation-model forecast of 2L+ starts (e.g., Chronos-Bolt) next to your trend check, with one paragraph comparing the two.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4. Submission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752"/>
      </w:tblGrid>
      <w:tr>
        <w:tc>
          <w:tcPr>
            <w:tcW w:type="dxa" w:w="518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7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File name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Model: Excel workbook or executed notebook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HW2_&lt;uni&gt;_model.xlsx or HW2_&lt;uni&gt;.ipynb</w:t>
            </w:r>
          </w:p>
        </w:tc>
      </w:tr>
      <w:tr>
        <w:tc>
          <w:tcPr>
            <w:tcW w:type="dxa" w:w="51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Assumption book</w:t>
            </w:r>
          </w:p>
        </w:tc>
        <w:tc>
          <w:tcPr>
            <w:tcW w:type="dxa" w:w="47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HW2_&lt;uni&gt;_assumptions.csv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Memo (PDF, 2 pages)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HW2_&lt;uni&gt;_memo.pdf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Submit on the course site. Late work, collaboration and AI use follow the syllabus policies. Questions posted on the course forum by Friday, October 30 are answered before the deadline.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5.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64"/>
        <w:gridCol w:w="3744"/>
        <w:gridCol w:w="3168"/>
      </w:tblGrid>
      <w:tr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37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Full credit</w:t>
            </w:r>
          </w:p>
        </w:tc>
        <w:tc>
          <w:tcPr>
            <w:tcW w:type="dxa" w:w="316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Common deductions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Assumption book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30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20+ rows; every number sourced or reasoned; key rows supported by data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Unsourced numbers; unexplained ranges; model inputs missing from the book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Funnel and forecast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25</w:t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Correct chain with a one-year lag; model type stated; 2025 check</w:t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Share applied to all patients instead of line starts; no lag; list price used as net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Ranges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15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Scenarios and tornado; top three assumptions named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 single number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Checks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10</w:t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Trend compared with funnel; regions sum to national</w:t>
            </w:r>
          </w:p>
        </w:tc>
        <w:tc>
          <w:tcPr>
            <w:tcW w:type="dxa" w:w="31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Regions that do not add up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7"/>
              </w:rPr>
              <w:t>Memo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20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Answer and range first; three assumptions; clear $180M verdict; 90-day plan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7"/>
              </w:rPr>
              <w:t>Describes the steps instead of answering; no range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Homework 2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Cupallari</dc:creator>
  <cp:keywords/>
  <dc:description/>
  <cp:lastModifiedBy>Andi Cupallari</cp:lastModifiedBy>
  <cp:revision>1</cp:revision>
  <dcterms:created xsi:type="dcterms:W3CDTF">2026-10-18T20:01:38Z</dcterms:created>
  <dcterms:modified xsi:type="dcterms:W3CDTF">2026-10-18T20:01:38Z</dcterms:modified>
  <cp:category/>
</cp:coreProperties>
</file>