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/>
          <w:b/>
          <w:i w:val="0"/>
          <w:color w:val="1E2761"/>
          <w:sz w:val="44"/>
        </w:rPr>
        <w:t>Week 6 — In-Class Exercise</w:t>
      </w:r>
    </w:p>
    <w:p>
      <w:pPr>
        <w:spacing w:after="80" w:before="0"/>
      </w:pPr>
      <w:r>
        <w:rPr>
          <w:rFonts w:ascii="Calibri" w:hAnsi="Calibri"/>
          <w:b/>
          <w:i w:val="0"/>
          <w:color w:val="1E2761"/>
          <w:sz w:val="28"/>
        </w:rPr>
        <w:t>The funnel by hand · writing assumptions · which model</w:t>
      </w:r>
    </w:p>
    <w:p>
      <w:pPr>
        <w:spacing w:after="80" w:before="0"/>
      </w:pPr>
      <w:r>
        <w:rPr>
          <w:rFonts w:ascii="Calibri" w:hAnsi="Calibri"/>
          <w:b w:val="0"/>
          <w:i w:val="0"/>
          <w:color w:val="666666"/>
          <w:sz w:val="22"/>
        </w:rPr>
        <w:t>Applied Data Science and AI in Pharma Commercial · Columbia University · Fall 2026</w:t>
      </w:r>
    </w:p>
    <w:p>
      <w:pPr>
        <w:spacing w:after="40" w:before="0"/>
      </w:pPr>
      <w:r>
        <w:rPr>
          <w:rFonts w:ascii="Calibri" w:hAnsi="Calibri"/>
          <w:b/>
          <w:i w:val="0"/>
          <w:color w:val="333333"/>
          <w:sz w:val="22"/>
        </w:rPr>
        <w:t>Monday, October 19, 2026 · 20 minutes · groups of 3–4 · one worksheet per group</w:t>
      </w:r>
    </w:p>
    <w:p>
      <w:pPr>
        <w:spacing w:after="160"/>
        <w:pBdr>
          <w:bottom w:val="single" w:sz="8" w:space="1" w:color="1E2761"/>
        </w:pBdr>
      </w:pPr>
    </w:p>
    <w:p>
      <w:pPr>
        <w:spacing w:after="120" w:before="0"/>
      </w:pPr>
      <w:r>
        <w:rPr>
          <w:rFonts w:ascii="Calibri" w:hAnsi="Calibri"/>
          <w:b w:val="0"/>
          <w:i/>
          <w:color w:val="666666"/>
          <w:sz w:val="21"/>
        </w:rPr>
        <w:t>All data are synthetic. LYMBREXA is a fictional third-in-class CD20×CD3 bispecific for 3L+ DLBCL, launching January 2027. Numbers are rounded; the point is the logic, not the decimals.</w:t>
      </w:r>
    </w:p>
    <w:p>
      <w:pPr>
        <w:keepNext/>
        <w:spacing w:after="80" w:before="240"/>
      </w:pPr>
      <w:r>
        <w:rPr>
          <w:rFonts w:ascii="Calibri" w:hAnsi="Calibri"/>
          <w:b/>
          <w:i w:val="0"/>
          <w:color w:val="1E2761"/>
          <w:sz w:val="30"/>
        </w:rPr>
        <w:t>Part A · The funnel by hand (8 minutes)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333333"/>
          <w:sz w:val="22"/>
        </w:rPr>
        <w:t>Compute LYMBREXA's 2027 numbers with the same formulas as the model. Progression takes one year, so 2027's 2L and 3L+ starts come from 2026's patients.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3456"/>
        <w:gridCol w:w="2736"/>
        <w:gridCol w:w="1440"/>
      </w:tblGrid>
      <w:tr>
        <w:tc>
          <w:tcPr>
            <w:tcW w:type="dxa" w:w="2304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3456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Formula</w:t>
            </w:r>
          </w:p>
        </w:tc>
        <w:tc>
          <w:tcPr>
            <w:tcW w:type="dxa" w:w="2736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Inputs</w:t>
            </w:r>
          </w:p>
        </w:tc>
        <w:tc>
          <w:tcPr>
            <w:tcW w:type="dxa" w:w="1440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A1. 1L patients 2027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  <w:t>new cases × diagnosed × treated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  <w:t>22,910 × 97% × 86%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</w:r>
          </w:p>
        </w:tc>
      </w:tr>
      <w:tr>
        <w:tc>
          <w:tcPr>
            <w:tcW w:type="dxa" w:w="230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A2. 2L starts 2027</w:t>
            </w:r>
          </w:p>
        </w:tc>
        <w:tc>
          <w:tcPr>
            <w:tcW w:type="dxa" w:w="3456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  <w:t>1L patients 2026 × progress to 2L</w:t>
            </w:r>
          </w:p>
        </w:tc>
        <w:tc>
          <w:tcPr>
            <w:tcW w:type="dxa" w:w="2736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  <w:t>18,690 × 31%</w:t>
            </w:r>
          </w:p>
        </w:tc>
        <w:tc>
          <w:tcPr>
            <w:tcW w:type="dxa" w:w="1440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A3. 3L+ starts 2027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  <w:t>2L starts 2026 × progress to 3L × later lines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  <w:t>5,670 × 50% × 1.24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</w:r>
          </w:p>
        </w:tc>
      </w:tr>
      <w:tr>
        <w:tc>
          <w:tcPr>
            <w:tcW w:type="dxa" w:w="230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A4. New patients 2027</w:t>
            </w:r>
          </w:p>
        </w:tc>
        <w:tc>
          <w:tcPr>
            <w:tcW w:type="dxa" w:w="3456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  <w:t>3L+ starts × peak share × year-1 uptake × coverage</w:t>
            </w:r>
          </w:p>
        </w:tc>
        <w:tc>
          <w:tcPr>
            <w:tcW w:type="dxa" w:w="2736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  <w:t>A3 × 15% × 30% × 70%</w:t>
            </w:r>
          </w:p>
        </w:tc>
        <w:tc>
          <w:tcPr>
            <w:tcW w:type="dxa" w:w="1440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A5. Patients on therapy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  <w:t>new patients × months on therapy ÷ 12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  <w:t>A4 × 6 ÷ 12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</w:r>
          </w:p>
        </w:tc>
      </w:tr>
      <w:tr>
        <w:tc>
          <w:tcPr>
            <w:tcW w:type="dxa" w:w="230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A6. Net revenue 2027</w:t>
            </w:r>
          </w:p>
        </w:tc>
        <w:tc>
          <w:tcPr>
            <w:tcW w:type="dxa" w:w="3456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  <w:t>new patients × months × compliance × price × gross-to-net</w:t>
            </w:r>
          </w:p>
        </w:tc>
        <w:tc>
          <w:tcPr>
            <w:tcW w:type="dxa" w:w="2736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  <w:t>A4 × 6 × 95% × $18,500 × 76%</w:t>
            </w:r>
          </w:p>
        </w:tc>
        <w:tc>
          <w:tcPr>
            <w:tcW w:type="dxa" w:w="1440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</w:r>
          </w:p>
        </w:tc>
      </w:tr>
    </w:tbl>
    <w:p>
      <w:pPr>
        <w:spacing w:after="80"/>
      </w:pPr>
    </w:p>
    <w:p>
      <w:pPr>
        <w:spacing w:after="120" w:before="0"/>
      </w:pPr>
      <w:r>
        <w:rPr>
          <w:rFonts w:ascii="Calibri" w:hAnsi="Calibri"/>
          <w:b/>
          <w:i w:val="0"/>
          <w:color w:val="333333"/>
          <w:sz w:val="22"/>
        </w:rPr>
        <w:t xml:space="preserve">A7. </w:t>
      </w:r>
      <w:r>
        <w:rPr>
          <w:rFonts w:ascii="Calibri" w:hAnsi="Calibri"/>
          <w:b w:val="0"/>
          <w:i w:val="0"/>
          <w:color w:val="333333"/>
          <w:sz w:val="22"/>
        </w:rPr>
        <w:t>Why is A5 smaller than A4? Which of the two does supply plan on, and which is the sales team paid on? One line.</w:t>
      </w:r>
    </w:p>
    <w:p>
      <w:pPr>
        <w:spacing w:after="120" w:before="0"/>
      </w:pPr>
      <w:r>
        <w:rPr>
          <w:rFonts w:ascii="Calibri" w:hAnsi="Calibri"/>
          <w:b/>
          <w:i w:val="0"/>
          <w:color w:val="333333"/>
          <w:sz w:val="22"/>
        </w:rPr>
        <w:t xml:space="preserve">A8. </w:t>
      </w:r>
      <w:r>
        <w:rPr>
          <w:rFonts w:ascii="Calibri" w:hAnsi="Calibri"/>
          <w:b w:val="0"/>
          <w:i w:val="0"/>
          <w:color w:val="333333"/>
          <w:sz w:val="22"/>
        </w:rPr>
        <w:t>Which single assumption would you research first, and where would you look? One line.</w:t>
      </w:r>
    </w:p>
    <w:p>
      <w:pPr>
        <w:keepNext/>
        <w:spacing w:after="80" w:before="240"/>
      </w:pPr>
      <w:r>
        <w:rPr>
          <w:rFonts w:ascii="Calibri" w:hAnsi="Calibri"/>
          <w:b/>
          <w:i w:val="0"/>
          <w:color w:val="1E2761"/>
          <w:sz w:val="30"/>
        </w:rPr>
        <w:t>Part B · Write three assumptions (7 minutes)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333333"/>
          <w:sz w:val="22"/>
        </w:rPr>
        <w:t>Fill one row each for peak share of 3L+ starts, year-1 uptake, and average months on therapy. Use the evidence below. Give low / base / high, the source type, and a one-line reason.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44"/>
        <w:gridCol w:w="6192"/>
      </w:tblGrid>
      <w:tr>
        <w:tc>
          <w:tcPr>
            <w:tcW w:type="dxa" w:w="3744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Evidence</w:t>
            </w:r>
          </w:p>
        </w:tc>
        <w:tc>
          <w:tcPr>
            <w:tcW w:type="dxa" w:w="6192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What it says</w:t>
            </w:r>
          </w:p>
        </w:tc>
      </w:tr>
      <w:tr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Order of entry (Kalyanaram, Robinson &amp; Urban 1995)</w:t>
            </w:r>
          </w:p>
        </w:tc>
        <w:tc>
          <w:tcPr>
            <w:tcW w:type="dxa" w:w="6192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  <w:t>entrant share ≈ pioneer share ÷ √(order of entry). The first bispecific's peak share: 26%.</w:t>
            </w:r>
          </w:p>
        </w:tc>
      </w:tr>
      <w:tr>
        <w:tc>
          <w:tcPr>
            <w:tcW w:type="dxa" w:w="374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Analog launches: share of peak in year 1</w:t>
            </w:r>
          </w:p>
        </w:tc>
        <w:tc>
          <w:tcPr>
            <w:tcW w:type="dxa" w:w="6192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  <w:t>outpatient bispecifics 24–37%; CAR-T 8–12% (63% of eligible patients never referred — IQVIA 2025)</w:t>
            </w:r>
          </w:p>
        </w:tc>
      </w:tr>
      <w:tr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Months on therapy (Kaplan–Meier, three analog regimens)</w:t>
            </w:r>
          </w:p>
        </w:tc>
        <w:tc>
          <w:tcPr>
            <w:tcW w:type="dxa" w:w="6192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  <w:t>means 5.9, 8.3 and 9.4 months; LYMBREXA's label: fixed course of 8 monthly cycles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864"/>
        <w:gridCol w:w="864"/>
        <w:gridCol w:w="864"/>
        <w:gridCol w:w="1728"/>
        <w:gridCol w:w="3168"/>
      </w:tblGrid>
      <w:tr>
        <w:tc>
          <w:tcPr>
            <w:tcW w:type="dxa" w:w="2448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Assumption</w:t>
            </w:r>
          </w:p>
        </w:tc>
        <w:tc>
          <w:tcPr>
            <w:tcW w:type="dxa" w:w="864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Low</w:t>
            </w:r>
          </w:p>
        </w:tc>
        <w:tc>
          <w:tcPr>
            <w:tcW w:type="dxa" w:w="864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Base</w:t>
            </w:r>
          </w:p>
        </w:tc>
        <w:tc>
          <w:tcPr>
            <w:tcW w:type="dxa" w:w="864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High</w:t>
            </w:r>
          </w:p>
        </w:tc>
        <w:tc>
          <w:tcPr>
            <w:tcW w:type="dxa" w:w="1728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Source type</w:t>
            </w:r>
          </w:p>
        </w:tc>
        <w:tc>
          <w:tcPr>
            <w:tcW w:type="dxa" w:w="3168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Peak share of 3L+ starts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</w:r>
          </w:p>
        </w:tc>
      </w:tr>
      <w:tr>
        <w:tc>
          <w:tcPr>
            <w:tcW w:type="dxa" w:w="2448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Year-1 uptake (share of peak)</w:t>
            </w:r>
          </w:p>
        </w:tc>
        <w:tc>
          <w:tcPr>
            <w:tcW w:type="dxa" w:w="86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</w:r>
          </w:p>
        </w:tc>
        <w:tc>
          <w:tcPr>
            <w:tcW w:type="dxa" w:w="86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</w:r>
          </w:p>
        </w:tc>
        <w:tc>
          <w:tcPr>
            <w:tcW w:type="dxa" w:w="86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</w:r>
          </w:p>
        </w:tc>
        <w:tc>
          <w:tcPr>
            <w:tcW w:type="dxa" w:w="1728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</w:r>
          </w:p>
        </w:tc>
        <w:tc>
          <w:tcPr>
            <w:tcW w:type="dxa" w:w="3168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Months on therapy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</w:r>
          </w:p>
        </w:tc>
      </w:tr>
    </w:tbl>
    <w:p>
      <w:pPr>
        <w:spacing w:after="80"/>
      </w:pPr>
    </w:p>
    <w:p>
      <w:pPr>
        <w:keepNext/>
        <w:spacing w:after="80" w:before="240"/>
      </w:pPr>
      <w:r>
        <w:rPr>
          <w:rFonts w:ascii="Calibri" w:hAnsi="Calibri"/>
          <w:b/>
          <w:i w:val="0"/>
          <w:color w:val="1E2761"/>
          <w:sz w:val="30"/>
        </w:rPr>
        <w:t>Part C · Which model (5 minutes)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333333"/>
          <w:sz w:val="22"/>
        </w:rPr>
        <w:t>For each situation: incidence or prevalence; flow or stock; budget or long-range plan; and the simplest method that works.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5616"/>
      </w:tblGrid>
      <w:tr>
        <w:tc>
          <w:tcPr>
            <w:tcW w:type="dxa" w:w="4320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Situation</w:t>
            </w:r>
          </w:p>
        </w:tc>
        <w:tc>
          <w:tcPr>
            <w:tcW w:type="dxa" w:w="5616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Answer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1. A diabetes brand in year 4; no launches or patent expiry coming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</w:r>
          </w:p>
        </w:tc>
      </w:tr>
      <w:tr>
        <w:tc>
          <w:tcPr>
            <w:tcW w:type="dxa" w:w="4320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2. A gene therapy for an ultra-rare disease, ~400 US patients</w:t>
            </w:r>
          </w:p>
        </w:tc>
        <w:tc>
          <w:tcPr>
            <w:tcW w:type="dxa" w:w="5616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3. An oral brand 9 months from patent expiry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</w:r>
          </w:p>
        </w:tc>
      </w:tr>
      <w:tr>
        <w:tc>
          <w:tcPr>
            <w:tcW w:type="dxa" w:w="4320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4. Monthly targets for 2,000 accounts of an in-line brand</w:t>
            </w:r>
          </w:p>
        </w:tc>
        <w:tc>
          <w:tcPr>
            <w:tcW w:type="dxa" w:w="5616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5. A 3L+ oncology brand gaining a 2L label next year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</w:r>
          </w:p>
        </w:tc>
      </w:tr>
      <w:tr>
        <w:tc>
          <w:tcPr>
            <w:tcW w:type="dxa" w:w="4320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6. A competitor reads out Phase 3 against your brand next spring</w:t>
            </w:r>
          </w:p>
        </w:tc>
        <w:tc>
          <w:tcPr>
            <w:tcW w:type="dxa" w:w="5616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17"/>
      </w:rPr>
      <w:t>Week 6 In-Class Exercise · Applied Data Science and AI in Pharma Commercial · Columbia DSI · Fall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Andi Cupallari</dc:creator>
  <cp:keywords/>
  <dc:description/>
  <cp:lastModifiedBy>Andi Cupallari</cp:lastModifiedBy>
  <cp:revision>1</cp:revision>
  <dcterms:created xsi:type="dcterms:W3CDTF">2026-10-18T20:01:54Z</dcterms:created>
  <dcterms:modified xsi:type="dcterms:W3CDTF">2026-10-18T20:01:54Z</dcterms:modified>
  <cp:category/>
</cp:coreProperties>
</file>