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48B165" w14:textId="797E989E" w:rsidR="00B50478" w:rsidRPr="00197FA2" w:rsidRDefault="00000000" w:rsidP="00197FA2">
      <w:pPr>
        <w:spacing w:after="40"/>
        <w:rPr>
          <w:color w:val="000000" w:themeColor="text1"/>
        </w:rPr>
      </w:pPr>
      <w:r w:rsidRPr="00197FA2">
        <w:rPr>
          <w:b/>
          <w:color w:val="000000" w:themeColor="text1"/>
          <w:sz w:val="44"/>
        </w:rPr>
        <w:t>Term Project — Use-Case Catalog</w:t>
      </w:r>
    </w:p>
    <w:p w14:paraId="77CA434F" w14:textId="3D5AE856" w:rsidR="00B50478" w:rsidRPr="00197FA2" w:rsidRDefault="00000000">
      <w:pPr>
        <w:rPr>
          <w:color w:val="000000" w:themeColor="text1"/>
        </w:rPr>
      </w:pPr>
      <w:r w:rsidRPr="00197FA2">
        <w:rPr>
          <w:i/>
          <w:color w:val="000000" w:themeColor="text1"/>
          <w:sz w:val="21"/>
        </w:rPr>
        <w:t>The syllabus lists five acceptable archetypes; this catalog expands them to fifteen briefs so your team can find a problem it actually cares about. Each brief names the commercial question, the stakeholder whose behavior you are modeling, a realistic data plan (synthetic data you generate, course datasets, or public sources), the methods the course will cover, what “good” looks like, and the traps mentors will probe. You may also propose your own; the test is the same — would this output be credible inside a real pharma organization?</w:t>
      </w:r>
    </w:p>
    <w:tbl>
      <w:tblPr>
        <w:tblW w:w="0" w:type="auto"/>
        <w:jc w:val="center"/>
        <w:tblLook w:val="04A0" w:firstRow="1" w:lastRow="0" w:firstColumn="1" w:lastColumn="0" w:noHBand="0" w:noVBand="1"/>
      </w:tblPr>
      <w:tblGrid>
        <w:gridCol w:w="9936"/>
      </w:tblGrid>
      <w:tr w:rsidR="00B50478" w:rsidRPr="00197FA2" w14:paraId="188A5FDB" w14:textId="77777777">
        <w:trPr>
          <w:jc w:val="center"/>
        </w:trPr>
        <w:tc>
          <w:tcPr>
            <w:tcW w:w="9936" w:type="dxa"/>
            <w:shd w:val="clear" w:color="auto" w:fill="E9EFFB"/>
          </w:tcPr>
          <w:p w14:paraId="258522D0" w14:textId="77777777" w:rsidR="00B50478" w:rsidRPr="00197FA2" w:rsidRDefault="00000000">
            <w:pPr>
              <w:spacing w:after="40"/>
              <w:rPr>
                <w:color w:val="000000" w:themeColor="text1"/>
              </w:rPr>
            </w:pPr>
            <w:r w:rsidRPr="00197FA2">
              <w:rPr>
                <w:b/>
                <w:color w:val="000000" w:themeColor="text1"/>
              </w:rPr>
              <w:t>Ground rules that apply to every project</w:t>
            </w:r>
          </w:p>
          <w:p w14:paraId="7F955BCD" w14:textId="77777777" w:rsidR="00B50478" w:rsidRPr="00197FA2" w:rsidRDefault="00000000">
            <w:pPr>
              <w:spacing w:after="40"/>
              <w:rPr>
                <w:color w:val="000000" w:themeColor="text1"/>
              </w:rPr>
            </w:pPr>
            <w:r w:rsidRPr="00197FA2">
              <w:rPr>
                <w:color w:val="000000" w:themeColor="text1"/>
                <w:sz w:val="21"/>
              </w:rPr>
              <w:t>No real patient-level data. Use synthetic or fully de-identified public data; never paste proprietary or patient-identifiable data into an external AI tool.</w:t>
            </w:r>
          </w:p>
          <w:p w14:paraId="1FEFCA4D" w14:textId="77777777" w:rsidR="00B50478" w:rsidRPr="00197FA2" w:rsidRDefault="00000000">
            <w:pPr>
              <w:spacing w:after="40"/>
              <w:rPr>
                <w:color w:val="000000" w:themeColor="text1"/>
              </w:rPr>
            </w:pPr>
            <w:r w:rsidRPr="00197FA2">
              <w:rPr>
                <w:color w:val="000000" w:themeColor="text1"/>
                <w:sz w:val="21"/>
              </w:rPr>
              <w:t>Name the stakeholder. Every project must state whose decision it informs (brand lead, sales ops, market access, medical) and whose behavior it models (HCP, payer, patient).</w:t>
            </w:r>
          </w:p>
          <w:p w14:paraId="4D30A4FE" w14:textId="77777777" w:rsidR="00B50478" w:rsidRPr="00197FA2" w:rsidRDefault="00000000">
            <w:pPr>
              <w:spacing w:after="40"/>
              <w:rPr>
                <w:color w:val="000000" w:themeColor="text1"/>
              </w:rPr>
            </w:pPr>
            <w:r w:rsidRPr="00197FA2">
              <w:rPr>
                <w:color w:val="000000" w:themeColor="text1"/>
                <w:sz w:val="21"/>
              </w:rPr>
              <w:t>Evaluate honestly. A working prototype with a clear evaluation and limitations section beats a polished demo. Mentors will ask “how do you know it works?”</w:t>
            </w:r>
          </w:p>
          <w:p w14:paraId="5E3686E1" w14:textId="77777777" w:rsidR="00B50478" w:rsidRPr="00197FA2" w:rsidRDefault="00000000">
            <w:pPr>
              <w:spacing w:after="40"/>
              <w:rPr>
                <w:color w:val="000000" w:themeColor="text1"/>
              </w:rPr>
            </w:pPr>
            <w:r w:rsidRPr="00197FA2">
              <w:rPr>
                <w:color w:val="000000" w:themeColor="text1"/>
                <w:sz w:val="21"/>
              </w:rPr>
              <w:t>Disclose AI use per the syllabus policy: tool, prompts, and what you changed.</w:t>
            </w:r>
          </w:p>
          <w:p w14:paraId="6CE14113" w14:textId="77777777" w:rsidR="00B50478" w:rsidRPr="00197FA2" w:rsidRDefault="00000000">
            <w:pPr>
              <w:spacing w:after="40"/>
              <w:rPr>
                <w:color w:val="000000" w:themeColor="text1"/>
              </w:rPr>
            </w:pPr>
            <w:r w:rsidRPr="00197FA2">
              <w:rPr>
                <w:color w:val="000000" w:themeColor="text1"/>
                <w:sz w:val="21"/>
              </w:rPr>
              <w:t>Scope for 10 weeks of part-time work. Most strong projects answer one question well.</w:t>
            </w:r>
          </w:p>
        </w:tc>
      </w:tr>
    </w:tbl>
    <w:p w14:paraId="0F8C01E5" w14:textId="77777777" w:rsidR="00B50478" w:rsidRPr="00197FA2" w:rsidRDefault="00B50478">
      <w:pPr>
        <w:spacing w:after="80"/>
        <w:rPr>
          <w:color w:val="000000" w:themeColor="text1"/>
        </w:rPr>
      </w:pPr>
    </w:p>
    <w:p w14:paraId="09315D8D" w14:textId="77777777" w:rsidR="00B50478" w:rsidRPr="00197FA2" w:rsidRDefault="00000000">
      <w:pPr>
        <w:keepNext/>
        <w:spacing w:before="240" w:after="80"/>
        <w:rPr>
          <w:color w:val="000000" w:themeColor="text1"/>
        </w:rPr>
      </w:pPr>
      <w:r w:rsidRPr="00197FA2">
        <w:rPr>
          <w:b/>
          <w:color w:val="000000" w:themeColor="text1"/>
          <w:sz w:val="30"/>
        </w:rPr>
        <w:t>1. HCP segmentation + Next Best Action engine</w:t>
      </w:r>
    </w:p>
    <w:p w14:paraId="45DE95E8" w14:textId="77777777" w:rsidR="00B50478" w:rsidRPr="00197FA2" w:rsidRDefault="00000000">
      <w:pPr>
        <w:spacing w:after="60"/>
        <w:rPr>
          <w:color w:val="000000" w:themeColor="text1"/>
        </w:rPr>
      </w:pPr>
      <w:r w:rsidRPr="00197FA2">
        <w:rPr>
          <w:i/>
          <w:color w:val="000000" w:themeColor="text1"/>
          <w:sz w:val="20"/>
        </w:rPr>
        <w:t>Track: Data science (syllabus archetype) · Course weeks: 4, 5, 3</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26429303" w14:textId="77777777">
        <w:trPr>
          <w:jc w:val="center"/>
        </w:trPr>
        <w:tc>
          <w:tcPr>
            <w:tcW w:w="2592" w:type="dxa"/>
            <w:shd w:val="clear" w:color="auto" w:fill="F3F6FC"/>
          </w:tcPr>
          <w:p w14:paraId="0729BB27"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66FD80C9" w14:textId="77777777" w:rsidR="00B50478" w:rsidRPr="00197FA2" w:rsidRDefault="00000000">
            <w:pPr>
              <w:spacing w:after="0"/>
              <w:rPr>
                <w:color w:val="000000" w:themeColor="text1"/>
              </w:rPr>
            </w:pPr>
            <w:r w:rsidRPr="00197FA2">
              <w:rPr>
                <w:color w:val="000000" w:themeColor="text1"/>
                <w:sz w:val="19"/>
              </w:rPr>
              <w:t>Which HCPs should GLUCOREN's field and digital channels prioritize, through which channel, how often — and how would we know it worked?</w:t>
            </w:r>
          </w:p>
        </w:tc>
      </w:tr>
      <w:tr w:rsidR="00B50478" w:rsidRPr="00197FA2" w14:paraId="7042CEA9" w14:textId="77777777">
        <w:trPr>
          <w:jc w:val="center"/>
        </w:trPr>
        <w:tc>
          <w:tcPr>
            <w:tcW w:w="2592" w:type="dxa"/>
          </w:tcPr>
          <w:p w14:paraId="630E9475"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41623973" w14:textId="77777777" w:rsidR="00B50478" w:rsidRPr="00197FA2" w:rsidRDefault="00000000">
            <w:pPr>
              <w:spacing w:after="0"/>
              <w:rPr>
                <w:color w:val="000000" w:themeColor="text1"/>
              </w:rPr>
            </w:pPr>
            <w:r w:rsidRPr="00197FA2">
              <w:rPr>
                <w:color w:val="000000" w:themeColor="text1"/>
                <w:sz w:val="19"/>
              </w:rPr>
              <w:t>Sales operations and marketing · HCP prescribing and channel response</w:t>
            </w:r>
          </w:p>
        </w:tc>
      </w:tr>
      <w:tr w:rsidR="00B50478" w:rsidRPr="00197FA2" w14:paraId="50198BA3" w14:textId="77777777">
        <w:trPr>
          <w:jc w:val="center"/>
        </w:trPr>
        <w:tc>
          <w:tcPr>
            <w:tcW w:w="2592" w:type="dxa"/>
            <w:shd w:val="clear" w:color="auto" w:fill="F3F6FC"/>
          </w:tcPr>
          <w:p w14:paraId="4DFF1A16"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4E989F06" w14:textId="77777777" w:rsidR="00B50478" w:rsidRPr="00197FA2" w:rsidRDefault="00000000">
            <w:pPr>
              <w:spacing w:after="0"/>
              <w:rPr>
                <w:color w:val="000000" w:themeColor="text1"/>
              </w:rPr>
            </w:pPr>
            <w:r w:rsidRPr="00197FA2">
              <w:rPr>
                <w:color w:val="000000" w:themeColor="text1"/>
                <w:sz w:val="19"/>
              </w:rPr>
              <w:t>Generate a synthetic HCP panel (5–10k NPIs) with specialty, decile, patient mix, monthly NRx/TRx, and channel touch history (calls, emails, web); or extend the Week 2/3 course datasets.</w:t>
            </w:r>
          </w:p>
        </w:tc>
      </w:tr>
      <w:tr w:rsidR="00B50478" w:rsidRPr="00197FA2" w14:paraId="096FBA05" w14:textId="77777777">
        <w:trPr>
          <w:jc w:val="center"/>
        </w:trPr>
        <w:tc>
          <w:tcPr>
            <w:tcW w:w="2592" w:type="dxa"/>
          </w:tcPr>
          <w:p w14:paraId="7F0EB99D"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72F3AE39" w14:textId="77777777" w:rsidR="00B50478" w:rsidRPr="00197FA2" w:rsidRDefault="00000000">
            <w:pPr>
              <w:spacing w:after="0"/>
              <w:rPr>
                <w:color w:val="000000" w:themeColor="text1"/>
              </w:rPr>
            </w:pPr>
            <w:r w:rsidRPr="00197FA2">
              <w:rPr>
                <w:color w:val="000000" w:themeColor="text1"/>
                <w:sz w:val="19"/>
              </w:rPr>
              <w:t>Feature engineering from Rx/claims (Wk 4); clustering and supervised segmentation; uplift or affinity modeling; a scoring layer with frequency caps and channel substitution rules (Wk 5); a simulated A/B evaluation.</w:t>
            </w:r>
          </w:p>
        </w:tc>
      </w:tr>
      <w:tr w:rsidR="00B50478" w:rsidRPr="00197FA2" w14:paraId="7EF69F62" w14:textId="77777777">
        <w:trPr>
          <w:jc w:val="center"/>
        </w:trPr>
        <w:tc>
          <w:tcPr>
            <w:tcW w:w="2592" w:type="dxa"/>
            <w:shd w:val="clear" w:color="auto" w:fill="F3F6FC"/>
          </w:tcPr>
          <w:p w14:paraId="1E40084B"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198ADABF" w14:textId="77777777" w:rsidR="00B50478" w:rsidRPr="00197FA2" w:rsidRDefault="00000000">
            <w:pPr>
              <w:spacing w:after="0"/>
              <w:rPr>
                <w:color w:val="000000" w:themeColor="text1"/>
              </w:rPr>
            </w:pPr>
            <w:r w:rsidRPr="00197FA2">
              <w:rPr>
                <w:color w:val="000000" w:themeColor="text1"/>
                <w:sz w:val="19"/>
              </w:rPr>
              <w:t>Segments a marketer can name and act on; an NBA table per HCP with a rationale; an honest estimate of incremental TRx vs. a “business as usual” policy, with uncertainty.</w:t>
            </w:r>
          </w:p>
        </w:tc>
      </w:tr>
      <w:tr w:rsidR="00B50478" w:rsidRPr="00197FA2" w14:paraId="567863B2" w14:textId="77777777">
        <w:trPr>
          <w:jc w:val="center"/>
        </w:trPr>
        <w:tc>
          <w:tcPr>
            <w:tcW w:w="2592" w:type="dxa"/>
          </w:tcPr>
          <w:p w14:paraId="564D762D"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74BB74AF" w14:textId="77777777" w:rsidR="00B50478" w:rsidRPr="00197FA2" w:rsidRDefault="00000000">
            <w:pPr>
              <w:spacing w:after="0"/>
              <w:rPr>
                <w:color w:val="000000" w:themeColor="text1"/>
              </w:rPr>
            </w:pPr>
            <w:r w:rsidRPr="00197FA2">
              <w:rPr>
                <w:color w:val="000000" w:themeColor="text1"/>
                <w:sz w:val="19"/>
              </w:rPr>
              <w:t>Segment stability over time; leakage from using future Rx in features; fatigue — does your policy contact some HCPs 40 times a quarter?; interpretability for a brand team.</w:t>
            </w:r>
          </w:p>
        </w:tc>
      </w:tr>
    </w:tbl>
    <w:p w14:paraId="639582BF" w14:textId="77777777" w:rsidR="00B50478" w:rsidRPr="00197FA2" w:rsidRDefault="00B50478">
      <w:pPr>
        <w:spacing w:after="80"/>
        <w:rPr>
          <w:color w:val="000000" w:themeColor="text1"/>
        </w:rPr>
      </w:pPr>
    </w:p>
    <w:p w14:paraId="79C5C67B" w14:textId="77777777" w:rsidR="00B50478" w:rsidRPr="00197FA2" w:rsidRDefault="00000000">
      <w:pPr>
        <w:keepNext/>
        <w:spacing w:before="240" w:after="80"/>
        <w:rPr>
          <w:color w:val="000000" w:themeColor="text1"/>
        </w:rPr>
      </w:pPr>
      <w:r w:rsidRPr="00197FA2">
        <w:rPr>
          <w:b/>
          <w:color w:val="000000" w:themeColor="text1"/>
          <w:sz w:val="30"/>
        </w:rPr>
        <w:t>2. Marketing mix model calibrated to a launch curve</w:t>
      </w:r>
    </w:p>
    <w:p w14:paraId="335C4882" w14:textId="77777777" w:rsidR="00B50478" w:rsidRPr="00197FA2" w:rsidRDefault="00000000">
      <w:pPr>
        <w:spacing w:after="60"/>
        <w:rPr>
          <w:color w:val="000000" w:themeColor="text1"/>
        </w:rPr>
      </w:pPr>
      <w:r w:rsidRPr="00197FA2">
        <w:rPr>
          <w:i/>
          <w:color w:val="000000" w:themeColor="text1"/>
          <w:sz w:val="20"/>
        </w:rPr>
        <w:t>Track: Data science (syllabus archetype) · Course weeks: 3, 6</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1FD696C6" w14:textId="77777777">
        <w:trPr>
          <w:jc w:val="center"/>
        </w:trPr>
        <w:tc>
          <w:tcPr>
            <w:tcW w:w="2592" w:type="dxa"/>
            <w:shd w:val="clear" w:color="auto" w:fill="F3F6FC"/>
          </w:tcPr>
          <w:p w14:paraId="76566563"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6B7C6FB6" w14:textId="77777777" w:rsidR="00B50478" w:rsidRPr="00197FA2" w:rsidRDefault="00000000">
            <w:pPr>
              <w:spacing w:after="0"/>
              <w:rPr>
                <w:color w:val="000000" w:themeColor="text1"/>
              </w:rPr>
            </w:pPr>
            <w:r w:rsidRPr="00197FA2">
              <w:rPr>
                <w:color w:val="000000" w:themeColor="text1"/>
                <w:sz w:val="19"/>
              </w:rPr>
              <w:t>What did each promotional channel contribute to a brand's first three years, and how should next year's budget be reallocated?</w:t>
            </w:r>
          </w:p>
        </w:tc>
      </w:tr>
      <w:tr w:rsidR="00B50478" w:rsidRPr="00197FA2" w14:paraId="51E00D33" w14:textId="77777777">
        <w:trPr>
          <w:jc w:val="center"/>
        </w:trPr>
        <w:tc>
          <w:tcPr>
            <w:tcW w:w="2592" w:type="dxa"/>
          </w:tcPr>
          <w:p w14:paraId="0662F4F0"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1D5B47D9" w14:textId="77777777" w:rsidR="00B50478" w:rsidRPr="00197FA2" w:rsidRDefault="00000000">
            <w:pPr>
              <w:spacing w:after="0"/>
              <w:rPr>
                <w:color w:val="000000" w:themeColor="text1"/>
              </w:rPr>
            </w:pPr>
            <w:r w:rsidRPr="00197FA2">
              <w:rPr>
                <w:color w:val="000000" w:themeColor="text1"/>
                <w:sz w:val="19"/>
              </w:rPr>
              <w:t>Brand lead and finance · aggregate market response to promotion</w:t>
            </w:r>
          </w:p>
        </w:tc>
      </w:tr>
      <w:tr w:rsidR="00B50478" w:rsidRPr="00197FA2" w14:paraId="13995EE9" w14:textId="77777777">
        <w:trPr>
          <w:jc w:val="center"/>
        </w:trPr>
        <w:tc>
          <w:tcPr>
            <w:tcW w:w="2592" w:type="dxa"/>
            <w:shd w:val="clear" w:color="auto" w:fill="F3F6FC"/>
          </w:tcPr>
          <w:p w14:paraId="1B672E4D"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60681278" w14:textId="77777777" w:rsidR="00B50478" w:rsidRPr="00197FA2" w:rsidRDefault="00000000">
            <w:pPr>
              <w:spacing w:after="0"/>
              <w:rPr>
                <w:color w:val="000000" w:themeColor="text1"/>
              </w:rPr>
            </w:pPr>
            <w:r w:rsidRPr="00197FA2">
              <w:rPr>
                <w:color w:val="000000" w:themeColor="text1"/>
                <w:sz w:val="19"/>
              </w:rPr>
              <w:t>Weekly synthetic brand data: TRx, spend by channel (detailing, samples, digital, conferences, DTC), access events, competitor entry, seasonality; calibrate to a public analog launch curve (e.g., from IQVIA or company 10-Ks).</w:t>
            </w:r>
          </w:p>
        </w:tc>
      </w:tr>
      <w:tr w:rsidR="00B50478" w:rsidRPr="00197FA2" w14:paraId="50219F59" w14:textId="77777777">
        <w:trPr>
          <w:jc w:val="center"/>
        </w:trPr>
        <w:tc>
          <w:tcPr>
            <w:tcW w:w="2592" w:type="dxa"/>
          </w:tcPr>
          <w:p w14:paraId="7DDAD7E6"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4F9988CA" w14:textId="77777777" w:rsidR="00B50478" w:rsidRPr="00197FA2" w:rsidRDefault="00000000">
            <w:pPr>
              <w:spacing w:after="0"/>
              <w:rPr>
                <w:color w:val="000000" w:themeColor="text1"/>
              </w:rPr>
            </w:pPr>
            <w:r w:rsidRPr="00197FA2">
              <w:rPr>
                <w:color w:val="000000" w:themeColor="text1"/>
                <w:sz w:val="19"/>
              </w:rPr>
              <w:t>Adstock (geometric/Weibull) and Hill saturation; linear and Bayesian MMM (PyMC-Marketing); base/incremental decomposition; ROI curves and a constrained reallocation (</w:t>
            </w:r>
            <w:proofErr w:type="spellStart"/>
            <w:r w:rsidRPr="00197FA2">
              <w:rPr>
                <w:color w:val="000000" w:themeColor="text1"/>
                <w:sz w:val="19"/>
              </w:rPr>
              <w:t>Wk</w:t>
            </w:r>
            <w:proofErr w:type="spellEnd"/>
            <w:r w:rsidRPr="00197FA2">
              <w:rPr>
                <w:color w:val="000000" w:themeColor="text1"/>
                <w:sz w:val="19"/>
              </w:rPr>
              <w:t xml:space="preserve"> 3).</w:t>
            </w:r>
          </w:p>
        </w:tc>
      </w:tr>
      <w:tr w:rsidR="00B50478" w:rsidRPr="00197FA2" w14:paraId="5E714901" w14:textId="77777777">
        <w:trPr>
          <w:jc w:val="center"/>
        </w:trPr>
        <w:tc>
          <w:tcPr>
            <w:tcW w:w="2592" w:type="dxa"/>
            <w:shd w:val="clear" w:color="auto" w:fill="F3F6FC"/>
          </w:tcPr>
          <w:p w14:paraId="34EAFDBD" w14:textId="77777777" w:rsidR="00B50478" w:rsidRPr="00197FA2" w:rsidRDefault="00000000">
            <w:pPr>
              <w:spacing w:after="0"/>
              <w:rPr>
                <w:color w:val="000000" w:themeColor="text1"/>
              </w:rPr>
            </w:pPr>
            <w:r w:rsidRPr="00197FA2">
              <w:rPr>
                <w:b/>
                <w:color w:val="000000" w:themeColor="text1"/>
                <w:sz w:val="19"/>
              </w:rPr>
              <w:lastRenderedPageBreak/>
              <w:t>What good looks like</w:t>
            </w:r>
          </w:p>
        </w:tc>
        <w:tc>
          <w:tcPr>
            <w:tcW w:w="7344" w:type="dxa"/>
            <w:shd w:val="clear" w:color="auto" w:fill="F3F6FC"/>
          </w:tcPr>
          <w:p w14:paraId="3614FE6C" w14:textId="77777777" w:rsidR="00B50478" w:rsidRPr="00197FA2" w:rsidRDefault="00000000">
            <w:pPr>
              <w:spacing w:after="0"/>
              <w:rPr>
                <w:color w:val="000000" w:themeColor="text1"/>
              </w:rPr>
            </w:pPr>
            <w:r w:rsidRPr="00197FA2">
              <w:rPr>
                <w:color w:val="000000" w:themeColor="text1"/>
                <w:sz w:val="19"/>
              </w:rPr>
              <w:t>A decomposition a CFO can follow; channel ROI with credible intervals; a reallocation with an explicit statement of what would change the answer.</w:t>
            </w:r>
          </w:p>
        </w:tc>
      </w:tr>
      <w:tr w:rsidR="00B50478" w:rsidRPr="00197FA2" w14:paraId="39AE3E8C" w14:textId="77777777">
        <w:trPr>
          <w:jc w:val="center"/>
        </w:trPr>
        <w:tc>
          <w:tcPr>
            <w:tcW w:w="2592" w:type="dxa"/>
          </w:tcPr>
          <w:p w14:paraId="3B0A880D"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1E1228A7" w14:textId="77777777" w:rsidR="00B50478" w:rsidRPr="00197FA2" w:rsidRDefault="00000000">
            <w:pPr>
              <w:spacing w:after="0"/>
              <w:rPr>
                <w:color w:val="000000" w:themeColor="text1"/>
              </w:rPr>
            </w:pPr>
            <w:r w:rsidRPr="00197FA2">
              <w:rPr>
                <w:color w:val="000000" w:themeColor="text1"/>
                <w:sz w:val="19"/>
              </w:rPr>
              <w:t>Identifiability with collinear spend; ignoring access/competitor covariates; presenting point ROIs without ranges; using invented net revenue per TRx instead of a stated assumption.</w:t>
            </w:r>
          </w:p>
        </w:tc>
      </w:tr>
    </w:tbl>
    <w:p w14:paraId="6CA25D52" w14:textId="77777777" w:rsidR="00B50478" w:rsidRPr="00197FA2" w:rsidRDefault="00B50478">
      <w:pPr>
        <w:spacing w:after="80"/>
        <w:rPr>
          <w:color w:val="000000" w:themeColor="text1"/>
        </w:rPr>
      </w:pPr>
    </w:p>
    <w:p w14:paraId="2BE2F22D" w14:textId="77777777" w:rsidR="00B50478" w:rsidRPr="00197FA2" w:rsidRDefault="00000000">
      <w:pPr>
        <w:keepNext/>
        <w:spacing w:before="240" w:after="80"/>
        <w:rPr>
          <w:color w:val="000000" w:themeColor="text1"/>
        </w:rPr>
      </w:pPr>
      <w:r w:rsidRPr="00197FA2">
        <w:rPr>
          <w:b/>
          <w:color w:val="000000" w:themeColor="text1"/>
          <w:sz w:val="30"/>
        </w:rPr>
        <w:t>3. Patient-finding / patient-journey model</w:t>
      </w:r>
    </w:p>
    <w:p w14:paraId="3C7164AA" w14:textId="77777777" w:rsidR="00B50478" w:rsidRPr="00197FA2" w:rsidRDefault="00000000">
      <w:pPr>
        <w:spacing w:after="60"/>
        <w:rPr>
          <w:color w:val="000000" w:themeColor="text1"/>
        </w:rPr>
      </w:pPr>
      <w:r w:rsidRPr="00197FA2">
        <w:rPr>
          <w:i/>
          <w:color w:val="000000" w:themeColor="text1"/>
          <w:sz w:val="20"/>
        </w:rPr>
        <w:t>Track: Data science (syllabus archetype) · Course weeks: 2, 5</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2C36D6A6" w14:textId="77777777">
        <w:trPr>
          <w:jc w:val="center"/>
        </w:trPr>
        <w:tc>
          <w:tcPr>
            <w:tcW w:w="2592" w:type="dxa"/>
            <w:shd w:val="clear" w:color="auto" w:fill="F3F6FC"/>
          </w:tcPr>
          <w:p w14:paraId="652FB010"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71823BA3" w14:textId="77777777" w:rsidR="00B50478" w:rsidRPr="00197FA2" w:rsidRDefault="00000000">
            <w:pPr>
              <w:spacing w:after="0"/>
              <w:rPr>
                <w:color w:val="000000" w:themeColor="text1"/>
              </w:rPr>
            </w:pPr>
            <w:r w:rsidRPr="00197FA2">
              <w:rPr>
                <w:color w:val="000000" w:themeColor="text1"/>
                <w:sz w:val="19"/>
              </w:rPr>
              <w:t>Which patients in a claims population look like our treated cohort but are undiagnosed or untreated — and where are they (which HCPs, which geographies)?</w:t>
            </w:r>
          </w:p>
        </w:tc>
      </w:tr>
      <w:tr w:rsidR="00B50478" w:rsidRPr="00197FA2" w14:paraId="41B00214" w14:textId="77777777">
        <w:trPr>
          <w:jc w:val="center"/>
        </w:trPr>
        <w:tc>
          <w:tcPr>
            <w:tcW w:w="2592" w:type="dxa"/>
          </w:tcPr>
          <w:p w14:paraId="4ED57080"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6D49C24D" w14:textId="77777777" w:rsidR="00B50478" w:rsidRPr="00197FA2" w:rsidRDefault="00000000">
            <w:pPr>
              <w:spacing w:after="0"/>
              <w:rPr>
                <w:color w:val="000000" w:themeColor="text1"/>
              </w:rPr>
            </w:pPr>
            <w:r w:rsidRPr="00197FA2">
              <w:rPr>
                <w:color w:val="000000" w:themeColor="text1"/>
                <w:sz w:val="19"/>
              </w:rPr>
              <w:t>Medical and marketing · patient diagnosis and treatment pathways; HCP referral behavior</w:t>
            </w:r>
          </w:p>
        </w:tc>
      </w:tr>
      <w:tr w:rsidR="00B50478" w:rsidRPr="00197FA2" w14:paraId="40E51CB1" w14:textId="77777777">
        <w:trPr>
          <w:jc w:val="center"/>
        </w:trPr>
        <w:tc>
          <w:tcPr>
            <w:tcW w:w="2592" w:type="dxa"/>
            <w:shd w:val="clear" w:color="auto" w:fill="F3F6FC"/>
          </w:tcPr>
          <w:p w14:paraId="184C87B8"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4AFF5823" w14:textId="77777777" w:rsidR="00B50478" w:rsidRPr="00197FA2" w:rsidRDefault="00000000">
            <w:pPr>
              <w:spacing w:after="0"/>
              <w:rPr>
                <w:color w:val="000000" w:themeColor="text1"/>
              </w:rPr>
            </w:pPr>
            <w:r w:rsidRPr="00197FA2">
              <w:rPr>
                <w:color w:val="000000" w:themeColor="text1"/>
                <w:sz w:val="19"/>
              </w:rPr>
              <w:t>Synthetic longitudinal claims (medical + pharmacy) for ~50k patients with a rare or under-diagnosed condition; the Week 2 DLBCL dataset is a template for structure.</w:t>
            </w:r>
          </w:p>
        </w:tc>
      </w:tr>
      <w:tr w:rsidR="00B50478" w:rsidRPr="00197FA2" w14:paraId="72EA3F38" w14:textId="77777777">
        <w:trPr>
          <w:jc w:val="center"/>
        </w:trPr>
        <w:tc>
          <w:tcPr>
            <w:tcW w:w="2592" w:type="dxa"/>
          </w:tcPr>
          <w:p w14:paraId="308A944F"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4F6864A7" w14:textId="77777777" w:rsidR="00B50478" w:rsidRPr="00197FA2" w:rsidRDefault="00000000">
            <w:pPr>
              <w:spacing w:after="0"/>
              <w:rPr>
                <w:color w:val="000000" w:themeColor="text1"/>
              </w:rPr>
            </w:pPr>
            <w:r w:rsidRPr="00197FA2">
              <w:rPr>
                <w:color w:val="000000" w:themeColor="text1"/>
                <w:sz w:val="19"/>
              </w:rPr>
              <w:t>Cohort definition with ICD-10/NDC/HCPCS (Wk 2); sequence features and sequence models or gradient boosting; survival analysis for time-to-treatment; calibration and precision at top-k.</w:t>
            </w:r>
          </w:p>
        </w:tc>
      </w:tr>
      <w:tr w:rsidR="00B50478" w:rsidRPr="00197FA2" w14:paraId="448F7F01" w14:textId="77777777">
        <w:trPr>
          <w:jc w:val="center"/>
        </w:trPr>
        <w:tc>
          <w:tcPr>
            <w:tcW w:w="2592" w:type="dxa"/>
            <w:shd w:val="clear" w:color="auto" w:fill="F3F6FC"/>
          </w:tcPr>
          <w:p w14:paraId="1F883E68"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48CEE762" w14:textId="77777777" w:rsidR="00B50478" w:rsidRPr="00197FA2" w:rsidRDefault="00000000">
            <w:pPr>
              <w:spacing w:after="0"/>
              <w:rPr>
                <w:color w:val="000000" w:themeColor="text1"/>
              </w:rPr>
            </w:pPr>
            <w:r w:rsidRPr="00197FA2">
              <w:rPr>
                <w:color w:val="000000" w:themeColor="text1"/>
                <w:sz w:val="19"/>
              </w:rPr>
              <w:t>A ranked list of HCPs with the most likely undiagnosed patients, a validation on held-out diagnosed patients, and a discussion of how the output would be used compliantly (no patient targeting).</w:t>
            </w:r>
          </w:p>
        </w:tc>
      </w:tr>
      <w:tr w:rsidR="00B50478" w:rsidRPr="00197FA2" w14:paraId="561DF665" w14:textId="77777777">
        <w:trPr>
          <w:jc w:val="center"/>
        </w:trPr>
        <w:tc>
          <w:tcPr>
            <w:tcW w:w="2592" w:type="dxa"/>
          </w:tcPr>
          <w:p w14:paraId="5008327D"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6585B92E" w14:textId="77777777" w:rsidR="00B50478" w:rsidRPr="00197FA2" w:rsidRDefault="00000000">
            <w:pPr>
              <w:spacing w:after="0"/>
              <w:rPr>
                <w:color w:val="000000" w:themeColor="text1"/>
              </w:rPr>
            </w:pPr>
            <w:r w:rsidRPr="00197FA2">
              <w:rPr>
                <w:color w:val="000000" w:themeColor="text1"/>
                <w:sz w:val="19"/>
              </w:rPr>
              <w:t>Label leakage from post-diagnosis codes; base-rate confusion; privacy — the output must be HCP-level, not patient-level; overfitting to synthetic-data artifacts.</w:t>
            </w:r>
          </w:p>
        </w:tc>
      </w:tr>
    </w:tbl>
    <w:p w14:paraId="568274FB" w14:textId="77777777" w:rsidR="00B50478" w:rsidRPr="00197FA2" w:rsidRDefault="00B50478">
      <w:pPr>
        <w:spacing w:after="80"/>
        <w:rPr>
          <w:color w:val="000000" w:themeColor="text1"/>
        </w:rPr>
      </w:pPr>
    </w:p>
    <w:p w14:paraId="65CE976D" w14:textId="77777777" w:rsidR="00B50478" w:rsidRPr="00197FA2" w:rsidRDefault="00000000">
      <w:pPr>
        <w:keepNext/>
        <w:spacing w:before="240" w:after="80"/>
        <w:rPr>
          <w:color w:val="000000" w:themeColor="text1"/>
        </w:rPr>
      </w:pPr>
      <w:r w:rsidRPr="00197FA2">
        <w:rPr>
          <w:b/>
          <w:color w:val="000000" w:themeColor="text1"/>
          <w:sz w:val="30"/>
        </w:rPr>
        <w:t>4. Adherence and persistence prediction with intervention design</w:t>
      </w:r>
    </w:p>
    <w:p w14:paraId="41940D0F" w14:textId="77777777" w:rsidR="00B50478" w:rsidRPr="00197FA2" w:rsidRDefault="00000000">
      <w:pPr>
        <w:spacing w:after="60"/>
        <w:rPr>
          <w:color w:val="000000" w:themeColor="text1"/>
        </w:rPr>
      </w:pPr>
      <w:r w:rsidRPr="00197FA2">
        <w:rPr>
          <w:i/>
          <w:color w:val="000000" w:themeColor="text1"/>
          <w:sz w:val="20"/>
        </w:rPr>
        <w:t>Track: Data science · Course weeks: 2, 5</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13F7E6E3" w14:textId="77777777">
        <w:trPr>
          <w:jc w:val="center"/>
        </w:trPr>
        <w:tc>
          <w:tcPr>
            <w:tcW w:w="2592" w:type="dxa"/>
            <w:shd w:val="clear" w:color="auto" w:fill="F3F6FC"/>
          </w:tcPr>
          <w:p w14:paraId="67C5D7D5"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2BF5E8FC" w14:textId="77777777" w:rsidR="00B50478" w:rsidRPr="00197FA2" w:rsidRDefault="00000000">
            <w:pPr>
              <w:spacing w:after="0"/>
              <w:rPr>
                <w:color w:val="000000" w:themeColor="text1"/>
              </w:rPr>
            </w:pPr>
            <w:r w:rsidRPr="00197FA2">
              <w:rPr>
                <w:color w:val="000000" w:themeColor="text1"/>
                <w:sz w:val="19"/>
              </w:rPr>
              <w:t>Which newly started patients are likely to discontinue by day 90, and which support interventions (copay, nurse call, reminders) would change that?</w:t>
            </w:r>
          </w:p>
        </w:tc>
      </w:tr>
      <w:tr w:rsidR="00B50478" w:rsidRPr="00197FA2" w14:paraId="5BC95296" w14:textId="77777777">
        <w:trPr>
          <w:jc w:val="center"/>
        </w:trPr>
        <w:tc>
          <w:tcPr>
            <w:tcW w:w="2592" w:type="dxa"/>
          </w:tcPr>
          <w:p w14:paraId="2861560D"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392F046B" w14:textId="77777777" w:rsidR="00B50478" w:rsidRPr="00197FA2" w:rsidRDefault="00000000">
            <w:pPr>
              <w:spacing w:after="0"/>
              <w:rPr>
                <w:color w:val="000000" w:themeColor="text1"/>
              </w:rPr>
            </w:pPr>
            <w:r w:rsidRPr="00197FA2">
              <w:rPr>
                <w:color w:val="000000" w:themeColor="text1"/>
                <w:sz w:val="19"/>
              </w:rPr>
              <w:t>Patient services and brand · patient refill behavior</w:t>
            </w:r>
          </w:p>
        </w:tc>
      </w:tr>
      <w:tr w:rsidR="00B50478" w:rsidRPr="00197FA2" w14:paraId="3776E201" w14:textId="77777777">
        <w:trPr>
          <w:jc w:val="center"/>
        </w:trPr>
        <w:tc>
          <w:tcPr>
            <w:tcW w:w="2592" w:type="dxa"/>
            <w:shd w:val="clear" w:color="auto" w:fill="F3F6FC"/>
          </w:tcPr>
          <w:p w14:paraId="55723CE7"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1A973FCA" w14:textId="77777777" w:rsidR="00B50478" w:rsidRPr="00197FA2" w:rsidRDefault="00000000">
            <w:pPr>
              <w:spacing w:after="0"/>
              <w:rPr>
                <w:color w:val="000000" w:themeColor="text1"/>
              </w:rPr>
            </w:pPr>
            <w:r w:rsidRPr="00197FA2">
              <w:rPr>
                <w:color w:val="000000" w:themeColor="text1"/>
                <w:sz w:val="19"/>
              </w:rPr>
              <w:t>Synthetic pharmacy claims with fills, days' supply, copay, pharmacy type, plus a simulated patient-support-program enrollment table.</w:t>
            </w:r>
          </w:p>
        </w:tc>
      </w:tr>
      <w:tr w:rsidR="00B50478" w:rsidRPr="00197FA2" w14:paraId="5C091786" w14:textId="77777777">
        <w:trPr>
          <w:jc w:val="center"/>
        </w:trPr>
        <w:tc>
          <w:tcPr>
            <w:tcW w:w="2592" w:type="dxa"/>
          </w:tcPr>
          <w:p w14:paraId="66C90DFD"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4A2A83A4" w14:textId="77777777" w:rsidR="00B50478" w:rsidRPr="00197FA2" w:rsidRDefault="00000000">
            <w:pPr>
              <w:spacing w:after="0"/>
              <w:rPr>
                <w:color w:val="000000" w:themeColor="text1"/>
              </w:rPr>
            </w:pPr>
            <w:r w:rsidRPr="00197FA2">
              <w:rPr>
                <w:color w:val="000000" w:themeColor="text1"/>
                <w:sz w:val="19"/>
              </w:rPr>
              <w:t>PDC/MPR computation (Wk 2); classification with calibrated probabilities; survival models; uplift modeling or a simulated experiment for the intervention.</w:t>
            </w:r>
          </w:p>
        </w:tc>
      </w:tr>
      <w:tr w:rsidR="00B50478" w:rsidRPr="00197FA2" w14:paraId="1F02CD66" w14:textId="77777777">
        <w:trPr>
          <w:jc w:val="center"/>
        </w:trPr>
        <w:tc>
          <w:tcPr>
            <w:tcW w:w="2592" w:type="dxa"/>
            <w:shd w:val="clear" w:color="auto" w:fill="F3F6FC"/>
          </w:tcPr>
          <w:p w14:paraId="63D84D90"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7C247E00" w14:textId="77777777" w:rsidR="00B50478" w:rsidRPr="00197FA2" w:rsidRDefault="00000000">
            <w:pPr>
              <w:spacing w:after="0"/>
              <w:rPr>
                <w:color w:val="000000" w:themeColor="text1"/>
              </w:rPr>
            </w:pPr>
            <w:r w:rsidRPr="00197FA2">
              <w:rPr>
                <w:color w:val="000000" w:themeColor="text1"/>
                <w:sz w:val="19"/>
              </w:rPr>
              <w:t>A persistence curve by segment, a risk score at first fill with its lift chart, and a recommended intervention policy with expected retained TRx.</w:t>
            </w:r>
          </w:p>
        </w:tc>
      </w:tr>
      <w:tr w:rsidR="00B50478" w:rsidRPr="00197FA2" w14:paraId="13D437FA" w14:textId="77777777">
        <w:trPr>
          <w:jc w:val="center"/>
        </w:trPr>
        <w:tc>
          <w:tcPr>
            <w:tcW w:w="2592" w:type="dxa"/>
          </w:tcPr>
          <w:p w14:paraId="498E7E39"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7A8D2513" w14:textId="77777777" w:rsidR="00B50478" w:rsidRPr="00197FA2" w:rsidRDefault="00000000">
            <w:pPr>
              <w:spacing w:after="0"/>
              <w:rPr>
                <w:color w:val="000000" w:themeColor="text1"/>
              </w:rPr>
            </w:pPr>
            <w:r w:rsidRPr="00197FA2">
              <w:rPr>
                <w:color w:val="000000" w:themeColor="text1"/>
                <w:sz w:val="19"/>
              </w:rPr>
              <w:t>Immortal-time bias; defining “discontinuation” without a gap rule; assuming correlation (copay ↔ drop-off) is causal.</w:t>
            </w:r>
          </w:p>
        </w:tc>
      </w:tr>
    </w:tbl>
    <w:p w14:paraId="4F741EDA" w14:textId="77777777" w:rsidR="00B50478" w:rsidRPr="00197FA2" w:rsidRDefault="00B50478">
      <w:pPr>
        <w:spacing w:after="80"/>
        <w:rPr>
          <w:color w:val="000000" w:themeColor="text1"/>
        </w:rPr>
      </w:pPr>
    </w:p>
    <w:p w14:paraId="34D07167" w14:textId="77777777" w:rsidR="00B50478" w:rsidRPr="00197FA2" w:rsidRDefault="00000000">
      <w:pPr>
        <w:keepNext/>
        <w:spacing w:before="240" w:after="80"/>
        <w:rPr>
          <w:color w:val="000000" w:themeColor="text1"/>
        </w:rPr>
      </w:pPr>
      <w:r w:rsidRPr="00197FA2">
        <w:rPr>
          <w:b/>
          <w:color w:val="000000" w:themeColor="text1"/>
          <w:sz w:val="30"/>
        </w:rPr>
        <w:t>5. Payer access impact analysis</w:t>
      </w:r>
    </w:p>
    <w:p w14:paraId="3B9B5EF3" w14:textId="77777777" w:rsidR="00B50478" w:rsidRPr="00197FA2" w:rsidRDefault="00000000">
      <w:pPr>
        <w:spacing w:after="60"/>
        <w:rPr>
          <w:color w:val="000000" w:themeColor="text1"/>
        </w:rPr>
      </w:pPr>
      <w:r w:rsidRPr="00197FA2">
        <w:rPr>
          <w:i/>
          <w:color w:val="000000" w:themeColor="text1"/>
          <w:sz w:val="20"/>
        </w:rPr>
        <w:t>Track: Data science · Course weeks: 1, 2, 6</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0A93D26A" w14:textId="77777777">
        <w:trPr>
          <w:jc w:val="center"/>
        </w:trPr>
        <w:tc>
          <w:tcPr>
            <w:tcW w:w="2592" w:type="dxa"/>
            <w:shd w:val="clear" w:color="auto" w:fill="F3F6FC"/>
          </w:tcPr>
          <w:p w14:paraId="529664A5"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6E9FFC02" w14:textId="77777777" w:rsidR="00B50478" w:rsidRPr="00197FA2" w:rsidRDefault="00000000">
            <w:pPr>
              <w:spacing w:after="0"/>
              <w:rPr>
                <w:color w:val="000000" w:themeColor="text1"/>
              </w:rPr>
            </w:pPr>
            <w:r w:rsidRPr="00197FA2">
              <w:rPr>
                <w:color w:val="000000" w:themeColor="text1"/>
                <w:sz w:val="19"/>
              </w:rPr>
              <w:t>What did a formulary change (tier move, prior-auth added, exclusion) do to NBRx, abandonment and net price — and what is the value of winning it back?</w:t>
            </w:r>
          </w:p>
        </w:tc>
      </w:tr>
      <w:tr w:rsidR="00B50478" w:rsidRPr="00197FA2" w14:paraId="61C5269B" w14:textId="77777777">
        <w:trPr>
          <w:jc w:val="center"/>
        </w:trPr>
        <w:tc>
          <w:tcPr>
            <w:tcW w:w="2592" w:type="dxa"/>
          </w:tcPr>
          <w:p w14:paraId="63FBDF62"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50B59941" w14:textId="77777777" w:rsidR="00B50478" w:rsidRPr="00197FA2" w:rsidRDefault="00000000">
            <w:pPr>
              <w:spacing w:after="0"/>
              <w:rPr>
                <w:color w:val="000000" w:themeColor="text1"/>
              </w:rPr>
            </w:pPr>
            <w:r w:rsidRPr="00197FA2">
              <w:rPr>
                <w:color w:val="000000" w:themeColor="text1"/>
                <w:sz w:val="19"/>
              </w:rPr>
              <w:t>Market access · payer coverage decisions and patient/HCP reaction</w:t>
            </w:r>
          </w:p>
        </w:tc>
      </w:tr>
      <w:tr w:rsidR="00B50478" w:rsidRPr="00197FA2" w14:paraId="5C1D4A0C" w14:textId="77777777">
        <w:trPr>
          <w:jc w:val="center"/>
        </w:trPr>
        <w:tc>
          <w:tcPr>
            <w:tcW w:w="2592" w:type="dxa"/>
            <w:shd w:val="clear" w:color="auto" w:fill="F3F6FC"/>
          </w:tcPr>
          <w:p w14:paraId="6366F9E6"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008DD47C" w14:textId="77777777" w:rsidR="00B50478" w:rsidRPr="00197FA2" w:rsidRDefault="00000000">
            <w:pPr>
              <w:spacing w:after="0"/>
              <w:rPr>
                <w:color w:val="000000" w:themeColor="text1"/>
              </w:rPr>
            </w:pPr>
            <w:r w:rsidRPr="00197FA2">
              <w:rPr>
                <w:color w:val="000000" w:themeColor="text1"/>
                <w:sz w:val="19"/>
              </w:rPr>
              <w:t>Synthetic claims with plan IDs and payer type, with formulary events injected on known dates; public formulary documents for realism.</w:t>
            </w:r>
          </w:p>
        </w:tc>
      </w:tr>
      <w:tr w:rsidR="00B50478" w:rsidRPr="00197FA2" w14:paraId="75DBDFBC" w14:textId="77777777">
        <w:trPr>
          <w:jc w:val="center"/>
        </w:trPr>
        <w:tc>
          <w:tcPr>
            <w:tcW w:w="2592" w:type="dxa"/>
          </w:tcPr>
          <w:p w14:paraId="6AAEA69E"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493AF528" w14:textId="77777777" w:rsidR="00B50478" w:rsidRPr="00197FA2" w:rsidRDefault="00000000">
            <w:pPr>
              <w:spacing w:after="0"/>
              <w:rPr>
                <w:color w:val="000000" w:themeColor="text1"/>
              </w:rPr>
            </w:pPr>
            <w:r w:rsidRPr="00197FA2">
              <w:rPr>
                <w:color w:val="000000" w:themeColor="text1"/>
                <w:sz w:val="19"/>
              </w:rPr>
              <w:t>Event study / difference-in-differences; interrupted time series; a gross-to-net calculation linking volume to net revenue (Wk 1 exercise).</w:t>
            </w:r>
          </w:p>
        </w:tc>
      </w:tr>
      <w:tr w:rsidR="00B50478" w:rsidRPr="00197FA2" w14:paraId="1AF13390" w14:textId="77777777">
        <w:trPr>
          <w:jc w:val="center"/>
        </w:trPr>
        <w:tc>
          <w:tcPr>
            <w:tcW w:w="2592" w:type="dxa"/>
            <w:shd w:val="clear" w:color="auto" w:fill="F3F6FC"/>
          </w:tcPr>
          <w:p w14:paraId="0F233832"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552F843E" w14:textId="77777777" w:rsidR="00B50478" w:rsidRPr="00197FA2" w:rsidRDefault="00000000">
            <w:pPr>
              <w:spacing w:after="0"/>
              <w:rPr>
                <w:color w:val="000000" w:themeColor="text1"/>
              </w:rPr>
            </w:pPr>
            <w:r w:rsidRPr="00197FA2">
              <w:rPr>
                <w:color w:val="000000" w:themeColor="text1"/>
                <w:sz w:val="19"/>
              </w:rPr>
              <w:t>A clean before/after estimate with a control group, translated into $ using a stated net price, and a one-page contracting recommendation.</w:t>
            </w:r>
          </w:p>
        </w:tc>
      </w:tr>
      <w:tr w:rsidR="00B50478" w:rsidRPr="00197FA2" w14:paraId="55C81705" w14:textId="77777777">
        <w:trPr>
          <w:jc w:val="center"/>
        </w:trPr>
        <w:tc>
          <w:tcPr>
            <w:tcW w:w="2592" w:type="dxa"/>
          </w:tcPr>
          <w:p w14:paraId="3253EA83" w14:textId="77777777" w:rsidR="00B50478" w:rsidRPr="00197FA2" w:rsidRDefault="00000000">
            <w:pPr>
              <w:spacing w:after="0"/>
              <w:rPr>
                <w:color w:val="000000" w:themeColor="text1"/>
              </w:rPr>
            </w:pPr>
            <w:r w:rsidRPr="00197FA2">
              <w:rPr>
                <w:b/>
                <w:color w:val="000000" w:themeColor="text1"/>
                <w:sz w:val="19"/>
              </w:rPr>
              <w:lastRenderedPageBreak/>
              <w:t>Traps mentors will probe</w:t>
            </w:r>
          </w:p>
        </w:tc>
        <w:tc>
          <w:tcPr>
            <w:tcW w:w="7344" w:type="dxa"/>
          </w:tcPr>
          <w:p w14:paraId="58587D34" w14:textId="77777777" w:rsidR="00B50478" w:rsidRPr="00197FA2" w:rsidRDefault="00000000">
            <w:pPr>
              <w:spacing w:after="0"/>
              <w:rPr>
                <w:color w:val="000000" w:themeColor="text1"/>
              </w:rPr>
            </w:pPr>
            <w:r w:rsidRPr="00197FA2">
              <w:rPr>
                <w:color w:val="000000" w:themeColor="text1"/>
                <w:sz w:val="19"/>
              </w:rPr>
              <w:t>Confounding by simultaneous promotion; spillover between plans; ignoring that rebates change the net price at the same time as volume.</w:t>
            </w:r>
          </w:p>
        </w:tc>
      </w:tr>
    </w:tbl>
    <w:p w14:paraId="78280091" w14:textId="77777777" w:rsidR="00B50478" w:rsidRPr="00197FA2" w:rsidRDefault="00B50478">
      <w:pPr>
        <w:spacing w:after="80"/>
        <w:rPr>
          <w:color w:val="000000" w:themeColor="text1"/>
        </w:rPr>
      </w:pPr>
    </w:p>
    <w:p w14:paraId="31AAAE24" w14:textId="77777777" w:rsidR="00B50478" w:rsidRPr="00197FA2" w:rsidRDefault="00000000">
      <w:pPr>
        <w:keepNext/>
        <w:spacing w:before="240" w:after="80"/>
        <w:rPr>
          <w:color w:val="000000" w:themeColor="text1"/>
        </w:rPr>
      </w:pPr>
      <w:r w:rsidRPr="00197FA2">
        <w:rPr>
          <w:b/>
          <w:color w:val="000000" w:themeColor="text1"/>
          <w:sz w:val="30"/>
        </w:rPr>
        <w:t>6. Launch forecast with analogs and an epidemiology funnel</w:t>
      </w:r>
    </w:p>
    <w:p w14:paraId="7BE77178" w14:textId="77777777" w:rsidR="00B50478" w:rsidRPr="00197FA2" w:rsidRDefault="00000000">
      <w:pPr>
        <w:spacing w:after="60"/>
        <w:rPr>
          <w:color w:val="000000" w:themeColor="text1"/>
        </w:rPr>
      </w:pPr>
      <w:r w:rsidRPr="00197FA2">
        <w:rPr>
          <w:i/>
          <w:color w:val="000000" w:themeColor="text1"/>
          <w:sz w:val="20"/>
        </w:rPr>
        <w:t>Track: Data science · Course weeks: 6, 1</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5F04B2F0" w14:textId="77777777">
        <w:trPr>
          <w:jc w:val="center"/>
        </w:trPr>
        <w:tc>
          <w:tcPr>
            <w:tcW w:w="2592" w:type="dxa"/>
            <w:shd w:val="clear" w:color="auto" w:fill="F3F6FC"/>
          </w:tcPr>
          <w:p w14:paraId="78F8F2FD"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018ED16B" w14:textId="77777777" w:rsidR="00B50478" w:rsidRPr="00197FA2" w:rsidRDefault="00000000">
            <w:pPr>
              <w:spacing w:after="0"/>
              <w:rPr>
                <w:color w:val="000000" w:themeColor="text1"/>
              </w:rPr>
            </w:pPr>
            <w:r w:rsidRPr="00197FA2">
              <w:rPr>
                <w:color w:val="000000" w:themeColor="text1"/>
                <w:sz w:val="19"/>
              </w:rPr>
              <w:t>What will a new brand's first three years of TRx look like, with a defensible range, and what drives the width of that range?</w:t>
            </w:r>
          </w:p>
        </w:tc>
      </w:tr>
      <w:tr w:rsidR="00B50478" w:rsidRPr="00197FA2" w14:paraId="3DCCF882" w14:textId="77777777">
        <w:trPr>
          <w:jc w:val="center"/>
        </w:trPr>
        <w:tc>
          <w:tcPr>
            <w:tcW w:w="2592" w:type="dxa"/>
          </w:tcPr>
          <w:p w14:paraId="52517C73"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1B203639" w14:textId="77777777" w:rsidR="00B50478" w:rsidRPr="00197FA2" w:rsidRDefault="00000000">
            <w:pPr>
              <w:spacing w:after="0"/>
              <w:rPr>
                <w:color w:val="000000" w:themeColor="text1"/>
              </w:rPr>
            </w:pPr>
            <w:r w:rsidRPr="00197FA2">
              <w:rPr>
                <w:color w:val="000000" w:themeColor="text1"/>
                <w:sz w:val="19"/>
              </w:rPr>
              <w:t>Brand and finance · patient flow through diagnosis and treatment; HCP adoption</w:t>
            </w:r>
          </w:p>
        </w:tc>
      </w:tr>
      <w:tr w:rsidR="00B50478" w:rsidRPr="00197FA2" w14:paraId="249DAD3E" w14:textId="77777777">
        <w:trPr>
          <w:jc w:val="center"/>
        </w:trPr>
        <w:tc>
          <w:tcPr>
            <w:tcW w:w="2592" w:type="dxa"/>
            <w:shd w:val="clear" w:color="auto" w:fill="F3F6FC"/>
          </w:tcPr>
          <w:p w14:paraId="7B6657DC"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20457B73" w14:textId="77777777" w:rsidR="00B50478" w:rsidRPr="00197FA2" w:rsidRDefault="00000000">
            <w:pPr>
              <w:spacing w:after="0"/>
              <w:rPr>
                <w:color w:val="000000" w:themeColor="text1"/>
              </w:rPr>
            </w:pPr>
            <w:r w:rsidRPr="00197FA2">
              <w:rPr>
                <w:color w:val="000000" w:themeColor="text1"/>
                <w:sz w:val="19"/>
              </w:rPr>
              <w:t>Public epidemiology (prevalence, diagnosis and treatment rates), public analog launch curves, synthetic access assumptions.</w:t>
            </w:r>
          </w:p>
        </w:tc>
      </w:tr>
      <w:tr w:rsidR="00B50478" w:rsidRPr="00197FA2" w14:paraId="4015C36C" w14:textId="77777777">
        <w:trPr>
          <w:jc w:val="center"/>
        </w:trPr>
        <w:tc>
          <w:tcPr>
            <w:tcW w:w="2592" w:type="dxa"/>
          </w:tcPr>
          <w:p w14:paraId="500BDB6B"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71ED850A" w14:textId="77777777" w:rsidR="00B50478" w:rsidRPr="00197FA2" w:rsidRDefault="00000000">
            <w:pPr>
              <w:spacing w:after="0"/>
              <w:rPr>
                <w:color w:val="000000" w:themeColor="text1"/>
              </w:rPr>
            </w:pPr>
            <w:r w:rsidRPr="00197FA2">
              <w:rPr>
                <w:color w:val="000000" w:themeColor="text1"/>
                <w:sz w:val="19"/>
              </w:rPr>
              <w:t>Epi funnel (incidence → diagnosed → treated → eligible → share); Bass diffusion; analog selection and scaling; scenario and Monte Carlo ranges; hierarchical reconciliation (Wk 6).</w:t>
            </w:r>
          </w:p>
        </w:tc>
      </w:tr>
      <w:tr w:rsidR="00B50478" w:rsidRPr="00197FA2" w14:paraId="7BC76B7B" w14:textId="77777777">
        <w:trPr>
          <w:jc w:val="center"/>
        </w:trPr>
        <w:tc>
          <w:tcPr>
            <w:tcW w:w="2592" w:type="dxa"/>
            <w:shd w:val="clear" w:color="auto" w:fill="F3F6FC"/>
          </w:tcPr>
          <w:p w14:paraId="1DF6EA91"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24917878" w14:textId="77777777" w:rsidR="00B50478" w:rsidRPr="00197FA2" w:rsidRDefault="00000000">
            <w:pPr>
              <w:spacing w:after="0"/>
              <w:rPr>
                <w:color w:val="000000" w:themeColor="text1"/>
              </w:rPr>
            </w:pPr>
            <w:r w:rsidRPr="00197FA2">
              <w:rPr>
                <w:color w:val="000000" w:themeColor="text1"/>
                <w:sz w:val="19"/>
              </w:rPr>
              <w:t>A forecast with explicit assumptions and a tornado chart of sensitivities; a comparison with a naive analog average; a one-page “what would change our mind.”</w:t>
            </w:r>
          </w:p>
        </w:tc>
      </w:tr>
      <w:tr w:rsidR="00B50478" w:rsidRPr="00197FA2" w14:paraId="1F4DF180" w14:textId="77777777">
        <w:trPr>
          <w:jc w:val="center"/>
        </w:trPr>
        <w:tc>
          <w:tcPr>
            <w:tcW w:w="2592" w:type="dxa"/>
          </w:tcPr>
          <w:p w14:paraId="2C73505C"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5EDEAADE" w14:textId="77777777" w:rsidR="00B50478" w:rsidRPr="00197FA2" w:rsidRDefault="00000000">
            <w:pPr>
              <w:spacing w:after="0"/>
              <w:rPr>
                <w:color w:val="000000" w:themeColor="text1"/>
              </w:rPr>
            </w:pPr>
            <w:r w:rsidRPr="00197FA2">
              <w:rPr>
                <w:color w:val="000000" w:themeColor="text1"/>
                <w:sz w:val="19"/>
              </w:rPr>
              <w:t>False precision; choosing analogs by therapeutic area only; forgetting access ramp and inventory pipeline fill.</w:t>
            </w:r>
          </w:p>
        </w:tc>
      </w:tr>
    </w:tbl>
    <w:p w14:paraId="0C366FBA" w14:textId="77777777" w:rsidR="00B50478" w:rsidRPr="00197FA2" w:rsidRDefault="00B50478">
      <w:pPr>
        <w:spacing w:after="80"/>
        <w:rPr>
          <w:color w:val="000000" w:themeColor="text1"/>
        </w:rPr>
      </w:pPr>
    </w:p>
    <w:p w14:paraId="1F68FD34" w14:textId="77777777" w:rsidR="00B50478" w:rsidRPr="00197FA2" w:rsidRDefault="00000000">
      <w:pPr>
        <w:keepNext/>
        <w:spacing w:before="240" w:after="80"/>
        <w:rPr>
          <w:color w:val="000000" w:themeColor="text1"/>
        </w:rPr>
      </w:pPr>
      <w:r w:rsidRPr="00197FA2">
        <w:rPr>
          <w:b/>
          <w:color w:val="000000" w:themeColor="text1"/>
          <w:sz w:val="30"/>
        </w:rPr>
        <w:t>7. Loss-of-exclusivity erosion model</w:t>
      </w:r>
    </w:p>
    <w:p w14:paraId="19C66412" w14:textId="77777777" w:rsidR="00B50478" w:rsidRPr="00197FA2" w:rsidRDefault="00000000">
      <w:pPr>
        <w:spacing w:after="60"/>
        <w:rPr>
          <w:color w:val="000000" w:themeColor="text1"/>
        </w:rPr>
      </w:pPr>
      <w:r w:rsidRPr="00197FA2">
        <w:rPr>
          <w:i/>
          <w:color w:val="000000" w:themeColor="text1"/>
          <w:sz w:val="20"/>
        </w:rPr>
        <w:t>Track: Data science · Course weeks: 6, 1</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612AE796" w14:textId="77777777">
        <w:trPr>
          <w:jc w:val="center"/>
        </w:trPr>
        <w:tc>
          <w:tcPr>
            <w:tcW w:w="2592" w:type="dxa"/>
            <w:shd w:val="clear" w:color="auto" w:fill="F3F6FC"/>
          </w:tcPr>
          <w:p w14:paraId="6AF9D882"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0DF3E87E" w14:textId="77777777" w:rsidR="00B50478" w:rsidRPr="00197FA2" w:rsidRDefault="00000000">
            <w:pPr>
              <w:spacing w:after="0"/>
              <w:rPr>
                <w:color w:val="000000" w:themeColor="text1"/>
              </w:rPr>
            </w:pPr>
            <w:r w:rsidRPr="00197FA2">
              <w:rPr>
                <w:color w:val="000000" w:themeColor="text1"/>
                <w:sz w:val="19"/>
              </w:rPr>
              <w:t>How fast will a brand's volume and net price erode after generic entry, and when should promotion stop?</w:t>
            </w:r>
          </w:p>
        </w:tc>
      </w:tr>
      <w:tr w:rsidR="00B50478" w:rsidRPr="00197FA2" w14:paraId="5BC0C9D5" w14:textId="77777777">
        <w:trPr>
          <w:jc w:val="center"/>
        </w:trPr>
        <w:tc>
          <w:tcPr>
            <w:tcW w:w="2592" w:type="dxa"/>
          </w:tcPr>
          <w:p w14:paraId="46036013"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0A89990A" w14:textId="77777777" w:rsidR="00B50478" w:rsidRPr="00197FA2" w:rsidRDefault="00000000">
            <w:pPr>
              <w:spacing w:after="0"/>
              <w:rPr>
                <w:color w:val="000000" w:themeColor="text1"/>
              </w:rPr>
            </w:pPr>
            <w:r w:rsidRPr="00197FA2">
              <w:rPr>
                <w:color w:val="000000" w:themeColor="text1"/>
                <w:sz w:val="19"/>
              </w:rPr>
              <w:t>Brand and finance · payer switching and generic substitution behavior</w:t>
            </w:r>
          </w:p>
        </w:tc>
      </w:tr>
      <w:tr w:rsidR="00B50478" w:rsidRPr="00197FA2" w14:paraId="483638CF" w14:textId="77777777">
        <w:trPr>
          <w:jc w:val="center"/>
        </w:trPr>
        <w:tc>
          <w:tcPr>
            <w:tcW w:w="2592" w:type="dxa"/>
            <w:shd w:val="clear" w:color="auto" w:fill="F3F6FC"/>
          </w:tcPr>
          <w:p w14:paraId="0E0BC8DF"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7525DA57" w14:textId="77777777" w:rsidR="00B50478" w:rsidRPr="00197FA2" w:rsidRDefault="00000000">
            <w:pPr>
              <w:spacing w:after="0"/>
              <w:rPr>
                <w:color w:val="000000" w:themeColor="text1"/>
              </w:rPr>
            </w:pPr>
            <w:r w:rsidRPr="00197FA2">
              <w:rPr>
                <w:color w:val="000000" w:themeColor="text1"/>
                <w:sz w:val="19"/>
              </w:rPr>
              <w:t>Public IQVIA/FDA data on historical LOE events; a synthetic brand P&amp;L to apply the erosion curve to.</w:t>
            </w:r>
          </w:p>
        </w:tc>
      </w:tr>
      <w:tr w:rsidR="00B50478" w:rsidRPr="00197FA2" w14:paraId="07ED006D" w14:textId="77777777">
        <w:trPr>
          <w:jc w:val="center"/>
        </w:trPr>
        <w:tc>
          <w:tcPr>
            <w:tcW w:w="2592" w:type="dxa"/>
          </w:tcPr>
          <w:p w14:paraId="632E4B1E"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0204A9A6" w14:textId="77777777" w:rsidR="00B50478" w:rsidRPr="00197FA2" w:rsidRDefault="00000000">
            <w:pPr>
              <w:spacing w:after="0"/>
              <w:rPr>
                <w:color w:val="000000" w:themeColor="text1"/>
              </w:rPr>
            </w:pPr>
            <w:r w:rsidRPr="00197FA2">
              <w:rPr>
                <w:color w:val="000000" w:themeColor="text1"/>
                <w:sz w:val="19"/>
              </w:rPr>
              <w:t>Time-series and scenario analysis; erosion-curve clustering by molecule type, number of generic entrants, and channel mix; break-even of promotional spend against remaining contribution.</w:t>
            </w:r>
          </w:p>
        </w:tc>
      </w:tr>
      <w:tr w:rsidR="00B50478" w:rsidRPr="00197FA2" w14:paraId="60DC6882" w14:textId="77777777">
        <w:trPr>
          <w:jc w:val="center"/>
        </w:trPr>
        <w:tc>
          <w:tcPr>
            <w:tcW w:w="2592" w:type="dxa"/>
            <w:shd w:val="clear" w:color="auto" w:fill="F3F6FC"/>
          </w:tcPr>
          <w:p w14:paraId="2A361524"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77D5D1BE" w14:textId="77777777" w:rsidR="00B50478" w:rsidRPr="00197FA2" w:rsidRDefault="00000000">
            <w:pPr>
              <w:spacing w:after="0"/>
              <w:rPr>
                <w:color w:val="000000" w:themeColor="text1"/>
              </w:rPr>
            </w:pPr>
            <w:r w:rsidRPr="00197FA2">
              <w:rPr>
                <w:color w:val="000000" w:themeColor="text1"/>
                <w:sz w:val="19"/>
              </w:rPr>
              <w:t>An erosion curve library with uncertainty, applied to the P&amp;L to recommend a promotion wind-down date.</w:t>
            </w:r>
          </w:p>
        </w:tc>
      </w:tr>
      <w:tr w:rsidR="00B50478" w:rsidRPr="00197FA2" w14:paraId="3FE14DDE" w14:textId="77777777">
        <w:trPr>
          <w:jc w:val="center"/>
        </w:trPr>
        <w:tc>
          <w:tcPr>
            <w:tcW w:w="2592" w:type="dxa"/>
          </w:tcPr>
          <w:p w14:paraId="02A23CD7"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2504B004" w14:textId="77777777" w:rsidR="00B50478" w:rsidRPr="00197FA2" w:rsidRDefault="00000000">
            <w:pPr>
              <w:spacing w:after="0"/>
              <w:rPr>
                <w:color w:val="000000" w:themeColor="text1"/>
              </w:rPr>
            </w:pPr>
            <w:r w:rsidRPr="00197FA2">
              <w:rPr>
                <w:color w:val="000000" w:themeColor="text1"/>
                <w:sz w:val="19"/>
              </w:rPr>
              <w:t>Treating biologics like small molecules; ignoring authorized generics; ignoring that net price erodes faster than volume in some markets.</w:t>
            </w:r>
          </w:p>
        </w:tc>
      </w:tr>
    </w:tbl>
    <w:p w14:paraId="417501E9" w14:textId="77777777" w:rsidR="00B50478" w:rsidRPr="00197FA2" w:rsidRDefault="00B50478">
      <w:pPr>
        <w:spacing w:after="80"/>
        <w:rPr>
          <w:color w:val="000000" w:themeColor="text1"/>
        </w:rPr>
      </w:pPr>
    </w:p>
    <w:p w14:paraId="40D70D54" w14:textId="77777777" w:rsidR="00B50478" w:rsidRPr="00197FA2" w:rsidRDefault="00000000">
      <w:pPr>
        <w:keepNext/>
        <w:spacing w:before="240" w:after="80"/>
        <w:rPr>
          <w:color w:val="000000" w:themeColor="text1"/>
        </w:rPr>
      </w:pPr>
      <w:r w:rsidRPr="00197FA2">
        <w:rPr>
          <w:b/>
          <w:color w:val="000000" w:themeColor="text1"/>
          <w:sz w:val="30"/>
        </w:rPr>
        <w:t>8. KOL and influence network analysis</w:t>
      </w:r>
    </w:p>
    <w:p w14:paraId="15272683" w14:textId="77777777" w:rsidR="00B50478" w:rsidRPr="00197FA2" w:rsidRDefault="00000000">
      <w:pPr>
        <w:spacing w:after="60"/>
        <w:rPr>
          <w:color w:val="000000" w:themeColor="text1"/>
        </w:rPr>
      </w:pPr>
      <w:r w:rsidRPr="00197FA2">
        <w:rPr>
          <w:i/>
          <w:color w:val="000000" w:themeColor="text1"/>
          <w:sz w:val="20"/>
        </w:rPr>
        <w:t>Track: Data science · Course weeks: 4, 7</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34ED3AAC" w14:textId="77777777">
        <w:trPr>
          <w:jc w:val="center"/>
        </w:trPr>
        <w:tc>
          <w:tcPr>
            <w:tcW w:w="2592" w:type="dxa"/>
            <w:shd w:val="clear" w:color="auto" w:fill="F3F6FC"/>
          </w:tcPr>
          <w:p w14:paraId="19FD1EA6"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1E8D7C7B" w14:textId="77777777" w:rsidR="00B50478" w:rsidRPr="00197FA2" w:rsidRDefault="00000000">
            <w:pPr>
              <w:spacing w:after="0"/>
              <w:rPr>
                <w:color w:val="000000" w:themeColor="text1"/>
              </w:rPr>
            </w:pPr>
            <w:r w:rsidRPr="00197FA2">
              <w:rPr>
                <w:color w:val="000000" w:themeColor="text1"/>
                <w:sz w:val="19"/>
              </w:rPr>
              <w:t>Which physicians shape prescribing in a specialty and region, and how should medical affairs prioritize engagement?</w:t>
            </w:r>
          </w:p>
        </w:tc>
      </w:tr>
      <w:tr w:rsidR="00B50478" w:rsidRPr="00197FA2" w14:paraId="49727C43" w14:textId="77777777">
        <w:trPr>
          <w:jc w:val="center"/>
        </w:trPr>
        <w:tc>
          <w:tcPr>
            <w:tcW w:w="2592" w:type="dxa"/>
          </w:tcPr>
          <w:p w14:paraId="0BF0B6F9"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2CA823CF" w14:textId="77777777" w:rsidR="00B50478" w:rsidRPr="00197FA2" w:rsidRDefault="00000000">
            <w:pPr>
              <w:spacing w:after="0"/>
              <w:rPr>
                <w:color w:val="000000" w:themeColor="text1"/>
              </w:rPr>
            </w:pPr>
            <w:r w:rsidRPr="00197FA2">
              <w:rPr>
                <w:color w:val="000000" w:themeColor="text1"/>
                <w:sz w:val="19"/>
              </w:rPr>
              <w:t>Medical affairs · peer influence on HCP behavior</w:t>
            </w:r>
          </w:p>
        </w:tc>
      </w:tr>
      <w:tr w:rsidR="00B50478" w:rsidRPr="00197FA2" w14:paraId="7E54340A" w14:textId="77777777">
        <w:trPr>
          <w:jc w:val="center"/>
        </w:trPr>
        <w:tc>
          <w:tcPr>
            <w:tcW w:w="2592" w:type="dxa"/>
            <w:shd w:val="clear" w:color="auto" w:fill="F3F6FC"/>
          </w:tcPr>
          <w:p w14:paraId="4815FBCB"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0E697257" w14:textId="77777777" w:rsidR="00B50478" w:rsidRPr="00197FA2" w:rsidRDefault="00000000">
            <w:pPr>
              <w:spacing w:after="0"/>
              <w:rPr>
                <w:color w:val="000000" w:themeColor="text1"/>
              </w:rPr>
            </w:pPr>
            <w:r w:rsidRPr="00197FA2">
              <w:rPr>
                <w:color w:val="000000" w:themeColor="text1"/>
                <w:sz w:val="19"/>
              </w:rPr>
              <w:t>Public publication and co-authorship data (PubMed), Open Payments, synthetic referral/co-management links from claims.</w:t>
            </w:r>
          </w:p>
        </w:tc>
      </w:tr>
      <w:tr w:rsidR="00B50478" w:rsidRPr="00197FA2" w14:paraId="793E7A08" w14:textId="77777777">
        <w:trPr>
          <w:jc w:val="center"/>
        </w:trPr>
        <w:tc>
          <w:tcPr>
            <w:tcW w:w="2592" w:type="dxa"/>
          </w:tcPr>
          <w:p w14:paraId="7F5D6BED"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3E024C86" w14:textId="77777777" w:rsidR="00B50478" w:rsidRPr="00197FA2" w:rsidRDefault="00000000">
            <w:pPr>
              <w:spacing w:after="0"/>
              <w:rPr>
                <w:color w:val="000000" w:themeColor="text1"/>
              </w:rPr>
            </w:pPr>
            <w:r w:rsidRPr="00197FA2">
              <w:rPr>
                <w:color w:val="000000" w:themeColor="text1"/>
                <w:sz w:val="19"/>
              </w:rPr>
              <w:t>Graph construction and centrality; community detection; diffusion of prescribing behavior on the network; a ranking with explanations.</w:t>
            </w:r>
          </w:p>
        </w:tc>
      </w:tr>
      <w:tr w:rsidR="00B50478" w:rsidRPr="00197FA2" w14:paraId="22A7EBAB" w14:textId="77777777">
        <w:trPr>
          <w:jc w:val="center"/>
        </w:trPr>
        <w:tc>
          <w:tcPr>
            <w:tcW w:w="2592" w:type="dxa"/>
            <w:shd w:val="clear" w:color="auto" w:fill="F3F6FC"/>
          </w:tcPr>
          <w:p w14:paraId="6CDC7E70"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61EB805A" w14:textId="77777777" w:rsidR="00B50478" w:rsidRPr="00197FA2" w:rsidRDefault="00000000">
            <w:pPr>
              <w:spacing w:after="0"/>
              <w:rPr>
                <w:color w:val="000000" w:themeColor="text1"/>
              </w:rPr>
            </w:pPr>
            <w:r w:rsidRPr="00197FA2">
              <w:rPr>
                <w:color w:val="000000" w:themeColor="text1"/>
                <w:sz w:val="19"/>
              </w:rPr>
              <w:t>A ranked, explainable KOL map; validation against known guideline authors; a compliant engagement plan (non-promotional).</w:t>
            </w:r>
          </w:p>
        </w:tc>
      </w:tr>
      <w:tr w:rsidR="00B50478" w:rsidRPr="00197FA2" w14:paraId="040ACD76" w14:textId="77777777">
        <w:trPr>
          <w:jc w:val="center"/>
        </w:trPr>
        <w:tc>
          <w:tcPr>
            <w:tcW w:w="2592" w:type="dxa"/>
          </w:tcPr>
          <w:p w14:paraId="1F08B2F9"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2BC6C89C" w14:textId="77777777" w:rsidR="00B50478" w:rsidRPr="00197FA2" w:rsidRDefault="00000000">
            <w:pPr>
              <w:spacing w:after="0"/>
              <w:rPr>
                <w:color w:val="000000" w:themeColor="text1"/>
              </w:rPr>
            </w:pPr>
            <w:r w:rsidRPr="00197FA2">
              <w:rPr>
                <w:color w:val="000000" w:themeColor="text1"/>
                <w:sz w:val="19"/>
              </w:rPr>
              <w:t>Confusing volume with influence; data-source bias (academics over community physicians); compliance boundaries between medical and commercial.</w:t>
            </w:r>
          </w:p>
        </w:tc>
      </w:tr>
    </w:tbl>
    <w:p w14:paraId="2D78D19B" w14:textId="77777777" w:rsidR="00B50478" w:rsidRPr="00197FA2" w:rsidRDefault="00B50478">
      <w:pPr>
        <w:spacing w:after="80"/>
        <w:rPr>
          <w:color w:val="000000" w:themeColor="text1"/>
        </w:rPr>
      </w:pPr>
    </w:p>
    <w:p w14:paraId="0F0DE175" w14:textId="77777777" w:rsidR="00B50478" w:rsidRPr="00197FA2" w:rsidRDefault="00000000">
      <w:pPr>
        <w:keepNext/>
        <w:spacing w:before="240" w:after="80"/>
        <w:rPr>
          <w:color w:val="000000" w:themeColor="text1"/>
        </w:rPr>
      </w:pPr>
      <w:r w:rsidRPr="00197FA2">
        <w:rPr>
          <w:b/>
          <w:color w:val="000000" w:themeColor="text1"/>
          <w:sz w:val="30"/>
        </w:rPr>
        <w:lastRenderedPageBreak/>
        <w:t>9. Field-note insight extraction</w:t>
      </w:r>
    </w:p>
    <w:p w14:paraId="228EF72F" w14:textId="77777777" w:rsidR="00B50478" w:rsidRPr="00197FA2" w:rsidRDefault="00000000">
      <w:pPr>
        <w:spacing w:after="60"/>
        <w:rPr>
          <w:color w:val="000000" w:themeColor="text1"/>
        </w:rPr>
      </w:pPr>
      <w:r w:rsidRPr="00197FA2">
        <w:rPr>
          <w:i/>
          <w:color w:val="000000" w:themeColor="text1"/>
          <w:sz w:val="20"/>
        </w:rPr>
        <w:t>Track: NLP (syllabus archetype) · Course weeks: 7</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6135ABA2" w14:textId="77777777">
        <w:trPr>
          <w:jc w:val="center"/>
        </w:trPr>
        <w:tc>
          <w:tcPr>
            <w:tcW w:w="2592" w:type="dxa"/>
            <w:shd w:val="clear" w:color="auto" w:fill="F3F6FC"/>
          </w:tcPr>
          <w:p w14:paraId="61AD89F5"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59926B92" w14:textId="77777777" w:rsidR="00B50478" w:rsidRPr="00197FA2" w:rsidRDefault="00000000">
            <w:pPr>
              <w:spacing w:after="0"/>
              <w:rPr>
                <w:color w:val="000000" w:themeColor="text1"/>
              </w:rPr>
            </w:pPr>
            <w:r w:rsidRPr="00197FA2">
              <w:rPr>
                <w:color w:val="000000" w:themeColor="text1"/>
                <w:sz w:val="19"/>
              </w:rPr>
              <w:t>What are reps and MSLs hearing about access barriers, efficacy perceptions and competitors — by segment and region — and how is it trending?</w:t>
            </w:r>
          </w:p>
        </w:tc>
      </w:tr>
      <w:tr w:rsidR="00B50478" w:rsidRPr="00197FA2" w14:paraId="0A8A450E" w14:textId="77777777">
        <w:trPr>
          <w:jc w:val="center"/>
        </w:trPr>
        <w:tc>
          <w:tcPr>
            <w:tcW w:w="2592" w:type="dxa"/>
          </w:tcPr>
          <w:p w14:paraId="63065FC2"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069483A0" w14:textId="77777777" w:rsidR="00B50478" w:rsidRPr="00197FA2" w:rsidRDefault="00000000">
            <w:pPr>
              <w:spacing w:after="0"/>
              <w:rPr>
                <w:color w:val="000000" w:themeColor="text1"/>
              </w:rPr>
            </w:pPr>
            <w:r w:rsidRPr="00197FA2">
              <w:rPr>
                <w:color w:val="000000" w:themeColor="text1"/>
                <w:sz w:val="19"/>
              </w:rPr>
              <w:t>Brand and medical leadership · HCP sentiment as reported in the field</w:t>
            </w:r>
          </w:p>
        </w:tc>
      </w:tr>
      <w:tr w:rsidR="00B50478" w:rsidRPr="00197FA2" w14:paraId="6730C3E6" w14:textId="77777777">
        <w:trPr>
          <w:jc w:val="center"/>
        </w:trPr>
        <w:tc>
          <w:tcPr>
            <w:tcW w:w="2592" w:type="dxa"/>
            <w:shd w:val="clear" w:color="auto" w:fill="F3F6FC"/>
          </w:tcPr>
          <w:p w14:paraId="7587D8D7"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77969721" w14:textId="77777777" w:rsidR="00B50478" w:rsidRPr="00197FA2" w:rsidRDefault="00000000">
            <w:pPr>
              <w:spacing w:after="0"/>
              <w:rPr>
                <w:color w:val="000000" w:themeColor="text1"/>
              </w:rPr>
            </w:pPr>
            <w:r w:rsidRPr="00197FA2">
              <w:rPr>
                <w:color w:val="000000" w:themeColor="text1"/>
                <w:sz w:val="19"/>
              </w:rPr>
              <w:t>Generate 5–20k synthetic CRM call notes with an LLM from a specified distribution of themes, then treat the generator's labels as (noisy) ground truth.</w:t>
            </w:r>
          </w:p>
        </w:tc>
      </w:tr>
      <w:tr w:rsidR="00B50478" w:rsidRPr="00197FA2" w14:paraId="3B22164E" w14:textId="77777777">
        <w:trPr>
          <w:jc w:val="center"/>
        </w:trPr>
        <w:tc>
          <w:tcPr>
            <w:tcW w:w="2592" w:type="dxa"/>
          </w:tcPr>
          <w:p w14:paraId="54D83295"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05196AC7" w14:textId="77777777" w:rsidR="00B50478" w:rsidRPr="00197FA2" w:rsidRDefault="00000000">
            <w:pPr>
              <w:spacing w:after="0"/>
              <w:rPr>
                <w:color w:val="000000" w:themeColor="text1"/>
              </w:rPr>
            </w:pPr>
            <w:r w:rsidRPr="00197FA2">
              <w:rPr>
                <w:color w:val="000000" w:themeColor="text1"/>
                <w:sz w:val="19"/>
              </w:rPr>
              <w:t>Embeddings and clustering; topic models; LLM-based structured extraction with a schema; sentiment; an evaluation against the labels and a human review sample (Wk 7).</w:t>
            </w:r>
          </w:p>
        </w:tc>
      </w:tr>
      <w:tr w:rsidR="00B50478" w:rsidRPr="00197FA2" w14:paraId="371D11C9" w14:textId="77777777">
        <w:trPr>
          <w:jc w:val="center"/>
        </w:trPr>
        <w:tc>
          <w:tcPr>
            <w:tcW w:w="2592" w:type="dxa"/>
            <w:shd w:val="clear" w:color="auto" w:fill="F3F6FC"/>
          </w:tcPr>
          <w:p w14:paraId="25BE8927"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19A05657" w14:textId="77777777" w:rsidR="00B50478" w:rsidRPr="00197FA2" w:rsidRDefault="00000000">
            <w:pPr>
              <w:spacing w:after="0"/>
              <w:rPr>
                <w:color w:val="000000" w:themeColor="text1"/>
              </w:rPr>
            </w:pPr>
            <w:r w:rsidRPr="00197FA2">
              <w:rPr>
                <w:color w:val="000000" w:themeColor="text1"/>
                <w:sz w:val="19"/>
              </w:rPr>
              <w:t>A dashboard-ready table of themes by segment/region/month with representative quotes, precision/recall of the extractor, and a discussion of adverse-event handling.</w:t>
            </w:r>
          </w:p>
        </w:tc>
      </w:tr>
      <w:tr w:rsidR="00B50478" w:rsidRPr="00197FA2" w14:paraId="63887872" w14:textId="77777777">
        <w:trPr>
          <w:jc w:val="center"/>
        </w:trPr>
        <w:tc>
          <w:tcPr>
            <w:tcW w:w="2592" w:type="dxa"/>
          </w:tcPr>
          <w:p w14:paraId="71401F1D"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43F6863C" w14:textId="77777777" w:rsidR="00B50478" w:rsidRPr="00197FA2" w:rsidRDefault="00000000">
            <w:pPr>
              <w:spacing w:after="0"/>
              <w:rPr>
                <w:color w:val="000000" w:themeColor="text1"/>
              </w:rPr>
            </w:pPr>
            <w:r w:rsidRPr="00197FA2">
              <w:rPr>
                <w:color w:val="000000" w:themeColor="text1"/>
                <w:sz w:val="19"/>
              </w:rPr>
              <w:t>Adverse-event mentions must be routed to pharmacovigilance — design for it; synthetic notes being too clean; hallucinated themes.</w:t>
            </w:r>
          </w:p>
        </w:tc>
      </w:tr>
    </w:tbl>
    <w:p w14:paraId="0581A6A7" w14:textId="77777777" w:rsidR="00B50478" w:rsidRPr="00197FA2" w:rsidRDefault="00B50478">
      <w:pPr>
        <w:spacing w:after="80"/>
        <w:rPr>
          <w:color w:val="000000" w:themeColor="text1"/>
        </w:rPr>
      </w:pPr>
    </w:p>
    <w:p w14:paraId="59E30419" w14:textId="77777777" w:rsidR="00B50478" w:rsidRPr="00197FA2" w:rsidRDefault="00000000">
      <w:pPr>
        <w:keepNext/>
        <w:spacing w:before="240" w:after="80"/>
        <w:rPr>
          <w:color w:val="000000" w:themeColor="text1"/>
        </w:rPr>
      </w:pPr>
      <w:r w:rsidRPr="00197FA2">
        <w:rPr>
          <w:b/>
          <w:color w:val="000000" w:themeColor="text1"/>
          <w:sz w:val="30"/>
        </w:rPr>
        <w:t>10. Social-listening and adverse-event triage</w:t>
      </w:r>
    </w:p>
    <w:p w14:paraId="75210C18" w14:textId="77777777" w:rsidR="00B50478" w:rsidRPr="00197FA2" w:rsidRDefault="00000000">
      <w:pPr>
        <w:spacing w:after="60"/>
        <w:rPr>
          <w:color w:val="000000" w:themeColor="text1"/>
        </w:rPr>
      </w:pPr>
      <w:r w:rsidRPr="00197FA2">
        <w:rPr>
          <w:i/>
          <w:color w:val="000000" w:themeColor="text1"/>
          <w:sz w:val="20"/>
        </w:rPr>
        <w:t>Track: NLP · Course weeks: 7</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042A49DB" w14:textId="77777777">
        <w:trPr>
          <w:jc w:val="center"/>
        </w:trPr>
        <w:tc>
          <w:tcPr>
            <w:tcW w:w="2592" w:type="dxa"/>
            <w:shd w:val="clear" w:color="auto" w:fill="F3F6FC"/>
          </w:tcPr>
          <w:p w14:paraId="0FD9ECD5"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365F6173" w14:textId="77777777" w:rsidR="00B50478" w:rsidRPr="00197FA2" w:rsidRDefault="00000000">
            <w:pPr>
              <w:spacing w:after="0"/>
              <w:rPr>
                <w:color w:val="000000" w:themeColor="text1"/>
              </w:rPr>
            </w:pPr>
            <w:r w:rsidRPr="00197FA2">
              <w:rPr>
                <w:color w:val="000000" w:themeColor="text1"/>
                <w:sz w:val="19"/>
              </w:rPr>
              <w:t>Among posts mentioning a brand, which describe a possible adverse event vs. a complaint, a question, or noise?</w:t>
            </w:r>
          </w:p>
        </w:tc>
      </w:tr>
      <w:tr w:rsidR="00B50478" w:rsidRPr="00197FA2" w14:paraId="79E5A0F6" w14:textId="77777777">
        <w:trPr>
          <w:jc w:val="center"/>
        </w:trPr>
        <w:tc>
          <w:tcPr>
            <w:tcW w:w="2592" w:type="dxa"/>
          </w:tcPr>
          <w:p w14:paraId="655FF833"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2DC1ABB9" w14:textId="77777777" w:rsidR="00B50478" w:rsidRPr="00197FA2" w:rsidRDefault="00000000">
            <w:pPr>
              <w:spacing w:after="0"/>
              <w:rPr>
                <w:color w:val="000000" w:themeColor="text1"/>
              </w:rPr>
            </w:pPr>
            <w:r w:rsidRPr="00197FA2">
              <w:rPr>
                <w:color w:val="000000" w:themeColor="text1"/>
                <w:sz w:val="19"/>
              </w:rPr>
              <w:t>Pharmacovigilance and brand · patient voice</w:t>
            </w:r>
          </w:p>
        </w:tc>
      </w:tr>
      <w:tr w:rsidR="00B50478" w:rsidRPr="00197FA2" w14:paraId="0AAFA7AF" w14:textId="77777777">
        <w:trPr>
          <w:jc w:val="center"/>
        </w:trPr>
        <w:tc>
          <w:tcPr>
            <w:tcW w:w="2592" w:type="dxa"/>
            <w:shd w:val="clear" w:color="auto" w:fill="F3F6FC"/>
          </w:tcPr>
          <w:p w14:paraId="795CE584"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7BDDE539" w14:textId="77777777" w:rsidR="00B50478" w:rsidRPr="00197FA2" w:rsidRDefault="00000000">
            <w:pPr>
              <w:spacing w:after="0"/>
              <w:rPr>
                <w:color w:val="000000" w:themeColor="text1"/>
              </w:rPr>
            </w:pPr>
            <w:r w:rsidRPr="00197FA2">
              <w:rPr>
                <w:color w:val="000000" w:themeColor="text1"/>
                <w:sz w:val="19"/>
              </w:rPr>
              <w:t>Synthetic social posts (LLM-generated with labels) and public de-identified forums where licensing allows.</w:t>
            </w:r>
          </w:p>
        </w:tc>
      </w:tr>
      <w:tr w:rsidR="00B50478" w:rsidRPr="00197FA2" w14:paraId="173EC24C" w14:textId="77777777">
        <w:trPr>
          <w:jc w:val="center"/>
        </w:trPr>
        <w:tc>
          <w:tcPr>
            <w:tcW w:w="2592" w:type="dxa"/>
          </w:tcPr>
          <w:p w14:paraId="0FC08E50"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69204D34" w14:textId="77777777" w:rsidR="00B50478" w:rsidRPr="00197FA2" w:rsidRDefault="00000000">
            <w:pPr>
              <w:spacing w:after="0"/>
              <w:rPr>
                <w:color w:val="000000" w:themeColor="text1"/>
              </w:rPr>
            </w:pPr>
            <w:r w:rsidRPr="00197FA2">
              <w:rPr>
                <w:color w:val="000000" w:themeColor="text1"/>
                <w:sz w:val="19"/>
              </w:rPr>
              <w:t>Classification with general vs. domain models (BioBERT/ClinicalBERT vs. a generic transformer); active learning; cost-sensitive evaluation (Wk 7).</w:t>
            </w:r>
          </w:p>
        </w:tc>
      </w:tr>
      <w:tr w:rsidR="00B50478" w:rsidRPr="00197FA2" w14:paraId="443A4B34" w14:textId="77777777">
        <w:trPr>
          <w:jc w:val="center"/>
        </w:trPr>
        <w:tc>
          <w:tcPr>
            <w:tcW w:w="2592" w:type="dxa"/>
            <w:shd w:val="clear" w:color="auto" w:fill="F3F6FC"/>
          </w:tcPr>
          <w:p w14:paraId="5DB0A17E"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5C304E57" w14:textId="77777777" w:rsidR="00B50478" w:rsidRPr="00197FA2" w:rsidRDefault="00000000">
            <w:pPr>
              <w:spacing w:after="0"/>
              <w:rPr>
                <w:color w:val="000000" w:themeColor="text1"/>
              </w:rPr>
            </w:pPr>
            <w:r w:rsidRPr="00197FA2">
              <w:rPr>
                <w:color w:val="000000" w:themeColor="text1"/>
                <w:sz w:val="19"/>
              </w:rPr>
              <w:t>A triage model with a precision/recall trade-off chosen for the PV use case, error analysis, and a human-in-the-loop workflow diagram.</w:t>
            </w:r>
          </w:p>
        </w:tc>
      </w:tr>
      <w:tr w:rsidR="00B50478" w:rsidRPr="00197FA2" w14:paraId="66CDAAE1" w14:textId="77777777">
        <w:trPr>
          <w:jc w:val="center"/>
        </w:trPr>
        <w:tc>
          <w:tcPr>
            <w:tcW w:w="2592" w:type="dxa"/>
          </w:tcPr>
          <w:p w14:paraId="0B63DD70"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1132D979" w14:textId="77777777" w:rsidR="00B50478" w:rsidRPr="00197FA2" w:rsidRDefault="00000000">
            <w:pPr>
              <w:spacing w:after="0"/>
              <w:rPr>
                <w:color w:val="000000" w:themeColor="text1"/>
              </w:rPr>
            </w:pPr>
            <w:r w:rsidRPr="00197FA2">
              <w:rPr>
                <w:color w:val="000000" w:themeColor="text1"/>
                <w:sz w:val="19"/>
              </w:rPr>
              <w:t>Recall matters more than precision here — say so; regulatory reporting timelines; leakage from templated synthetic text.</w:t>
            </w:r>
          </w:p>
        </w:tc>
      </w:tr>
    </w:tbl>
    <w:p w14:paraId="7B217538" w14:textId="77777777" w:rsidR="00B50478" w:rsidRPr="00197FA2" w:rsidRDefault="00B50478">
      <w:pPr>
        <w:spacing w:after="80"/>
        <w:rPr>
          <w:color w:val="000000" w:themeColor="text1"/>
        </w:rPr>
      </w:pPr>
    </w:p>
    <w:p w14:paraId="4D9ACC5F" w14:textId="77777777" w:rsidR="00B50478" w:rsidRPr="00197FA2" w:rsidRDefault="00000000">
      <w:pPr>
        <w:keepNext/>
        <w:spacing w:before="240" w:after="80"/>
        <w:rPr>
          <w:color w:val="000000" w:themeColor="text1"/>
        </w:rPr>
      </w:pPr>
      <w:r w:rsidRPr="00197FA2">
        <w:rPr>
          <w:b/>
          <w:color w:val="000000" w:themeColor="text1"/>
          <w:sz w:val="30"/>
        </w:rPr>
        <w:t>11. MLR pre-review assistant</w:t>
      </w:r>
    </w:p>
    <w:p w14:paraId="469F290F" w14:textId="77777777" w:rsidR="00B50478" w:rsidRPr="00197FA2" w:rsidRDefault="00000000">
      <w:pPr>
        <w:spacing w:after="60"/>
        <w:rPr>
          <w:color w:val="000000" w:themeColor="text1"/>
        </w:rPr>
      </w:pPr>
      <w:r w:rsidRPr="00197FA2">
        <w:rPr>
          <w:i/>
          <w:color w:val="000000" w:themeColor="text1"/>
          <w:sz w:val="20"/>
        </w:rPr>
        <w:t>Track: GenAI · Course weeks: 7</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35D6AE37" w14:textId="77777777">
        <w:trPr>
          <w:jc w:val="center"/>
        </w:trPr>
        <w:tc>
          <w:tcPr>
            <w:tcW w:w="2592" w:type="dxa"/>
            <w:shd w:val="clear" w:color="auto" w:fill="F3F6FC"/>
          </w:tcPr>
          <w:p w14:paraId="62F70867"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3A0A3D19" w14:textId="77777777" w:rsidR="00B50478" w:rsidRPr="00197FA2" w:rsidRDefault="00000000">
            <w:pPr>
              <w:spacing w:after="0"/>
              <w:rPr>
                <w:color w:val="000000" w:themeColor="text1"/>
              </w:rPr>
            </w:pPr>
            <w:r w:rsidRPr="00197FA2">
              <w:rPr>
                <w:color w:val="000000" w:themeColor="text1"/>
                <w:sz w:val="19"/>
              </w:rPr>
              <w:t>Does a draft promotional claim match the label and the approved reference deck, and what would a reviewer flag?</w:t>
            </w:r>
          </w:p>
        </w:tc>
      </w:tr>
      <w:tr w:rsidR="00B50478" w:rsidRPr="00197FA2" w14:paraId="2CFCFFE2" w14:textId="77777777">
        <w:trPr>
          <w:jc w:val="center"/>
        </w:trPr>
        <w:tc>
          <w:tcPr>
            <w:tcW w:w="2592" w:type="dxa"/>
          </w:tcPr>
          <w:p w14:paraId="07E64E6C"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295B41EE" w14:textId="77777777" w:rsidR="00B50478" w:rsidRPr="00197FA2" w:rsidRDefault="00000000">
            <w:pPr>
              <w:spacing w:after="0"/>
              <w:rPr>
                <w:color w:val="000000" w:themeColor="text1"/>
              </w:rPr>
            </w:pPr>
            <w:r w:rsidRPr="00197FA2">
              <w:rPr>
                <w:color w:val="000000" w:themeColor="text1"/>
                <w:sz w:val="19"/>
              </w:rPr>
              <w:t>Medical-legal-regulatory review · reviewer judgement</w:t>
            </w:r>
          </w:p>
        </w:tc>
      </w:tr>
      <w:tr w:rsidR="00B50478" w:rsidRPr="00197FA2" w14:paraId="48A64FAC" w14:textId="77777777">
        <w:trPr>
          <w:jc w:val="center"/>
        </w:trPr>
        <w:tc>
          <w:tcPr>
            <w:tcW w:w="2592" w:type="dxa"/>
            <w:shd w:val="clear" w:color="auto" w:fill="F3F6FC"/>
          </w:tcPr>
          <w:p w14:paraId="00F15254"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44F01018" w14:textId="77777777" w:rsidR="00B50478" w:rsidRPr="00197FA2" w:rsidRDefault="00000000">
            <w:pPr>
              <w:spacing w:after="0"/>
              <w:rPr>
                <w:color w:val="000000" w:themeColor="text1"/>
              </w:rPr>
            </w:pPr>
            <w:r w:rsidRPr="00197FA2">
              <w:rPr>
                <w:color w:val="000000" w:themeColor="text1"/>
                <w:sz w:val="19"/>
              </w:rPr>
              <w:t>A public FDA label for a real (non-course) drug; a set of synthetic claims (some compliant, some not) you author with labels.</w:t>
            </w:r>
          </w:p>
        </w:tc>
      </w:tr>
      <w:tr w:rsidR="00B50478" w:rsidRPr="00197FA2" w14:paraId="5E895D26" w14:textId="77777777">
        <w:trPr>
          <w:jc w:val="center"/>
        </w:trPr>
        <w:tc>
          <w:tcPr>
            <w:tcW w:w="2592" w:type="dxa"/>
          </w:tcPr>
          <w:p w14:paraId="2F4B4E74"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770D913A" w14:textId="77777777" w:rsidR="00B50478" w:rsidRPr="00197FA2" w:rsidRDefault="00000000">
            <w:pPr>
              <w:spacing w:after="0"/>
              <w:rPr>
                <w:color w:val="000000" w:themeColor="text1"/>
              </w:rPr>
            </w:pPr>
            <w:r w:rsidRPr="00197FA2">
              <w:rPr>
                <w:color w:val="000000" w:themeColor="text1"/>
                <w:sz w:val="19"/>
              </w:rPr>
              <w:t>Retrieval-augmented generation over the label; claim-to-evidence matching; an evaluation harness with precision/recall on flagged claims and a false-negative analysis.</w:t>
            </w:r>
          </w:p>
        </w:tc>
      </w:tr>
      <w:tr w:rsidR="00B50478" w:rsidRPr="00197FA2" w14:paraId="4ABC0FED" w14:textId="77777777">
        <w:trPr>
          <w:jc w:val="center"/>
        </w:trPr>
        <w:tc>
          <w:tcPr>
            <w:tcW w:w="2592" w:type="dxa"/>
            <w:shd w:val="clear" w:color="auto" w:fill="F3F6FC"/>
          </w:tcPr>
          <w:p w14:paraId="56C7570A"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38630B7A" w14:textId="77777777" w:rsidR="00B50478" w:rsidRPr="00197FA2" w:rsidRDefault="00000000">
            <w:pPr>
              <w:spacing w:after="0"/>
              <w:rPr>
                <w:color w:val="000000" w:themeColor="text1"/>
              </w:rPr>
            </w:pPr>
            <w:r w:rsidRPr="00197FA2">
              <w:rPr>
                <w:color w:val="000000" w:themeColor="text1"/>
                <w:sz w:val="19"/>
              </w:rPr>
              <w:t>A tool that cites the exact label sentence supporting or contradicting each claim, with measured accuracy and an explicit “not a substitute for MLR” boundary.</w:t>
            </w:r>
          </w:p>
        </w:tc>
      </w:tr>
      <w:tr w:rsidR="00B50478" w:rsidRPr="00197FA2" w14:paraId="0FFCDAC5" w14:textId="77777777">
        <w:trPr>
          <w:jc w:val="center"/>
        </w:trPr>
        <w:tc>
          <w:tcPr>
            <w:tcW w:w="2592" w:type="dxa"/>
          </w:tcPr>
          <w:p w14:paraId="2BBBD150"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5F59B836" w14:textId="77777777" w:rsidR="00B50478" w:rsidRPr="00197FA2" w:rsidRDefault="00000000">
            <w:pPr>
              <w:spacing w:after="0"/>
              <w:rPr>
                <w:color w:val="000000" w:themeColor="text1"/>
              </w:rPr>
            </w:pPr>
            <w:r w:rsidRPr="00197FA2">
              <w:rPr>
                <w:color w:val="000000" w:themeColor="text1"/>
                <w:sz w:val="19"/>
              </w:rPr>
              <w:t>Hallucinated citations; over-trust; failing on paraphrase; not measuring the cases that matter most (unsupported superiority claims).</w:t>
            </w:r>
          </w:p>
        </w:tc>
      </w:tr>
    </w:tbl>
    <w:p w14:paraId="7261614C" w14:textId="77777777" w:rsidR="00B50478" w:rsidRPr="00197FA2" w:rsidRDefault="00B50478">
      <w:pPr>
        <w:spacing w:after="80"/>
        <w:rPr>
          <w:color w:val="000000" w:themeColor="text1"/>
        </w:rPr>
      </w:pPr>
    </w:p>
    <w:p w14:paraId="1CDEA77C" w14:textId="77777777" w:rsidR="00B50478" w:rsidRPr="00197FA2" w:rsidRDefault="00000000">
      <w:pPr>
        <w:keepNext/>
        <w:spacing w:before="240" w:after="80"/>
        <w:rPr>
          <w:color w:val="000000" w:themeColor="text1"/>
        </w:rPr>
      </w:pPr>
      <w:r w:rsidRPr="00197FA2">
        <w:rPr>
          <w:b/>
          <w:color w:val="000000" w:themeColor="text1"/>
          <w:sz w:val="30"/>
        </w:rPr>
        <w:t>12. Weekly brand-performance briefing agent</w:t>
      </w:r>
    </w:p>
    <w:p w14:paraId="24CBF1BA" w14:textId="77777777" w:rsidR="00B50478" w:rsidRPr="00197FA2" w:rsidRDefault="00000000">
      <w:pPr>
        <w:spacing w:after="60"/>
        <w:rPr>
          <w:color w:val="000000" w:themeColor="text1"/>
        </w:rPr>
      </w:pPr>
      <w:r w:rsidRPr="00197FA2">
        <w:rPr>
          <w:i/>
          <w:color w:val="000000" w:themeColor="text1"/>
          <w:sz w:val="20"/>
        </w:rPr>
        <w:t>Track: Agentic AI (syllabus archetype) · Course weeks: 1, 3, 6, 10</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14B4285B" w14:textId="77777777">
        <w:trPr>
          <w:jc w:val="center"/>
        </w:trPr>
        <w:tc>
          <w:tcPr>
            <w:tcW w:w="2592" w:type="dxa"/>
            <w:shd w:val="clear" w:color="auto" w:fill="F3F6FC"/>
          </w:tcPr>
          <w:p w14:paraId="3F053075" w14:textId="77777777" w:rsidR="00B50478" w:rsidRPr="00197FA2" w:rsidRDefault="00000000">
            <w:pPr>
              <w:spacing w:after="0"/>
              <w:rPr>
                <w:color w:val="000000" w:themeColor="text1"/>
              </w:rPr>
            </w:pPr>
            <w:r w:rsidRPr="00197FA2">
              <w:rPr>
                <w:b/>
                <w:color w:val="000000" w:themeColor="text1"/>
                <w:sz w:val="19"/>
              </w:rPr>
              <w:lastRenderedPageBreak/>
              <w:t>Commercial question</w:t>
            </w:r>
          </w:p>
        </w:tc>
        <w:tc>
          <w:tcPr>
            <w:tcW w:w="7344" w:type="dxa"/>
            <w:shd w:val="clear" w:color="auto" w:fill="F3F6FC"/>
          </w:tcPr>
          <w:p w14:paraId="4520C1B5" w14:textId="77777777" w:rsidR="00B50478" w:rsidRPr="00197FA2" w:rsidRDefault="00000000">
            <w:pPr>
              <w:spacing w:after="0"/>
              <w:rPr>
                <w:color w:val="000000" w:themeColor="text1"/>
              </w:rPr>
            </w:pPr>
            <w:r w:rsidRPr="00197FA2">
              <w:rPr>
                <w:color w:val="000000" w:themeColor="text1"/>
                <w:sz w:val="19"/>
              </w:rPr>
              <w:t>Can an agent produce the Monday brand briefing — pull the data, detect what changed, draft the narrative and flag actions — reliably enough that an analyst only reviews it?</w:t>
            </w:r>
          </w:p>
        </w:tc>
      </w:tr>
      <w:tr w:rsidR="00B50478" w:rsidRPr="00197FA2" w14:paraId="3C46ACA0" w14:textId="77777777">
        <w:trPr>
          <w:jc w:val="center"/>
        </w:trPr>
        <w:tc>
          <w:tcPr>
            <w:tcW w:w="2592" w:type="dxa"/>
          </w:tcPr>
          <w:p w14:paraId="5E7CD83D"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76808A4D" w14:textId="77777777" w:rsidR="00B50478" w:rsidRPr="00197FA2" w:rsidRDefault="00000000">
            <w:pPr>
              <w:spacing w:after="0"/>
              <w:rPr>
                <w:color w:val="000000" w:themeColor="text1"/>
              </w:rPr>
            </w:pPr>
            <w:r w:rsidRPr="00197FA2">
              <w:rPr>
                <w:color w:val="000000" w:themeColor="text1"/>
                <w:sz w:val="19"/>
              </w:rPr>
              <w:t>Brand analytics team · analyst workflow</w:t>
            </w:r>
          </w:p>
        </w:tc>
      </w:tr>
      <w:tr w:rsidR="00B50478" w:rsidRPr="00197FA2" w14:paraId="41390B96" w14:textId="77777777">
        <w:trPr>
          <w:jc w:val="center"/>
        </w:trPr>
        <w:tc>
          <w:tcPr>
            <w:tcW w:w="2592" w:type="dxa"/>
            <w:shd w:val="clear" w:color="auto" w:fill="F3F6FC"/>
          </w:tcPr>
          <w:p w14:paraId="7E594B51"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42AB506C" w14:textId="77777777" w:rsidR="00B50478" w:rsidRPr="00197FA2" w:rsidRDefault="00000000">
            <w:pPr>
              <w:spacing w:after="0"/>
              <w:rPr>
                <w:color w:val="000000" w:themeColor="text1"/>
              </w:rPr>
            </w:pPr>
            <w:r w:rsidRPr="00197FA2">
              <w:rPr>
                <w:color w:val="000000" w:themeColor="text1"/>
                <w:sz w:val="19"/>
              </w:rPr>
              <w:t>Synthetic weekly tables: TRx/NRx/NBRx by segment and geography, share, access status, promotion activity, with injected anomalies.</w:t>
            </w:r>
          </w:p>
        </w:tc>
      </w:tr>
      <w:tr w:rsidR="00B50478" w:rsidRPr="00197FA2" w14:paraId="74E22C78" w14:textId="77777777">
        <w:trPr>
          <w:jc w:val="center"/>
        </w:trPr>
        <w:tc>
          <w:tcPr>
            <w:tcW w:w="2592" w:type="dxa"/>
          </w:tcPr>
          <w:p w14:paraId="447E56DA"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3DD6CF79" w14:textId="77777777" w:rsidR="00B50478" w:rsidRPr="00197FA2" w:rsidRDefault="00000000">
            <w:pPr>
              <w:spacing w:after="0"/>
              <w:rPr>
                <w:color w:val="000000" w:themeColor="text1"/>
              </w:rPr>
            </w:pPr>
            <w:r w:rsidRPr="00197FA2">
              <w:rPr>
                <w:color w:val="000000" w:themeColor="text1"/>
                <w:sz w:val="19"/>
              </w:rPr>
              <w:t>Tool-using agent (SQL/pandas tools), anomaly detection, templated + LLM narrative, evaluation against analyst-written briefings; guardrails and logging.</w:t>
            </w:r>
          </w:p>
        </w:tc>
      </w:tr>
      <w:tr w:rsidR="00B50478" w:rsidRPr="00197FA2" w14:paraId="0F10AF2C" w14:textId="77777777">
        <w:trPr>
          <w:jc w:val="center"/>
        </w:trPr>
        <w:tc>
          <w:tcPr>
            <w:tcW w:w="2592" w:type="dxa"/>
            <w:shd w:val="clear" w:color="auto" w:fill="F3F6FC"/>
          </w:tcPr>
          <w:p w14:paraId="23D0FDCB"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23A51483" w14:textId="77777777" w:rsidR="00B50478" w:rsidRPr="00197FA2" w:rsidRDefault="00000000">
            <w:pPr>
              <w:spacing w:after="0"/>
              <w:rPr>
                <w:color w:val="000000" w:themeColor="text1"/>
              </w:rPr>
            </w:pPr>
            <w:r w:rsidRPr="00197FA2">
              <w:rPr>
                <w:color w:val="000000" w:themeColor="text1"/>
                <w:sz w:val="19"/>
              </w:rPr>
              <w:t>Ten weeks of generated briefings scored for factual accuracy, a catalog of failure modes, and a cost/time comparison with the manual process.</w:t>
            </w:r>
          </w:p>
        </w:tc>
      </w:tr>
      <w:tr w:rsidR="00B50478" w:rsidRPr="00197FA2" w14:paraId="5B08ECBF" w14:textId="77777777">
        <w:trPr>
          <w:jc w:val="center"/>
        </w:trPr>
        <w:tc>
          <w:tcPr>
            <w:tcW w:w="2592" w:type="dxa"/>
          </w:tcPr>
          <w:p w14:paraId="0E1CECB3"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06B14DF9" w14:textId="77777777" w:rsidR="00B50478" w:rsidRPr="00197FA2" w:rsidRDefault="00000000">
            <w:pPr>
              <w:spacing w:after="0"/>
              <w:rPr>
                <w:color w:val="000000" w:themeColor="text1"/>
              </w:rPr>
            </w:pPr>
            <w:r w:rsidRPr="00197FA2">
              <w:rPr>
                <w:color w:val="000000" w:themeColor="text1"/>
                <w:sz w:val="19"/>
              </w:rPr>
              <w:t>Numbers in the narrative that don't match the tables; no evaluation; “agent” that is really a fixed script (be honest about which parts are autonomous).</w:t>
            </w:r>
          </w:p>
        </w:tc>
      </w:tr>
    </w:tbl>
    <w:p w14:paraId="006F4A6F" w14:textId="77777777" w:rsidR="00B50478" w:rsidRPr="00197FA2" w:rsidRDefault="00B50478">
      <w:pPr>
        <w:spacing w:after="80"/>
        <w:rPr>
          <w:color w:val="000000" w:themeColor="text1"/>
        </w:rPr>
      </w:pPr>
    </w:p>
    <w:p w14:paraId="48873F25" w14:textId="77777777" w:rsidR="00B50478" w:rsidRPr="00197FA2" w:rsidRDefault="00000000">
      <w:pPr>
        <w:keepNext/>
        <w:spacing w:before="240" w:after="80"/>
        <w:rPr>
          <w:color w:val="000000" w:themeColor="text1"/>
        </w:rPr>
      </w:pPr>
      <w:r w:rsidRPr="00197FA2">
        <w:rPr>
          <w:b/>
          <w:color w:val="000000" w:themeColor="text1"/>
          <w:sz w:val="30"/>
        </w:rPr>
        <w:t>13. Payer-policy monitoring agent</w:t>
      </w:r>
    </w:p>
    <w:p w14:paraId="078E387A" w14:textId="77777777" w:rsidR="00B50478" w:rsidRPr="00197FA2" w:rsidRDefault="00000000">
      <w:pPr>
        <w:spacing w:after="60"/>
        <w:rPr>
          <w:color w:val="000000" w:themeColor="text1"/>
        </w:rPr>
      </w:pPr>
      <w:r w:rsidRPr="00197FA2">
        <w:rPr>
          <w:i/>
          <w:color w:val="000000" w:themeColor="text1"/>
          <w:sz w:val="20"/>
        </w:rPr>
        <w:t>Track: Agentic AI · Course weeks: 2, 6</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47F41392" w14:textId="77777777">
        <w:trPr>
          <w:jc w:val="center"/>
        </w:trPr>
        <w:tc>
          <w:tcPr>
            <w:tcW w:w="2592" w:type="dxa"/>
            <w:shd w:val="clear" w:color="auto" w:fill="F3F6FC"/>
          </w:tcPr>
          <w:p w14:paraId="76194A94"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434EFAB0" w14:textId="77777777" w:rsidR="00B50478" w:rsidRPr="00197FA2" w:rsidRDefault="00000000">
            <w:pPr>
              <w:spacing w:after="0"/>
              <w:rPr>
                <w:color w:val="000000" w:themeColor="text1"/>
              </w:rPr>
            </w:pPr>
            <w:r w:rsidRPr="00197FA2">
              <w:rPr>
                <w:color w:val="000000" w:themeColor="text1"/>
                <w:sz w:val="19"/>
              </w:rPr>
              <w:t>Which formulary and policy documents changed this month for our brand and competitors, what changed, and how many covered lives are affected?</w:t>
            </w:r>
          </w:p>
        </w:tc>
      </w:tr>
      <w:tr w:rsidR="00B50478" w:rsidRPr="00197FA2" w14:paraId="472A83A6" w14:textId="77777777">
        <w:trPr>
          <w:jc w:val="center"/>
        </w:trPr>
        <w:tc>
          <w:tcPr>
            <w:tcW w:w="2592" w:type="dxa"/>
          </w:tcPr>
          <w:p w14:paraId="799F9583"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7A37BBBF" w14:textId="77777777" w:rsidR="00B50478" w:rsidRPr="00197FA2" w:rsidRDefault="00000000">
            <w:pPr>
              <w:spacing w:after="0"/>
              <w:rPr>
                <w:color w:val="000000" w:themeColor="text1"/>
              </w:rPr>
            </w:pPr>
            <w:r w:rsidRPr="00197FA2">
              <w:rPr>
                <w:color w:val="000000" w:themeColor="text1"/>
                <w:sz w:val="19"/>
              </w:rPr>
              <w:t>Market access · payer decisions</w:t>
            </w:r>
          </w:p>
        </w:tc>
      </w:tr>
      <w:tr w:rsidR="00B50478" w:rsidRPr="00197FA2" w14:paraId="209DA8D7" w14:textId="77777777">
        <w:trPr>
          <w:jc w:val="center"/>
        </w:trPr>
        <w:tc>
          <w:tcPr>
            <w:tcW w:w="2592" w:type="dxa"/>
            <w:shd w:val="clear" w:color="auto" w:fill="F3F6FC"/>
          </w:tcPr>
          <w:p w14:paraId="45095B7C"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13077845" w14:textId="77777777" w:rsidR="00B50478" w:rsidRPr="00197FA2" w:rsidRDefault="00000000">
            <w:pPr>
              <w:spacing w:after="0"/>
              <w:rPr>
                <w:color w:val="000000" w:themeColor="text1"/>
              </w:rPr>
            </w:pPr>
            <w:r w:rsidRPr="00197FA2">
              <w:rPr>
                <w:color w:val="000000" w:themeColor="text1"/>
                <w:sz w:val="19"/>
              </w:rPr>
              <w:t>Public formulary PDFs and policy web pages (Medicare Part D formulary files are public); a synthetic covered-lives table.</w:t>
            </w:r>
          </w:p>
        </w:tc>
      </w:tr>
      <w:tr w:rsidR="00B50478" w:rsidRPr="00197FA2" w14:paraId="31D95159" w14:textId="77777777">
        <w:trPr>
          <w:jc w:val="center"/>
        </w:trPr>
        <w:tc>
          <w:tcPr>
            <w:tcW w:w="2592" w:type="dxa"/>
          </w:tcPr>
          <w:p w14:paraId="5B62F54E"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7E6989D3" w14:textId="77777777" w:rsidR="00B50478" w:rsidRPr="00197FA2" w:rsidRDefault="00000000">
            <w:pPr>
              <w:spacing w:after="0"/>
              <w:rPr>
                <w:color w:val="000000" w:themeColor="text1"/>
              </w:rPr>
            </w:pPr>
            <w:r w:rsidRPr="00197FA2">
              <w:rPr>
                <w:color w:val="000000" w:themeColor="text1"/>
                <w:sz w:val="19"/>
              </w:rPr>
              <w:t>Document parsing, diffing, retrieval and summarization; change classification; a human-review queue; exposure calculation.</w:t>
            </w:r>
          </w:p>
        </w:tc>
      </w:tr>
      <w:tr w:rsidR="00B50478" w:rsidRPr="00197FA2" w14:paraId="084EE4CC" w14:textId="77777777">
        <w:trPr>
          <w:jc w:val="center"/>
        </w:trPr>
        <w:tc>
          <w:tcPr>
            <w:tcW w:w="2592" w:type="dxa"/>
            <w:shd w:val="clear" w:color="auto" w:fill="F3F6FC"/>
          </w:tcPr>
          <w:p w14:paraId="79129A2C"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59B177D4" w14:textId="77777777" w:rsidR="00B50478" w:rsidRPr="00197FA2" w:rsidRDefault="00000000">
            <w:pPr>
              <w:spacing w:after="0"/>
              <w:rPr>
                <w:color w:val="000000" w:themeColor="text1"/>
              </w:rPr>
            </w:pPr>
            <w:r w:rsidRPr="00197FA2">
              <w:rPr>
                <w:color w:val="000000" w:themeColor="text1"/>
                <w:sz w:val="19"/>
              </w:rPr>
              <w:t>A monthly change report with source links, measured accuracy on a labeled set of changes, and a covered-lives exposure estimate.</w:t>
            </w:r>
          </w:p>
        </w:tc>
      </w:tr>
      <w:tr w:rsidR="00B50478" w:rsidRPr="00197FA2" w14:paraId="4EF1527B" w14:textId="77777777">
        <w:trPr>
          <w:jc w:val="center"/>
        </w:trPr>
        <w:tc>
          <w:tcPr>
            <w:tcW w:w="2592" w:type="dxa"/>
          </w:tcPr>
          <w:p w14:paraId="55AC2559"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4821ACDC" w14:textId="77777777" w:rsidR="00B50478" w:rsidRPr="00197FA2" w:rsidRDefault="00000000">
            <w:pPr>
              <w:spacing w:after="0"/>
              <w:rPr>
                <w:color w:val="000000" w:themeColor="text1"/>
              </w:rPr>
            </w:pPr>
            <w:r w:rsidRPr="00197FA2">
              <w:rPr>
                <w:color w:val="000000" w:themeColor="text1"/>
                <w:sz w:val="19"/>
              </w:rPr>
              <w:t>PDF parsing errors silently dropping tables; summarizing changes that didn't happen; scope creep — pick 3–5 payers.</w:t>
            </w:r>
          </w:p>
        </w:tc>
      </w:tr>
    </w:tbl>
    <w:p w14:paraId="1AF61B5E" w14:textId="77777777" w:rsidR="00B50478" w:rsidRPr="00197FA2" w:rsidRDefault="00B50478">
      <w:pPr>
        <w:spacing w:after="80"/>
        <w:rPr>
          <w:color w:val="000000" w:themeColor="text1"/>
        </w:rPr>
      </w:pPr>
    </w:p>
    <w:p w14:paraId="6E84A117" w14:textId="77777777" w:rsidR="00B50478" w:rsidRPr="00197FA2" w:rsidRDefault="00000000">
      <w:pPr>
        <w:keepNext/>
        <w:spacing w:before="240" w:after="80"/>
        <w:rPr>
          <w:color w:val="000000" w:themeColor="text1"/>
        </w:rPr>
      </w:pPr>
      <w:r w:rsidRPr="00197FA2">
        <w:rPr>
          <w:b/>
          <w:color w:val="000000" w:themeColor="text1"/>
          <w:sz w:val="30"/>
        </w:rPr>
        <w:t>14. Synthetic advisory board</w:t>
      </w:r>
    </w:p>
    <w:p w14:paraId="7124D52E" w14:textId="77777777" w:rsidR="00B50478" w:rsidRPr="00197FA2" w:rsidRDefault="00000000">
      <w:pPr>
        <w:spacing w:after="60"/>
        <w:rPr>
          <w:color w:val="000000" w:themeColor="text1"/>
        </w:rPr>
      </w:pPr>
      <w:r w:rsidRPr="00197FA2">
        <w:rPr>
          <w:i/>
          <w:color w:val="000000" w:themeColor="text1"/>
          <w:sz w:val="20"/>
        </w:rPr>
        <w:t>Track: GenAI · Course weeks: 7</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7345A3C7" w14:textId="77777777">
        <w:trPr>
          <w:jc w:val="center"/>
        </w:trPr>
        <w:tc>
          <w:tcPr>
            <w:tcW w:w="2592" w:type="dxa"/>
            <w:shd w:val="clear" w:color="auto" w:fill="F3F6FC"/>
          </w:tcPr>
          <w:p w14:paraId="2D134038"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56937D95" w14:textId="77777777" w:rsidR="00B50478" w:rsidRPr="00197FA2" w:rsidRDefault="00000000">
            <w:pPr>
              <w:spacing w:after="0"/>
              <w:rPr>
                <w:color w:val="000000" w:themeColor="text1"/>
              </w:rPr>
            </w:pPr>
            <w:r w:rsidRPr="00197FA2">
              <w:rPr>
                <w:color w:val="000000" w:themeColor="text1"/>
                <w:sz w:val="19"/>
              </w:rPr>
              <w:t>Can LLM personas grounded in real interview transcripts or published physician surveys predict what an advisory board would say about a positioning question?</w:t>
            </w:r>
          </w:p>
        </w:tc>
      </w:tr>
      <w:tr w:rsidR="00B50478" w:rsidRPr="00197FA2" w14:paraId="36DF60FD" w14:textId="77777777">
        <w:trPr>
          <w:jc w:val="center"/>
        </w:trPr>
        <w:tc>
          <w:tcPr>
            <w:tcW w:w="2592" w:type="dxa"/>
          </w:tcPr>
          <w:p w14:paraId="51A903A6"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5BFDE8F8" w14:textId="77777777" w:rsidR="00B50478" w:rsidRPr="00197FA2" w:rsidRDefault="00000000">
            <w:pPr>
              <w:spacing w:after="0"/>
              <w:rPr>
                <w:color w:val="000000" w:themeColor="text1"/>
              </w:rPr>
            </w:pPr>
            <w:r w:rsidRPr="00197FA2">
              <w:rPr>
                <w:color w:val="000000" w:themeColor="text1"/>
                <w:sz w:val="19"/>
              </w:rPr>
              <w:t>Marketing and medical · HCP attitudes</w:t>
            </w:r>
          </w:p>
        </w:tc>
      </w:tr>
      <w:tr w:rsidR="00B50478" w:rsidRPr="00197FA2" w14:paraId="449D783F" w14:textId="77777777">
        <w:trPr>
          <w:jc w:val="center"/>
        </w:trPr>
        <w:tc>
          <w:tcPr>
            <w:tcW w:w="2592" w:type="dxa"/>
            <w:shd w:val="clear" w:color="auto" w:fill="F3F6FC"/>
          </w:tcPr>
          <w:p w14:paraId="32989D28"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shd w:val="clear" w:color="auto" w:fill="F3F6FC"/>
          </w:tcPr>
          <w:p w14:paraId="23D1D9CE" w14:textId="77777777" w:rsidR="00B50478" w:rsidRPr="00197FA2" w:rsidRDefault="00000000">
            <w:pPr>
              <w:spacing w:after="0"/>
              <w:rPr>
                <w:color w:val="000000" w:themeColor="text1"/>
              </w:rPr>
            </w:pPr>
            <w:r w:rsidRPr="00197FA2">
              <w:rPr>
                <w:color w:val="000000" w:themeColor="text1"/>
                <w:sz w:val="19"/>
              </w:rPr>
              <w:t>Public physician survey results and published qualitative studies; synthetic transcripts you construct; hold out a subset to test predictions.</w:t>
            </w:r>
          </w:p>
        </w:tc>
      </w:tr>
      <w:tr w:rsidR="00B50478" w:rsidRPr="00197FA2" w14:paraId="76458DFC" w14:textId="77777777">
        <w:trPr>
          <w:jc w:val="center"/>
        </w:trPr>
        <w:tc>
          <w:tcPr>
            <w:tcW w:w="2592" w:type="dxa"/>
          </w:tcPr>
          <w:p w14:paraId="681ADC81"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698A35F9" w14:textId="77777777" w:rsidR="00B50478" w:rsidRPr="00197FA2" w:rsidRDefault="00000000">
            <w:pPr>
              <w:spacing w:after="0"/>
              <w:rPr>
                <w:color w:val="000000" w:themeColor="text1"/>
              </w:rPr>
            </w:pPr>
            <w:r w:rsidRPr="00197FA2">
              <w:rPr>
                <w:color w:val="000000" w:themeColor="text1"/>
                <w:sz w:val="19"/>
              </w:rPr>
              <w:t>Persona construction with retrieval grounding; structured elicitation; comparison of persona answers with held-out human answers; bias and consistency checks.</w:t>
            </w:r>
          </w:p>
        </w:tc>
      </w:tr>
      <w:tr w:rsidR="00B50478" w:rsidRPr="00197FA2" w14:paraId="5807A1D6" w14:textId="77777777">
        <w:trPr>
          <w:jc w:val="center"/>
        </w:trPr>
        <w:tc>
          <w:tcPr>
            <w:tcW w:w="2592" w:type="dxa"/>
            <w:shd w:val="clear" w:color="auto" w:fill="F3F6FC"/>
          </w:tcPr>
          <w:p w14:paraId="6564F867"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6D9A6AFF" w14:textId="77777777" w:rsidR="00B50478" w:rsidRPr="00197FA2" w:rsidRDefault="00000000">
            <w:pPr>
              <w:spacing w:after="0"/>
              <w:rPr>
                <w:color w:val="000000" w:themeColor="text1"/>
              </w:rPr>
            </w:pPr>
            <w:r w:rsidRPr="00197FA2">
              <w:rPr>
                <w:color w:val="000000" w:themeColor="text1"/>
                <w:sz w:val="19"/>
              </w:rPr>
              <w:t>A measured agreement rate between synthetic and human responses, an analysis of where personas fail, and a recommendation on when the method is (not) usable.</w:t>
            </w:r>
          </w:p>
        </w:tc>
      </w:tr>
      <w:tr w:rsidR="00B50478" w:rsidRPr="00197FA2" w14:paraId="0F6CA18E" w14:textId="77777777">
        <w:trPr>
          <w:jc w:val="center"/>
        </w:trPr>
        <w:tc>
          <w:tcPr>
            <w:tcW w:w="2592" w:type="dxa"/>
          </w:tcPr>
          <w:p w14:paraId="37D8697B"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04536C41" w14:textId="77777777" w:rsidR="00B50478" w:rsidRPr="00197FA2" w:rsidRDefault="00000000">
            <w:pPr>
              <w:spacing w:after="0"/>
              <w:rPr>
                <w:color w:val="000000" w:themeColor="text1"/>
              </w:rPr>
            </w:pPr>
            <w:r w:rsidRPr="00197FA2">
              <w:rPr>
                <w:color w:val="000000" w:themeColor="text1"/>
                <w:sz w:val="19"/>
              </w:rPr>
              <w:t>Sycophantic personas; circularity (testing on what you trained on); overclaiming — IQVIA's own white paper frames this as a complement to, not a replacement for, real ad boards.</w:t>
            </w:r>
          </w:p>
        </w:tc>
      </w:tr>
    </w:tbl>
    <w:p w14:paraId="557E70F1" w14:textId="77777777" w:rsidR="00B50478" w:rsidRPr="00197FA2" w:rsidRDefault="00B50478">
      <w:pPr>
        <w:spacing w:after="80"/>
        <w:rPr>
          <w:color w:val="000000" w:themeColor="text1"/>
        </w:rPr>
      </w:pPr>
    </w:p>
    <w:p w14:paraId="6EBFBBC5" w14:textId="77777777" w:rsidR="00B50478" w:rsidRPr="00197FA2" w:rsidRDefault="00000000">
      <w:pPr>
        <w:keepNext/>
        <w:spacing w:before="240" w:after="80"/>
        <w:rPr>
          <w:color w:val="000000" w:themeColor="text1"/>
        </w:rPr>
      </w:pPr>
      <w:r w:rsidRPr="00197FA2">
        <w:rPr>
          <w:b/>
          <w:color w:val="000000" w:themeColor="text1"/>
          <w:sz w:val="30"/>
        </w:rPr>
        <w:t>15. Forecast-explanation agent</w:t>
      </w:r>
    </w:p>
    <w:p w14:paraId="4C9355D3" w14:textId="77777777" w:rsidR="00B50478" w:rsidRPr="00197FA2" w:rsidRDefault="00000000">
      <w:pPr>
        <w:spacing w:after="60"/>
        <w:rPr>
          <w:color w:val="000000" w:themeColor="text1"/>
        </w:rPr>
      </w:pPr>
      <w:r w:rsidRPr="00197FA2">
        <w:rPr>
          <w:i/>
          <w:color w:val="000000" w:themeColor="text1"/>
          <w:sz w:val="20"/>
        </w:rPr>
        <w:t>Track: Agentic AI · Course weeks: 6, 10</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308A07B5" w14:textId="77777777">
        <w:trPr>
          <w:jc w:val="center"/>
        </w:trPr>
        <w:tc>
          <w:tcPr>
            <w:tcW w:w="2592" w:type="dxa"/>
            <w:shd w:val="clear" w:color="auto" w:fill="F3F6FC"/>
          </w:tcPr>
          <w:p w14:paraId="4B5050A6" w14:textId="77777777" w:rsidR="00B50478" w:rsidRPr="00197FA2" w:rsidRDefault="00000000">
            <w:pPr>
              <w:spacing w:after="0"/>
              <w:rPr>
                <w:color w:val="000000" w:themeColor="text1"/>
              </w:rPr>
            </w:pPr>
            <w:r w:rsidRPr="00197FA2">
              <w:rPr>
                <w:b/>
                <w:color w:val="000000" w:themeColor="text1"/>
                <w:sz w:val="19"/>
              </w:rPr>
              <w:t>Commercial question</w:t>
            </w:r>
          </w:p>
        </w:tc>
        <w:tc>
          <w:tcPr>
            <w:tcW w:w="7344" w:type="dxa"/>
            <w:shd w:val="clear" w:color="auto" w:fill="F3F6FC"/>
          </w:tcPr>
          <w:p w14:paraId="6332D7B4" w14:textId="77777777" w:rsidR="00B50478" w:rsidRPr="00197FA2" w:rsidRDefault="00000000">
            <w:pPr>
              <w:spacing w:after="0"/>
              <w:rPr>
                <w:color w:val="000000" w:themeColor="text1"/>
              </w:rPr>
            </w:pPr>
            <w:r w:rsidRPr="00197FA2">
              <w:rPr>
                <w:color w:val="000000" w:themeColor="text1"/>
                <w:sz w:val="19"/>
              </w:rPr>
              <w:t>When the forecast and actuals diverge, can an agent explain the variance to a brand lead in plain language — drivers, magnitude, confidence — and propose what to check?</w:t>
            </w:r>
          </w:p>
        </w:tc>
      </w:tr>
      <w:tr w:rsidR="00B50478" w:rsidRPr="00197FA2" w14:paraId="0AF87FB2" w14:textId="77777777">
        <w:trPr>
          <w:jc w:val="center"/>
        </w:trPr>
        <w:tc>
          <w:tcPr>
            <w:tcW w:w="2592" w:type="dxa"/>
          </w:tcPr>
          <w:p w14:paraId="3A567323" w14:textId="77777777" w:rsidR="00B50478" w:rsidRPr="00197FA2" w:rsidRDefault="00000000">
            <w:pPr>
              <w:spacing w:after="0"/>
              <w:rPr>
                <w:color w:val="000000" w:themeColor="text1"/>
              </w:rPr>
            </w:pPr>
            <w:r w:rsidRPr="00197FA2">
              <w:rPr>
                <w:b/>
                <w:color w:val="000000" w:themeColor="text1"/>
                <w:sz w:val="19"/>
              </w:rPr>
              <w:t>Decision owner / behavior modeled</w:t>
            </w:r>
          </w:p>
        </w:tc>
        <w:tc>
          <w:tcPr>
            <w:tcW w:w="7344" w:type="dxa"/>
          </w:tcPr>
          <w:p w14:paraId="218BCB07" w14:textId="77777777" w:rsidR="00B50478" w:rsidRPr="00197FA2" w:rsidRDefault="00000000">
            <w:pPr>
              <w:spacing w:after="0"/>
              <w:rPr>
                <w:color w:val="000000" w:themeColor="text1"/>
              </w:rPr>
            </w:pPr>
            <w:r w:rsidRPr="00197FA2">
              <w:rPr>
                <w:color w:val="000000" w:themeColor="text1"/>
                <w:sz w:val="19"/>
              </w:rPr>
              <w:t>Brand and finance · forecast consumers</w:t>
            </w:r>
          </w:p>
        </w:tc>
      </w:tr>
      <w:tr w:rsidR="00B50478" w:rsidRPr="00197FA2" w14:paraId="3B117086" w14:textId="77777777">
        <w:trPr>
          <w:jc w:val="center"/>
        </w:trPr>
        <w:tc>
          <w:tcPr>
            <w:tcW w:w="2592" w:type="dxa"/>
            <w:shd w:val="clear" w:color="auto" w:fill="F3F6FC"/>
          </w:tcPr>
          <w:p w14:paraId="7A479352" w14:textId="77777777" w:rsidR="00B50478" w:rsidRPr="00197FA2" w:rsidRDefault="00000000">
            <w:pPr>
              <w:spacing w:after="0"/>
              <w:rPr>
                <w:color w:val="000000" w:themeColor="text1"/>
              </w:rPr>
            </w:pPr>
            <w:r w:rsidRPr="00197FA2">
              <w:rPr>
                <w:b/>
                <w:color w:val="000000" w:themeColor="text1"/>
                <w:sz w:val="19"/>
              </w:rPr>
              <w:lastRenderedPageBreak/>
              <w:t>Data plan</w:t>
            </w:r>
          </w:p>
        </w:tc>
        <w:tc>
          <w:tcPr>
            <w:tcW w:w="7344" w:type="dxa"/>
            <w:shd w:val="clear" w:color="auto" w:fill="F3F6FC"/>
          </w:tcPr>
          <w:p w14:paraId="26EBB1D1" w14:textId="77777777" w:rsidR="00B50478" w:rsidRPr="00197FA2" w:rsidRDefault="00000000">
            <w:pPr>
              <w:spacing w:after="0"/>
              <w:rPr>
                <w:color w:val="000000" w:themeColor="text1"/>
              </w:rPr>
            </w:pPr>
            <w:r w:rsidRPr="00197FA2">
              <w:rPr>
                <w:color w:val="000000" w:themeColor="text1"/>
                <w:sz w:val="19"/>
              </w:rPr>
              <w:t>Synthetic forecast vs. actuals with known injected drivers (access loss, competitor launch, inventory, seasonality).</w:t>
            </w:r>
          </w:p>
        </w:tc>
      </w:tr>
      <w:tr w:rsidR="00B50478" w:rsidRPr="00197FA2" w14:paraId="729F411F" w14:textId="77777777">
        <w:trPr>
          <w:jc w:val="center"/>
        </w:trPr>
        <w:tc>
          <w:tcPr>
            <w:tcW w:w="2592" w:type="dxa"/>
          </w:tcPr>
          <w:p w14:paraId="2716971A" w14:textId="77777777" w:rsidR="00B50478" w:rsidRPr="00197FA2" w:rsidRDefault="00000000">
            <w:pPr>
              <w:spacing w:after="0"/>
              <w:rPr>
                <w:color w:val="000000" w:themeColor="text1"/>
              </w:rPr>
            </w:pPr>
            <w:r w:rsidRPr="00197FA2">
              <w:rPr>
                <w:b/>
                <w:color w:val="000000" w:themeColor="text1"/>
                <w:sz w:val="19"/>
              </w:rPr>
              <w:t>Methods</w:t>
            </w:r>
          </w:p>
        </w:tc>
        <w:tc>
          <w:tcPr>
            <w:tcW w:w="7344" w:type="dxa"/>
          </w:tcPr>
          <w:p w14:paraId="28AF92CB" w14:textId="77777777" w:rsidR="00B50478" w:rsidRPr="00197FA2" w:rsidRDefault="00000000">
            <w:pPr>
              <w:spacing w:after="0"/>
              <w:rPr>
                <w:color w:val="000000" w:themeColor="text1"/>
              </w:rPr>
            </w:pPr>
            <w:r w:rsidRPr="00197FA2">
              <w:rPr>
                <w:color w:val="000000" w:themeColor="text1"/>
                <w:sz w:val="19"/>
              </w:rPr>
              <w:t>Time-series decomposition and driver attribution; a tool-using agent that queries components and writes the explanation; evaluation against the injected ground truth.</w:t>
            </w:r>
          </w:p>
        </w:tc>
      </w:tr>
      <w:tr w:rsidR="00B50478" w:rsidRPr="00197FA2" w14:paraId="2D936245" w14:textId="77777777">
        <w:trPr>
          <w:jc w:val="center"/>
        </w:trPr>
        <w:tc>
          <w:tcPr>
            <w:tcW w:w="2592" w:type="dxa"/>
            <w:shd w:val="clear" w:color="auto" w:fill="F3F6FC"/>
          </w:tcPr>
          <w:p w14:paraId="6292381F" w14:textId="77777777" w:rsidR="00B50478" w:rsidRPr="00197FA2" w:rsidRDefault="00000000">
            <w:pPr>
              <w:spacing w:after="0"/>
              <w:rPr>
                <w:color w:val="000000" w:themeColor="text1"/>
              </w:rPr>
            </w:pPr>
            <w:r w:rsidRPr="00197FA2">
              <w:rPr>
                <w:b/>
                <w:color w:val="000000" w:themeColor="text1"/>
                <w:sz w:val="19"/>
              </w:rPr>
              <w:t>What good looks like</w:t>
            </w:r>
          </w:p>
        </w:tc>
        <w:tc>
          <w:tcPr>
            <w:tcW w:w="7344" w:type="dxa"/>
            <w:shd w:val="clear" w:color="auto" w:fill="F3F6FC"/>
          </w:tcPr>
          <w:p w14:paraId="1E7FF2D4" w14:textId="77777777" w:rsidR="00B50478" w:rsidRPr="00197FA2" w:rsidRDefault="00000000">
            <w:pPr>
              <w:spacing w:after="0"/>
              <w:rPr>
                <w:color w:val="000000" w:themeColor="text1"/>
              </w:rPr>
            </w:pPr>
            <w:r w:rsidRPr="00197FA2">
              <w:rPr>
                <w:color w:val="000000" w:themeColor="text1"/>
                <w:sz w:val="19"/>
              </w:rPr>
              <w:t>Explanations that recover the true injected drivers most of the time, with a confusion analysis of the misses and a UI mock of how a brand lead would consume it.</w:t>
            </w:r>
          </w:p>
        </w:tc>
      </w:tr>
      <w:tr w:rsidR="00B50478" w:rsidRPr="00197FA2" w14:paraId="6AF5A773" w14:textId="77777777">
        <w:trPr>
          <w:jc w:val="center"/>
        </w:trPr>
        <w:tc>
          <w:tcPr>
            <w:tcW w:w="2592" w:type="dxa"/>
          </w:tcPr>
          <w:p w14:paraId="0A2DADD6" w14:textId="77777777" w:rsidR="00B50478" w:rsidRPr="00197FA2" w:rsidRDefault="00000000">
            <w:pPr>
              <w:spacing w:after="0"/>
              <w:rPr>
                <w:color w:val="000000" w:themeColor="text1"/>
              </w:rPr>
            </w:pPr>
            <w:r w:rsidRPr="00197FA2">
              <w:rPr>
                <w:b/>
                <w:color w:val="000000" w:themeColor="text1"/>
                <w:sz w:val="19"/>
              </w:rPr>
              <w:t>Traps mentors will probe</w:t>
            </w:r>
          </w:p>
        </w:tc>
        <w:tc>
          <w:tcPr>
            <w:tcW w:w="7344" w:type="dxa"/>
          </w:tcPr>
          <w:p w14:paraId="1572AA22" w14:textId="77777777" w:rsidR="00B50478" w:rsidRPr="00197FA2" w:rsidRDefault="00000000">
            <w:pPr>
              <w:spacing w:after="0"/>
              <w:rPr>
                <w:color w:val="000000" w:themeColor="text1"/>
              </w:rPr>
            </w:pPr>
            <w:r w:rsidRPr="00197FA2">
              <w:rPr>
                <w:color w:val="000000" w:themeColor="text1"/>
                <w:sz w:val="19"/>
              </w:rPr>
              <w:t>Attributing variance to whichever driver is easiest to describe; ignoring interaction effects; no ground truth.</w:t>
            </w:r>
          </w:p>
        </w:tc>
      </w:tr>
    </w:tbl>
    <w:p w14:paraId="6D25E375" w14:textId="77777777" w:rsidR="00B50478" w:rsidRPr="00197FA2" w:rsidRDefault="00B50478">
      <w:pPr>
        <w:spacing w:after="80"/>
        <w:rPr>
          <w:color w:val="000000" w:themeColor="text1"/>
        </w:rPr>
      </w:pPr>
    </w:p>
    <w:p w14:paraId="6193E2EF" w14:textId="77777777" w:rsidR="00B50478" w:rsidRPr="00197FA2" w:rsidRDefault="00000000">
      <w:pPr>
        <w:keepNext/>
        <w:spacing w:before="240" w:after="80"/>
        <w:rPr>
          <w:color w:val="000000" w:themeColor="text1"/>
        </w:rPr>
      </w:pPr>
      <w:r w:rsidRPr="00197FA2">
        <w:rPr>
          <w:b/>
          <w:color w:val="000000" w:themeColor="text1"/>
          <w:sz w:val="30"/>
        </w:rPr>
        <w:t>Proposal template (due to your mentor by Week 4, Oct 5)</w:t>
      </w:r>
    </w:p>
    <w:tbl>
      <w:tblPr>
        <w:tblStyle w:val="TableGrid"/>
        <w:tblW w:w="0" w:type="auto"/>
        <w:jc w:val="center"/>
        <w:tblLayout w:type="fixed"/>
        <w:tblLook w:val="04A0" w:firstRow="1" w:lastRow="0" w:firstColumn="1" w:lastColumn="0" w:noHBand="0" w:noVBand="1"/>
      </w:tblPr>
      <w:tblGrid>
        <w:gridCol w:w="2592"/>
        <w:gridCol w:w="7344"/>
      </w:tblGrid>
      <w:tr w:rsidR="00B50478" w:rsidRPr="00197FA2" w14:paraId="17D3BE2B" w14:textId="77777777">
        <w:trPr>
          <w:jc w:val="center"/>
        </w:trPr>
        <w:tc>
          <w:tcPr>
            <w:tcW w:w="2592" w:type="dxa"/>
            <w:shd w:val="clear" w:color="auto" w:fill="1E2761"/>
          </w:tcPr>
          <w:p w14:paraId="0175C62A" w14:textId="77777777" w:rsidR="00B50478" w:rsidRPr="00197FA2" w:rsidRDefault="00000000">
            <w:pPr>
              <w:spacing w:after="0"/>
              <w:rPr>
                <w:color w:val="000000" w:themeColor="text1"/>
              </w:rPr>
            </w:pPr>
            <w:r w:rsidRPr="00197FA2">
              <w:rPr>
                <w:b/>
                <w:color w:val="000000" w:themeColor="text1"/>
                <w:sz w:val="19"/>
              </w:rPr>
              <w:t>Section</w:t>
            </w:r>
          </w:p>
        </w:tc>
        <w:tc>
          <w:tcPr>
            <w:tcW w:w="7344" w:type="dxa"/>
            <w:shd w:val="clear" w:color="auto" w:fill="1E2761"/>
          </w:tcPr>
          <w:p w14:paraId="1E3FFCD8" w14:textId="77777777" w:rsidR="00B50478" w:rsidRPr="00197FA2" w:rsidRDefault="00000000">
            <w:pPr>
              <w:spacing w:after="0"/>
              <w:rPr>
                <w:color w:val="FFFFFF" w:themeColor="background1"/>
              </w:rPr>
            </w:pPr>
            <w:r w:rsidRPr="00197FA2">
              <w:rPr>
                <w:b/>
                <w:color w:val="FFFFFF" w:themeColor="background1"/>
                <w:sz w:val="19"/>
              </w:rPr>
              <w:t>What to write (½ page total)</w:t>
            </w:r>
          </w:p>
        </w:tc>
      </w:tr>
      <w:tr w:rsidR="00B50478" w:rsidRPr="00197FA2" w14:paraId="509196BB" w14:textId="77777777">
        <w:trPr>
          <w:jc w:val="center"/>
        </w:trPr>
        <w:tc>
          <w:tcPr>
            <w:tcW w:w="2592" w:type="dxa"/>
          </w:tcPr>
          <w:p w14:paraId="3133327A" w14:textId="77777777" w:rsidR="00B50478" w:rsidRPr="00197FA2" w:rsidRDefault="00000000">
            <w:pPr>
              <w:spacing w:after="0"/>
              <w:rPr>
                <w:color w:val="000000" w:themeColor="text1"/>
              </w:rPr>
            </w:pPr>
            <w:r w:rsidRPr="00197FA2">
              <w:rPr>
                <w:b/>
                <w:color w:val="000000" w:themeColor="text1"/>
                <w:sz w:val="19"/>
              </w:rPr>
              <w:t>Problem statement</w:t>
            </w:r>
          </w:p>
        </w:tc>
        <w:tc>
          <w:tcPr>
            <w:tcW w:w="7344" w:type="dxa"/>
          </w:tcPr>
          <w:p w14:paraId="14245305" w14:textId="77777777" w:rsidR="00B50478" w:rsidRPr="00197FA2" w:rsidRDefault="00000000">
            <w:pPr>
              <w:spacing w:after="0"/>
              <w:rPr>
                <w:color w:val="000000" w:themeColor="text1"/>
              </w:rPr>
            </w:pPr>
            <w:r w:rsidRPr="00197FA2">
              <w:rPr>
                <w:color w:val="000000" w:themeColor="text1"/>
                <w:sz w:val="19"/>
              </w:rPr>
              <w:t>One paragraph: the commercial question, the decision owner, and why it matters (in $ or in a stakeholder's words).</w:t>
            </w:r>
          </w:p>
        </w:tc>
      </w:tr>
      <w:tr w:rsidR="00B50478" w:rsidRPr="00197FA2" w14:paraId="7CB9655E" w14:textId="77777777">
        <w:trPr>
          <w:jc w:val="center"/>
        </w:trPr>
        <w:tc>
          <w:tcPr>
            <w:tcW w:w="2592" w:type="dxa"/>
            <w:shd w:val="clear" w:color="auto" w:fill="F3F6FC"/>
          </w:tcPr>
          <w:p w14:paraId="7C50770F" w14:textId="77777777" w:rsidR="00B50478" w:rsidRPr="00197FA2" w:rsidRDefault="00000000">
            <w:pPr>
              <w:spacing w:after="0"/>
              <w:rPr>
                <w:color w:val="000000" w:themeColor="text1"/>
              </w:rPr>
            </w:pPr>
            <w:r w:rsidRPr="00197FA2">
              <w:rPr>
                <w:b/>
                <w:color w:val="000000" w:themeColor="text1"/>
                <w:sz w:val="19"/>
              </w:rPr>
              <w:t>Stakeholder behavior modeled</w:t>
            </w:r>
          </w:p>
        </w:tc>
        <w:tc>
          <w:tcPr>
            <w:tcW w:w="7344" w:type="dxa"/>
            <w:shd w:val="clear" w:color="auto" w:fill="F3F6FC"/>
          </w:tcPr>
          <w:p w14:paraId="35F46AFE" w14:textId="77777777" w:rsidR="00B50478" w:rsidRPr="00197FA2" w:rsidRDefault="00000000">
            <w:pPr>
              <w:spacing w:after="0"/>
              <w:rPr>
                <w:color w:val="000000" w:themeColor="text1"/>
              </w:rPr>
            </w:pPr>
            <w:r w:rsidRPr="00197FA2">
              <w:rPr>
                <w:color w:val="000000" w:themeColor="text1"/>
                <w:sz w:val="19"/>
              </w:rPr>
              <w:t>HCP, payer, patient, or an internal process — and which data captures that behavior.</w:t>
            </w:r>
          </w:p>
        </w:tc>
      </w:tr>
      <w:tr w:rsidR="00B50478" w:rsidRPr="00197FA2" w14:paraId="7155CDFD" w14:textId="77777777">
        <w:trPr>
          <w:jc w:val="center"/>
        </w:trPr>
        <w:tc>
          <w:tcPr>
            <w:tcW w:w="2592" w:type="dxa"/>
          </w:tcPr>
          <w:p w14:paraId="6F72B1D8" w14:textId="77777777" w:rsidR="00B50478" w:rsidRPr="00197FA2" w:rsidRDefault="00000000">
            <w:pPr>
              <w:spacing w:after="0"/>
              <w:rPr>
                <w:color w:val="000000" w:themeColor="text1"/>
              </w:rPr>
            </w:pPr>
            <w:r w:rsidRPr="00197FA2">
              <w:rPr>
                <w:b/>
                <w:color w:val="000000" w:themeColor="text1"/>
                <w:sz w:val="19"/>
              </w:rPr>
              <w:t>Data plan</w:t>
            </w:r>
          </w:p>
        </w:tc>
        <w:tc>
          <w:tcPr>
            <w:tcW w:w="7344" w:type="dxa"/>
          </w:tcPr>
          <w:p w14:paraId="1E1D9E7C" w14:textId="77777777" w:rsidR="00B50478" w:rsidRPr="00197FA2" w:rsidRDefault="00000000">
            <w:pPr>
              <w:spacing w:after="0"/>
              <w:rPr>
                <w:color w:val="000000" w:themeColor="text1"/>
              </w:rPr>
            </w:pPr>
            <w:r w:rsidRPr="00197FA2">
              <w:rPr>
                <w:color w:val="000000" w:themeColor="text1"/>
                <w:sz w:val="19"/>
              </w:rPr>
              <w:t>What you will generate, license, or download; size; known limitations.</w:t>
            </w:r>
          </w:p>
        </w:tc>
      </w:tr>
      <w:tr w:rsidR="00B50478" w:rsidRPr="00197FA2" w14:paraId="06D7E962" w14:textId="77777777">
        <w:trPr>
          <w:jc w:val="center"/>
        </w:trPr>
        <w:tc>
          <w:tcPr>
            <w:tcW w:w="2592" w:type="dxa"/>
            <w:shd w:val="clear" w:color="auto" w:fill="F3F6FC"/>
          </w:tcPr>
          <w:p w14:paraId="03CC660A" w14:textId="77777777" w:rsidR="00B50478" w:rsidRPr="00197FA2" w:rsidRDefault="00000000">
            <w:pPr>
              <w:spacing w:after="0"/>
              <w:rPr>
                <w:color w:val="000000" w:themeColor="text1"/>
              </w:rPr>
            </w:pPr>
            <w:r w:rsidRPr="00197FA2">
              <w:rPr>
                <w:b/>
                <w:color w:val="000000" w:themeColor="text1"/>
                <w:sz w:val="19"/>
              </w:rPr>
              <w:t>Methods and milestones</w:t>
            </w:r>
          </w:p>
        </w:tc>
        <w:tc>
          <w:tcPr>
            <w:tcW w:w="7344" w:type="dxa"/>
            <w:shd w:val="clear" w:color="auto" w:fill="F3F6FC"/>
          </w:tcPr>
          <w:p w14:paraId="53733C2A" w14:textId="77777777" w:rsidR="00B50478" w:rsidRPr="00197FA2" w:rsidRDefault="00000000">
            <w:pPr>
              <w:spacing w:after="0"/>
              <w:rPr>
                <w:color w:val="000000" w:themeColor="text1"/>
              </w:rPr>
            </w:pPr>
            <w:r w:rsidRPr="00197FA2">
              <w:rPr>
                <w:color w:val="000000" w:themeColor="text1"/>
                <w:sz w:val="19"/>
              </w:rPr>
              <w:t>Baseline by check-in #1 (Nov 23); full model by check-in #2 (Dec 7); final Dec 14.</w:t>
            </w:r>
          </w:p>
        </w:tc>
      </w:tr>
      <w:tr w:rsidR="00B50478" w:rsidRPr="00197FA2" w14:paraId="3CA73434" w14:textId="77777777">
        <w:trPr>
          <w:jc w:val="center"/>
        </w:trPr>
        <w:tc>
          <w:tcPr>
            <w:tcW w:w="2592" w:type="dxa"/>
          </w:tcPr>
          <w:p w14:paraId="24210B14" w14:textId="77777777" w:rsidR="00B50478" w:rsidRPr="00197FA2" w:rsidRDefault="00000000">
            <w:pPr>
              <w:spacing w:after="0"/>
              <w:rPr>
                <w:color w:val="000000" w:themeColor="text1"/>
              </w:rPr>
            </w:pPr>
            <w:r w:rsidRPr="00197FA2">
              <w:rPr>
                <w:b/>
                <w:color w:val="000000" w:themeColor="text1"/>
                <w:sz w:val="19"/>
              </w:rPr>
              <w:t>Evaluation</w:t>
            </w:r>
          </w:p>
        </w:tc>
        <w:tc>
          <w:tcPr>
            <w:tcW w:w="7344" w:type="dxa"/>
          </w:tcPr>
          <w:p w14:paraId="22B2B3C4" w14:textId="77777777" w:rsidR="00B50478" w:rsidRPr="00197FA2" w:rsidRDefault="00000000">
            <w:pPr>
              <w:spacing w:after="0"/>
              <w:rPr>
                <w:color w:val="000000" w:themeColor="text1"/>
              </w:rPr>
            </w:pPr>
            <w:r w:rsidRPr="00197FA2">
              <w:rPr>
                <w:color w:val="000000" w:themeColor="text1"/>
                <w:sz w:val="19"/>
              </w:rPr>
              <w:t>How you will know it works: metric, holdout, comparison to a naive baseline.</w:t>
            </w:r>
          </w:p>
        </w:tc>
      </w:tr>
      <w:tr w:rsidR="00B50478" w:rsidRPr="00197FA2" w14:paraId="737193DA" w14:textId="77777777">
        <w:trPr>
          <w:jc w:val="center"/>
        </w:trPr>
        <w:tc>
          <w:tcPr>
            <w:tcW w:w="2592" w:type="dxa"/>
            <w:shd w:val="clear" w:color="auto" w:fill="F3F6FC"/>
          </w:tcPr>
          <w:p w14:paraId="758A8C19" w14:textId="77777777" w:rsidR="00B50478" w:rsidRPr="00197FA2" w:rsidRDefault="00000000">
            <w:pPr>
              <w:spacing w:after="0"/>
              <w:rPr>
                <w:color w:val="000000" w:themeColor="text1"/>
              </w:rPr>
            </w:pPr>
            <w:r w:rsidRPr="00197FA2">
              <w:rPr>
                <w:b/>
                <w:color w:val="000000" w:themeColor="text1"/>
                <w:sz w:val="19"/>
              </w:rPr>
              <w:t>Risks</w:t>
            </w:r>
          </w:p>
        </w:tc>
        <w:tc>
          <w:tcPr>
            <w:tcW w:w="7344" w:type="dxa"/>
            <w:shd w:val="clear" w:color="auto" w:fill="F3F6FC"/>
          </w:tcPr>
          <w:p w14:paraId="5F2D99C9" w14:textId="77777777" w:rsidR="00B50478" w:rsidRPr="00197FA2" w:rsidRDefault="00000000">
            <w:pPr>
              <w:spacing w:after="0"/>
              <w:rPr>
                <w:color w:val="000000" w:themeColor="text1"/>
              </w:rPr>
            </w:pPr>
            <w:r w:rsidRPr="00197FA2">
              <w:rPr>
                <w:color w:val="000000" w:themeColor="text1"/>
                <w:sz w:val="19"/>
              </w:rPr>
              <w:t>What could make the project fail and the fallback.</w:t>
            </w:r>
          </w:p>
        </w:tc>
      </w:tr>
    </w:tbl>
    <w:p w14:paraId="6741F83F" w14:textId="77777777" w:rsidR="00B50478" w:rsidRPr="00197FA2" w:rsidRDefault="00B50478">
      <w:pPr>
        <w:spacing w:after="80"/>
        <w:rPr>
          <w:color w:val="000000" w:themeColor="text1"/>
        </w:rPr>
      </w:pPr>
    </w:p>
    <w:sectPr w:rsidR="00B50478" w:rsidRPr="00197FA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006148" w14:textId="77777777" w:rsidR="000172F4" w:rsidRDefault="000172F4">
      <w:pPr>
        <w:spacing w:after="0" w:line="240" w:lineRule="auto"/>
      </w:pPr>
      <w:r>
        <w:separator/>
      </w:r>
    </w:p>
  </w:endnote>
  <w:endnote w:type="continuationSeparator" w:id="0">
    <w:p w14:paraId="6ED9C260" w14:textId="77777777" w:rsidR="000172F4" w:rsidRDefault="00017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9BB6B" w14:textId="4619450D" w:rsidR="00B50478" w:rsidRDefault="00000000">
    <w:pPr>
      <w:pStyle w:val="Footer"/>
      <w:jc w:val="center"/>
    </w:pPr>
    <w:r>
      <w:rPr>
        <w:color w:val="666666"/>
        <w:sz w:val="17"/>
      </w:rPr>
      <w:t xml:space="preserve">Term Project Use-Case Catalog · Applied AI in </w:t>
    </w:r>
    <w:r w:rsidR="004D611C">
      <w:rPr>
        <w:color w:val="666666"/>
        <w:sz w:val="17"/>
      </w:rPr>
      <w:t>Life Sciences</w:t>
    </w:r>
    <w:r>
      <w:rPr>
        <w:color w:val="666666"/>
        <w:sz w:val="17"/>
      </w:rPr>
      <w:t xml:space="preserve"> · Fall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1BDCC5" w14:textId="77777777" w:rsidR="000172F4" w:rsidRDefault="000172F4">
      <w:pPr>
        <w:spacing w:after="0" w:line="240" w:lineRule="auto"/>
      </w:pPr>
      <w:r>
        <w:separator/>
      </w:r>
    </w:p>
  </w:footnote>
  <w:footnote w:type="continuationSeparator" w:id="0">
    <w:p w14:paraId="7398DE6F" w14:textId="77777777" w:rsidR="000172F4" w:rsidRDefault="000172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3485365">
    <w:abstractNumId w:val="8"/>
  </w:num>
  <w:num w:numId="2" w16cid:durableId="371686615">
    <w:abstractNumId w:val="6"/>
  </w:num>
  <w:num w:numId="3" w16cid:durableId="468783784">
    <w:abstractNumId w:val="5"/>
  </w:num>
  <w:num w:numId="4" w16cid:durableId="1797143401">
    <w:abstractNumId w:val="4"/>
  </w:num>
  <w:num w:numId="5" w16cid:durableId="1387604714">
    <w:abstractNumId w:val="7"/>
  </w:num>
  <w:num w:numId="6" w16cid:durableId="170295249">
    <w:abstractNumId w:val="3"/>
  </w:num>
  <w:num w:numId="7" w16cid:durableId="2074498330">
    <w:abstractNumId w:val="2"/>
  </w:num>
  <w:num w:numId="8" w16cid:durableId="1534460259">
    <w:abstractNumId w:val="1"/>
  </w:num>
  <w:num w:numId="9" w16cid:durableId="19571749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2F4"/>
    <w:rsid w:val="00034616"/>
    <w:rsid w:val="0006063C"/>
    <w:rsid w:val="0015074B"/>
    <w:rsid w:val="00197FA2"/>
    <w:rsid w:val="0029639D"/>
    <w:rsid w:val="00326F90"/>
    <w:rsid w:val="004D611C"/>
    <w:rsid w:val="00A431AF"/>
    <w:rsid w:val="00AA1D8D"/>
    <w:rsid w:val="00B47730"/>
    <w:rsid w:val="00B50478"/>
    <w:rsid w:val="00C94AF4"/>
    <w:rsid w:val="00CB0664"/>
    <w:rsid w:val="00D51B8E"/>
    <w:rsid w:val="00E14A5B"/>
    <w:rsid w:val="00EF0D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F9073"/>
  <w14:defaultImageDpi w14:val="300"/>
  <w15:docId w15:val="{DC50220C-2A83-F647-ABD4-16AE1C2B5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Andi Cupallari</cp:lastModifiedBy>
  <cp:revision>6</cp:revision>
  <dcterms:created xsi:type="dcterms:W3CDTF">2013-12-23T23:15:00Z</dcterms:created>
  <dcterms:modified xsi:type="dcterms:W3CDTF">2026-09-14T20:04:00Z</dcterms:modified>
  <cp:category/>
</cp:coreProperties>
</file>