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1E2761"/>
          <w:sz w:val="44"/>
        </w:rPr>
        <w:t>Guest-Speaker Engagement — Template and Rubric</w:t>
      </w:r>
    </w:p>
    <w:p>
      <w:pPr>
        <w:spacing w:after="80" w:before="0"/>
      </w:pPr>
      <w:r>
        <w:rPr>
          <w:rFonts w:ascii="Calibri" w:hAnsi="Calibri"/>
          <w:b/>
          <w:i w:val="0"/>
          <w:color w:val="1E2761"/>
          <w:sz w:val="28"/>
        </w:rPr>
        <w:t>Questions in advance + one-page summary report (3 speakers × 5% = 15% of the grade)</w:t>
      </w:r>
    </w:p>
    <w:p>
      <w:pPr>
        <w:spacing w:after="80" w:before="0"/>
      </w:pPr>
      <w:r>
        <w:rPr>
          <w:rFonts w:ascii="Calibri" w:hAnsi="Calibri"/>
          <w:b w:val="0"/>
          <w:i w:val="0"/>
          <w:color w:val="666666"/>
          <w:sz w:val="22"/>
        </w:rPr>
        <w:t>Applied Data Science and AI in Pharma Commercial · Columbia University · Fall 2026</w:t>
      </w:r>
    </w:p>
    <w:p>
      <w:pPr>
        <w:spacing w:after="40" w:before="0"/>
      </w:pPr>
      <w:r>
        <w:rPr>
          <w:rFonts w:ascii="Calibri" w:hAnsi="Calibri"/>
          <w:b/>
          <w:i w:val="0"/>
          <w:color w:val="333333"/>
          <w:sz w:val="22"/>
        </w:rPr>
        <w:t>Speaker 1: Nov 16 — Agentic AI use cases in pharma commercial · Speaker 2: Nov 30 — The journey of marketing mix in pharma: from regression to agents · Speaker 3: Dec 14 — industry panel</w:t>
      </w:r>
    </w:p>
    <w:p>
      <w:pPr>
        <w:spacing w:after="40" w:before="0"/>
      </w:pPr>
      <w:r>
        <w:rPr>
          <w:rFonts w:ascii="Calibri" w:hAnsi="Calibri"/>
          <w:b/>
          <w:i w:val="0"/>
          <w:color w:val="333333"/>
          <w:sz w:val="22"/>
        </w:rPr>
        <w:t>Questions due: the Friday before each session, 5:00 PM ET · Summary due: one week after the session, 11:59 PM ET · Late submissions not accepted</w:t>
      </w:r>
    </w:p>
    <w:p>
      <w:pPr>
        <w:spacing w:after="160"/>
        <w:pBdr>
          <w:bottom w:val="single" w:sz="8" w:space="1" w:color="1E2761"/>
        </w:pBdr>
      </w:pPr>
    </w:p>
    <w:p>
      <w:pPr>
        <w:keepNext/>
        <w:spacing w:after="80" w:before="240"/>
      </w:pPr>
      <w:r>
        <w:rPr>
          <w:rFonts w:ascii="Calibri" w:hAnsi="Calibri"/>
          <w:b/>
          <w:i w:val="0"/>
          <w:color w:val="1E2761"/>
          <w:sz w:val="30"/>
        </w:rPr>
        <w:t>Why this counts for 15%</w:t>
      </w:r>
    </w:p>
    <w:p>
      <w:pPr>
        <w:spacing w:after="120" w:before="0"/>
      </w:pPr>
      <w:r>
        <w:rPr>
          <w:rFonts w:ascii="Calibri" w:hAnsi="Calibri"/>
          <w:b w:val="0"/>
          <w:i w:val="0"/>
          <w:color w:val="333333"/>
          <w:sz w:val="22"/>
        </w:rPr>
        <w:t>The syllabus's second deliberate goal is direct, sustained exposure to industry experts. Practitioners judge students less by what they know than by the quality of the questions they ask. This component rewards preparation (questions that show you have read about the speaker's domain) and synthesis (a summary a manager would find useful).</w:t>
      </w:r>
    </w:p>
    <w:p>
      <w:pPr>
        <w:keepNext/>
        <w:spacing w:after="80" w:before="240"/>
      </w:pPr>
      <w:r>
        <w:rPr>
          <w:rFonts w:ascii="Calibri" w:hAnsi="Calibri"/>
          <w:b/>
          <w:i w:val="0"/>
          <w:color w:val="1E2761"/>
          <w:sz w:val="30"/>
        </w:rPr>
        <w:t>Part 1 — Questions in advance (2 points)</w:t>
      </w:r>
    </w:p>
    <w:p>
      <w:pPr>
        <w:spacing w:after="120" w:before="0"/>
      </w:pPr>
      <w:r>
        <w:rPr>
          <w:rFonts w:ascii="Calibri" w:hAnsi="Calibri"/>
          <w:b w:val="0"/>
          <w:i w:val="0"/>
          <w:color w:val="333333"/>
          <w:sz w:val="22"/>
        </w:rPr>
        <w:t>Submit three questions on the course site by the Friday deadline. The instructor forwards a curated set to the speaker; the best questions are asked live and credited by name.</w:t>
      </w:r>
    </w:p>
    <w:tbl>
      <w:tblPr>
        <w:tblStyle w:val="TableGrid"/>
        <w:tblW w:type="auto" w:w="0"/>
        <w:jc w:val="center"/>
        <w:tblLayout w:type="fixed"/>
        <w:tblLook w:firstColumn="1" w:firstRow="1" w:lastColumn="0" w:lastRow="0" w:noHBand="0" w:noVBand="1" w:val="04A0"/>
      </w:tblPr>
      <w:tblGrid>
        <w:gridCol w:w="1872"/>
        <w:gridCol w:w="3312"/>
        <w:gridCol w:w="2448"/>
        <w:gridCol w:w="2304"/>
      </w:tblGrid>
      <w:tr>
        <w:tc>
          <w:tcPr>
            <w:tcW w:type="dxa" w:w="1872"/>
            <w:shd w:val="clear" w:color="auto" w:fill="1E2761"/>
          </w:tcPr>
          <w:p>
            <w:pPr>
              <w:spacing w:after="0"/>
            </w:pPr>
            <w:r/>
            <w:r>
              <w:rPr>
                <w:rFonts w:ascii="Calibri" w:hAnsi="Calibri"/>
                <w:b/>
                <w:color w:val="FFFFFF"/>
                <w:sz w:val="19"/>
              </w:rPr>
              <w:t>Criterion</w:t>
            </w:r>
          </w:p>
        </w:tc>
        <w:tc>
          <w:tcPr>
            <w:tcW w:type="dxa" w:w="3312"/>
            <w:shd w:val="clear" w:color="auto" w:fill="1E2761"/>
          </w:tcPr>
          <w:p>
            <w:pPr>
              <w:spacing w:after="0"/>
            </w:pPr>
            <w:r/>
            <w:r>
              <w:rPr>
                <w:rFonts w:ascii="Calibri" w:hAnsi="Calibri"/>
                <w:b/>
                <w:color w:val="FFFFFF"/>
                <w:sz w:val="19"/>
              </w:rPr>
              <w:t>Full credit</w:t>
            </w:r>
          </w:p>
        </w:tc>
        <w:tc>
          <w:tcPr>
            <w:tcW w:type="dxa" w:w="2448"/>
            <w:shd w:val="clear" w:color="auto" w:fill="1E2761"/>
          </w:tcPr>
          <w:p>
            <w:pPr>
              <w:spacing w:after="0"/>
            </w:pPr>
            <w:r/>
            <w:r>
              <w:rPr>
                <w:rFonts w:ascii="Calibri" w:hAnsi="Calibri"/>
                <w:b/>
                <w:color w:val="FFFFFF"/>
                <w:sz w:val="19"/>
              </w:rPr>
              <w:t>Partial</w:t>
            </w:r>
          </w:p>
        </w:tc>
        <w:tc>
          <w:tcPr>
            <w:tcW w:type="dxa" w:w="2304"/>
            <w:shd w:val="clear" w:color="auto" w:fill="1E2761"/>
          </w:tcPr>
          <w:p>
            <w:pPr>
              <w:spacing w:after="0"/>
            </w:pPr>
            <w:r/>
            <w:r>
              <w:rPr>
                <w:rFonts w:ascii="Calibri" w:hAnsi="Calibri"/>
                <w:b/>
                <w:color w:val="FFFFFF"/>
                <w:sz w:val="19"/>
              </w:rPr>
              <w:t>No credit</w:t>
            </w:r>
          </w:p>
        </w:tc>
      </w:tr>
      <w:tr>
        <w:tc>
          <w:tcPr>
            <w:tcW w:type="dxa" w:w="1872"/>
          </w:tcPr>
          <w:p>
            <w:pPr>
              <w:spacing w:after="0"/>
            </w:pPr>
            <w:r/>
            <w:r>
              <w:rPr>
                <w:rFonts w:ascii="Calibri" w:hAnsi="Calibri"/>
                <w:b/>
                <w:color w:val="1E2761"/>
                <w:sz w:val="19"/>
              </w:rPr>
              <w:t>Specificity</w:t>
            </w:r>
          </w:p>
        </w:tc>
        <w:tc>
          <w:tcPr>
            <w:tcW w:type="dxa" w:w="3312"/>
          </w:tcPr>
          <w:p>
            <w:pPr>
              <w:spacing w:after="0"/>
            </w:pPr>
            <w:r/>
            <w:r>
              <w:rPr>
                <w:rFonts w:ascii="Calibri" w:hAnsi="Calibri"/>
                <w:color w:val="333333"/>
                <w:sz w:val="19"/>
              </w:rPr>
              <w:t>References the speaker's actual role, company or a published piece of their work</w:t>
            </w:r>
          </w:p>
        </w:tc>
        <w:tc>
          <w:tcPr>
            <w:tcW w:type="dxa" w:w="2448"/>
          </w:tcPr>
          <w:p>
            <w:pPr>
              <w:spacing w:after="0"/>
            </w:pPr>
            <w:r/>
            <w:r>
              <w:rPr>
                <w:rFonts w:ascii="Calibri" w:hAnsi="Calibri"/>
                <w:color w:val="333333"/>
                <w:sz w:val="19"/>
              </w:rPr>
              <w:t>Generic to the topic</w:t>
            </w:r>
          </w:p>
        </w:tc>
        <w:tc>
          <w:tcPr>
            <w:tcW w:type="dxa" w:w="2304"/>
          </w:tcPr>
          <w:p>
            <w:pPr>
              <w:spacing w:after="0"/>
            </w:pPr>
            <w:r/>
            <w:r>
              <w:rPr>
                <w:rFonts w:ascii="Calibri" w:hAnsi="Calibri"/>
                <w:color w:val="333333"/>
                <w:sz w:val="19"/>
              </w:rPr>
              <w:t>Could be asked of anyone</w:t>
            </w:r>
          </w:p>
        </w:tc>
      </w:tr>
      <w:tr>
        <w:tc>
          <w:tcPr>
            <w:tcW w:type="dxa" w:w="1872"/>
            <w:shd w:val="clear" w:color="auto" w:fill="F3F6FC"/>
          </w:tcPr>
          <w:p>
            <w:pPr>
              <w:spacing w:after="0"/>
            </w:pPr>
            <w:r/>
            <w:r>
              <w:rPr>
                <w:rFonts w:ascii="Calibri" w:hAnsi="Calibri"/>
                <w:b/>
                <w:color w:val="1E2761"/>
                <w:sz w:val="19"/>
              </w:rPr>
              <w:t>Analytical depth</w:t>
            </w:r>
          </w:p>
        </w:tc>
        <w:tc>
          <w:tcPr>
            <w:tcW w:type="dxa" w:w="3312"/>
            <w:shd w:val="clear" w:color="auto" w:fill="F3F6FC"/>
          </w:tcPr>
          <w:p>
            <w:pPr>
              <w:spacing w:after="0"/>
            </w:pPr>
            <w:r/>
            <w:r>
              <w:rPr>
                <w:rFonts w:ascii="Calibri" w:hAnsi="Calibri"/>
                <w:color w:val="333333"/>
                <w:sz w:val="19"/>
              </w:rPr>
              <w:t>Asks about a trade-off, a failure, a measurement problem or a decision</w:t>
            </w:r>
          </w:p>
        </w:tc>
        <w:tc>
          <w:tcPr>
            <w:tcW w:type="dxa" w:w="2448"/>
            <w:shd w:val="clear" w:color="auto" w:fill="F3F6FC"/>
          </w:tcPr>
          <w:p>
            <w:pPr>
              <w:spacing w:after="0"/>
            </w:pPr>
            <w:r/>
            <w:r>
              <w:rPr>
                <w:rFonts w:ascii="Calibri" w:hAnsi="Calibri"/>
                <w:color w:val="333333"/>
                <w:sz w:val="19"/>
              </w:rPr>
              <w:t>Asks for a description</w:t>
            </w:r>
          </w:p>
        </w:tc>
        <w:tc>
          <w:tcPr>
            <w:tcW w:type="dxa" w:w="2304"/>
            <w:shd w:val="clear" w:color="auto" w:fill="F3F6FC"/>
          </w:tcPr>
          <w:p>
            <w:pPr>
              <w:spacing w:after="0"/>
            </w:pPr>
            <w:r/>
            <w:r>
              <w:rPr>
                <w:rFonts w:ascii="Calibri" w:hAnsi="Calibri"/>
                <w:color w:val="333333"/>
                <w:sz w:val="19"/>
              </w:rPr>
              <w:t>Yes/no or factual lookup</w:t>
            </w:r>
          </w:p>
        </w:tc>
      </w:tr>
      <w:tr>
        <w:tc>
          <w:tcPr>
            <w:tcW w:type="dxa" w:w="1872"/>
          </w:tcPr>
          <w:p>
            <w:pPr>
              <w:spacing w:after="0"/>
            </w:pPr>
            <w:r/>
            <w:r>
              <w:rPr>
                <w:rFonts w:ascii="Calibri" w:hAnsi="Calibri"/>
                <w:b/>
                <w:color w:val="1E2761"/>
                <w:sz w:val="19"/>
              </w:rPr>
              <w:t>Course linkage</w:t>
            </w:r>
          </w:p>
        </w:tc>
        <w:tc>
          <w:tcPr>
            <w:tcW w:type="dxa" w:w="3312"/>
          </w:tcPr>
          <w:p>
            <w:pPr>
              <w:spacing w:after="0"/>
            </w:pPr>
            <w:r/>
            <w:r>
              <w:rPr>
                <w:rFonts w:ascii="Calibri" w:hAnsi="Calibri"/>
                <w:color w:val="333333"/>
                <w:sz w:val="19"/>
              </w:rPr>
              <w:t>Connects to a week's method (MMM, NBA, forecasting, NLP, agents) or a stakeholder tension</w:t>
            </w:r>
          </w:p>
        </w:tc>
        <w:tc>
          <w:tcPr>
            <w:tcW w:type="dxa" w:w="2448"/>
          </w:tcPr>
          <w:p>
            <w:pPr>
              <w:spacing w:after="0"/>
            </w:pPr>
            <w:r/>
            <w:r>
              <w:rPr>
                <w:rFonts w:ascii="Calibri" w:hAnsi="Calibri"/>
                <w:color w:val="333333"/>
                <w:sz w:val="19"/>
              </w:rPr>
              <w:t>Loosely related</w:t>
            </w:r>
          </w:p>
        </w:tc>
        <w:tc>
          <w:tcPr>
            <w:tcW w:type="dxa" w:w="2304"/>
          </w:tcPr>
          <w:p>
            <w:pPr>
              <w:spacing w:after="0"/>
            </w:pPr>
            <w:r/>
            <w:r>
              <w:rPr>
                <w:rFonts w:ascii="Calibri" w:hAnsi="Calibri"/>
                <w:color w:val="333333"/>
                <w:sz w:val="19"/>
              </w:rPr>
              <w:t>Unrelated</w:t>
            </w:r>
          </w:p>
        </w:tc>
      </w:tr>
    </w:tbl>
    <w:p>
      <w:pPr>
        <w:spacing w:after="80"/>
      </w:pPr>
    </w:p>
    <w:tbl>
      <w:tblPr>
        <w:tblW w:type="auto" w:w="0"/>
        <w:jc w:val="center"/>
        <w:tblLook w:firstColumn="1" w:firstRow="1" w:lastColumn="0" w:lastRow="0" w:noHBand="0" w:noVBand="1" w:val="04A0"/>
      </w:tblPr>
      <w:tblGrid>
        <w:gridCol w:w="9936"/>
      </w:tblGrid>
      <w:tr>
        <w:tc>
          <w:tcPr>
            <w:tcW w:type="dxa" w:w="9936"/>
            <w:shd w:val="clear" w:color="auto" w:fill="E9EFFB"/>
          </w:tcPr>
          <w:p>
            <w:pPr>
              <w:spacing w:after="40"/>
            </w:pPr>
            <w:r/>
            <w:r>
              <w:rPr>
                <w:rFonts w:ascii="Calibri" w:hAnsi="Calibri"/>
                <w:b/>
                <w:color w:val="1E2761"/>
                <w:sz w:val="22"/>
              </w:rPr>
              <w:t>Examples of strong questions</w:t>
            </w:r>
          </w:p>
          <w:p>
            <w:pPr>
              <w:spacing w:after="40"/>
            </w:pPr>
            <w:r>
              <w:rPr>
                <w:rFonts w:ascii="Calibri" w:hAnsi="Calibri"/>
                <w:color w:val="333333"/>
                <w:sz w:val="21"/>
              </w:rPr>
              <w:t>“Your team moved from a regression MMM to a Bayesian one — what decision changed as a result, and did the CFO trust the wider intervals?”</w:t>
            </w:r>
          </w:p>
          <w:p>
            <w:pPr>
              <w:spacing w:after="40"/>
            </w:pPr>
            <w:r>
              <w:rPr>
                <w:rFonts w:ascii="Calibri" w:hAnsi="Calibri"/>
                <w:color w:val="333333"/>
                <w:sz w:val="21"/>
              </w:rPr>
              <w:t>“When an agent drafts the weekly brand briefing, who is accountable for a wrong number, and how did you design the review step?”</w:t>
            </w:r>
          </w:p>
          <w:p>
            <w:pPr>
              <w:spacing w:after="40"/>
            </w:pPr>
            <w:r>
              <w:rPr>
                <w:rFonts w:ascii="Calibri" w:hAnsi="Calibri"/>
                <w:color w:val="333333"/>
                <w:sz w:val="21"/>
              </w:rPr>
              <w:t>“Which stakeholder's behavior was hardest to get data on — payer, HCP or patient — and what proxy did you end up using?”</w:t>
            </w:r>
          </w:p>
        </w:tc>
      </w:tr>
    </w:tbl>
    <w:p>
      <w:pPr>
        <w:spacing w:after="80"/>
      </w:pPr>
    </w:p>
    <w:p>
      <w:pPr>
        <w:keepNext/>
        <w:spacing w:after="80" w:before="240"/>
      </w:pPr>
      <w:r>
        <w:rPr>
          <w:rFonts w:ascii="Calibri" w:hAnsi="Calibri"/>
          <w:b/>
          <w:i w:val="0"/>
          <w:color w:val="1E2761"/>
          <w:sz w:val="30"/>
        </w:rPr>
        <w:t>Part 2 — One-page summary report (3 points)</w:t>
      </w:r>
    </w:p>
    <w:p>
      <w:pPr>
        <w:spacing w:after="120" w:before="0"/>
      </w:pPr>
      <w:r>
        <w:rPr>
          <w:rFonts w:ascii="Calibri" w:hAnsi="Calibri"/>
          <w:b w:val="0"/>
          <w:i w:val="0"/>
          <w:color w:val="333333"/>
          <w:sz w:val="22"/>
        </w:rPr>
        <w:t>One page (≈450–600 words), PDF, submitted within a week of the session. Write it as a memo to a manager who could not attend. Use the headings below.</w:t>
      </w:r>
    </w:p>
    <w:tbl>
      <w:tblPr>
        <w:tblStyle w:val="TableGrid"/>
        <w:tblW w:type="auto" w:w="0"/>
        <w:jc w:val="center"/>
        <w:tblLayout w:type="fixed"/>
        <w:tblLook w:firstColumn="1" w:firstRow="1" w:lastColumn="0" w:lastRow="0" w:noHBand="0" w:noVBand="1" w:val="04A0"/>
      </w:tblPr>
      <w:tblGrid>
        <w:gridCol w:w="2736"/>
        <w:gridCol w:w="6048"/>
        <w:gridCol w:w="1152"/>
      </w:tblGrid>
      <w:tr>
        <w:tc>
          <w:tcPr>
            <w:tcW w:type="dxa" w:w="2736"/>
            <w:shd w:val="clear" w:color="auto" w:fill="1E2761"/>
          </w:tcPr>
          <w:p>
            <w:pPr>
              <w:spacing w:after="0"/>
            </w:pPr>
            <w:r/>
            <w:r>
              <w:rPr>
                <w:rFonts w:ascii="Calibri" w:hAnsi="Calibri"/>
                <w:b/>
                <w:color w:val="FFFFFF"/>
                <w:sz w:val="19"/>
              </w:rPr>
              <w:t>Heading</w:t>
            </w:r>
          </w:p>
        </w:tc>
        <w:tc>
          <w:tcPr>
            <w:tcW w:type="dxa" w:w="6048"/>
            <w:shd w:val="clear" w:color="auto" w:fill="1E2761"/>
          </w:tcPr>
          <w:p>
            <w:pPr>
              <w:spacing w:after="0"/>
            </w:pPr>
            <w:r/>
            <w:r>
              <w:rPr>
                <w:rFonts w:ascii="Calibri" w:hAnsi="Calibri"/>
                <w:b/>
                <w:color w:val="FFFFFF"/>
                <w:sz w:val="19"/>
              </w:rPr>
              <w:t>Content</w:t>
            </w:r>
          </w:p>
        </w:tc>
        <w:tc>
          <w:tcPr>
            <w:tcW w:type="dxa" w:w="1152"/>
            <w:shd w:val="clear" w:color="auto" w:fill="1E2761"/>
          </w:tcPr>
          <w:p>
            <w:pPr>
              <w:spacing w:after="0"/>
            </w:pPr>
            <w:r/>
            <w:r>
              <w:rPr>
                <w:rFonts w:ascii="Calibri" w:hAnsi="Calibri"/>
                <w:b/>
                <w:color w:val="FFFFFF"/>
                <w:sz w:val="19"/>
              </w:rPr>
              <w:t>Points</w:t>
            </w:r>
          </w:p>
        </w:tc>
      </w:tr>
      <w:tr>
        <w:tc>
          <w:tcPr>
            <w:tcW w:type="dxa" w:w="2736"/>
          </w:tcPr>
          <w:p>
            <w:pPr>
              <w:spacing w:after="0"/>
            </w:pPr>
            <w:r/>
            <w:r>
              <w:rPr>
                <w:rFonts w:ascii="Calibri" w:hAnsi="Calibri"/>
                <w:b/>
                <w:color w:val="1E2761"/>
                <w:sz w:val="19"/>
              </w:rPr>
              <w:t>The problem the speaker solves</w:t>
            </w:r>
          </w:p>
        </w:tc>
        <w:tc>
          <w:tcPr>
            <w:tcW w:type="dxa" w:w="6048"/>
          </w:tcPr>
          <w:p>
            <w:pPr>
              <w:spacing w:after="0"/>
            </w:pPr>
            <w:r/>
            <w:r>
              <w:rPr>
                <w:rFonts w:ascii="Calibri" w:hAnsi="Calibri"/>
                <w:color w:val="333333"/>
                <w:sz w:val="19"/>
              </w:rPr>
              <w:t>Two or three sentences: which stakeholder, which decision, which data</w:t>
            </w:r>
          </w:p>
        </w:tc>
        <w:tc>
          <w:tcPr>
            <w:tcW w:type="dxa" w:w="1152"/>
          </w:tcPr>
          <w:p>
            <w:pPr>
              <w:spacing w:after="0"/>
            </w:pPr>
            <w:r/>
            <w:r>
              <w:rPr>
                <w:rFonts w:ascii="Calibri" w:hAnsi="Calibri"/>
                <w:color w:val="333333"/>
                <w:sz w:val="19"/>
              </w:rPr>
              <w:t>0.5</w:t>
            </w:r>
          </w:p>
        </w:tc>
      </w:tr>
      <w:tr>
        <w:tc>
          <w:tcPr>
            <w:tcW w:type="dxa" w:w="2736"/>
            <w:shd w:val="clear" w:color="auto" w:fill="F3F6FC"/>
          </w:tcPr>
          <w:p>
            <w:pPr>
              <w:spacing w:after="0"/>
            </w:pPr>
            <w:r/>
            <w:r>
              <w:rPr>
                <w:rFonts w:ascii="Calibri" w:hAnsi="Calibri"/>
                <w:b/>
                <w:color w:val="1E2761"/>
                <w:sz w:val="19"/>
              </w:rPr>
              <w:t>Three takeaways</w:t>
            </w:r>
          </w:p>
        </w:tc>
        <w:tc>
          <w:tcPr>
            <w:tcW w:type="dxa" w:w="6048"/>
            <w:shd w:val="clear" w:color="auto" w:fill="F3F6FC"/>
          </w:tcPr>
          <w:p>
            <w:pPr>
              <w:spacing w:after="0"/>
            </w:pPr>
            <w:r/>
            <w:r>
              <w:rPr>
                <w:rFonts w:ascii="Calibri" w:hAnsi="Calibri"/>
                <w:color w:val="333333"/>
                <w:sz w:val="19"/>
              </w:rPr>
              <w:t>Concrete and specific: numbers, examples, named trade-offs — not “AI is important”</w:t>
            </w:r>
          </w:p>
        </w:tc>
        <w:tc>
          <w:tcPr>
            <w:tcW w:type="dxa" w:w="1152"/>
            <w:shd w:val="clear" w:color="auto" w:fill="F3F6FC"/>
          </w:tcPr>
          <w:p>
            <w:pPr>
              <w:spacing w:after="0"/>
            </w:pPr>
            <w:r/>
            <w:r>
              <w:rPr>
                <w:rFonts w:ascii="Calibri" w:hAnsi="Calibri"/>
                <w:color w:val="333333"/>
                <w:sz w:val="19"/>
              </w:rPr>
              <w:t>1.0</w:t>
            </w:r>
          </w:p>
        </w:tc>
      </w:tr>
      <w:tr>
        <w:tc>
          <w:tcPr>
            <w:tcW w:type="dxa" w:w="2736"/>
          </w:tcPr>
          <w:p>
            <w:pPr>
              <w:spacing w:after="0"/>
            </w:pPr>
            <w:r/>
            <w:r>
              <w:rPr>
                <w:rFonts w:ascii="Calibri" w:hAnsi="Calibri"/>
                <w:b/>
                <w:color w:val="1E2761"/>
                <w:sz w:val="19"/>
              </w:rPr>
              <w:t>What surprised you or what you disagree with</w:t>
            </w:r>
          </w:p>
        </w:tc>
        <w:tc>
          <w:tcPr>
            <w:tcW w:type="dxa" w:w="6048"/>
          </w:tcPr>
          <w:p>
            <w:pPr>
              <w:spacing w:after="0"/>
            </w:pPr>
            <w:r/>
            <w:r>
              <w:rPr>
                <w:rFonts w:ascii="Calibri" w:hAnsi="Calibri"/>
                <w:color w:val="333333"/>
                <w:sz w:val="19"/>
              </w:rPr>
              <w:t>One paragraph with a reason; disagreement is welcome if argued</w:t>
            </w:r>
          </w:p>
        </w:tc>
        <w:tc>
          <w:tcPr>
            <w:tcW w:type="dxa" w:w="1152"/>
          </w:tcPr>
          <w:p>
            <w:pPr>
              <w:spacing w:after="0"/>
            </w:pPr>
            <w:r/>
            <w:r>
              <w:rPr>
                <w:rFonts w:ascii="Calibri" w:hAnsi="Calibri"/>
                <w:color w:val="333333"/>
                <w:sz w:val="19"/>
              </w:rPr>
              <w:t>0.5</w:t>
            </w:r>
          </w:p>
        </w:tc>
      </w:tr>
      <w:tr>
        <w:tc>
          <w:tcPr>
            <w:tcW w:type="dxa" w:w="2736"/>
            <w:shd w:val="clear" w:color="auto" w:fill="F3F6FC"/>
          </w:tcPr>
          <w:p>
            <w:pPr>
              <w:spacing w:after="0"/>
            </w:pPr>
            <w:r/>
            <w:r>
              <w:rPr>
                <w:rFonts w:ascii="Calibri" w:hAnsi="Calibri"/>
                <w:b/>
                <w:color w:val="1E2761"/>
                <w:sz w:val="19"/>
              </w:rPr>
              <w:t>Connection to the course</w:t>
            </w:r>
          </w:p>
        </w:tc>
        <w:tc>
          <w:tcPr>
            <w:tcW w:type="dxa" w:w="6048"/>
            <w:shd w:val="clear" w:color="auto" w:fill="F3F6FC"/>
          </w:tcPr>
          <w:p>
            <w:pPr>
              <w:spacing w:after="0"/>
            </w:pPr>
            <w:r/>
            <w:r>
              <w:rPr>
                <w:rFonts w:ascii="Calibri" w:hAnsi="Calibri"/>
                <w:color w:val="333333"/>
                <w:sz w:val="19"/>
              </w:rPr>
              <w:t>Which week's method this relates to and how the speaker's practice differs from the textbook version</w:t>
            </w:r>
          </w:p>
        </w:tc>
        <w:tc>
          <w:tcPr>
            <w:tcW w:type="dxa" w:w="1152"/>
            <w:shd w:val="clear" w:color="auto" w:fill="F3F6FC"/>
          </w:tcPr>
          <w:p>
            <w:pPr>
              <w:spacing w:after="0"/>
            </w:pPr>
            <w:r/>
            <w:r>
              <w:rPr>
                <w:rFonts w:ascii="Calibri" w:hAnsi="Calibri"/>
                <w:color w:val="333333"/>
                <w:sz w:val="19"/>
              </w:rPr>
              <w:t>0.5</w:t>
            </w:r>
          </w:p>
        </w:tc>
      </w:tr>
      <w:tr>
        <w:tc>
          <w:tcPr>
            <w:tcW w:type="dxa" w:w="2736"/>
          </w:tcPr>
          <w:p>
            <w:pPr>
              <w:spacing w:after="0"/>
            </w:pPr>
            <w:r/>
            <w:r>
              <w:rPr>
                <w:rFonts w:ascii="Calibri" w:hAnsi="Calibri"/>
                <w:b/>
                <w:color w:val="1E2761"/>
                <w:sz w:val="19"/>
              </w:rPr>
              <w:t>One question you would ask next</w:t>
            </w:r>
          </w:p>
        </w:tc>
        <w:tc>
          <w:tcPr>
            <w:tcW w:type="dxa" w:w="6048"/>
          </w:tcPr>
          <w:p>
            <w:pPr>
              <w:spacing w:after="0"/>
            </w:pPr>
            <w:r/>
            <w:r>
              <w:rPr>
                <w:rFonts w:ascii="Calibri" w:hAnsi="Calibri"/>
                <w:color w:val="333333"/>
                <w:sz w:val="19"/>
              </w:rPr>
              <w:t>A follow-up that builds on the talk</w:t>
            </w:r>
          </w:p>
        </w:tc>
        <w:tc>
          <w:tcPr>
            <w:tcW w:type="dxa" w:w="1152"/>
          </w:tcPr>
          <w:p>
            <w:pPr>
              <w:spacing w:after="0"/>
            </w:pPr>
            <w:r/>
            <w:r>
              <w:rPr>
                <w:rFonts w:ascii="Calibri" w:hAnsi="Calibri"/>
                <w:color w:val="333333"/>
                <w:sz w:val="19"/>
              </w:rPr>
              <w:t>0.5</w:t>
            </w:r>
          </w:p>
        </w:tc>
      </w:tr>
    </w:tbl>
    <w:p>
      <w:pPr>
        <w:spacing w:after="80"/>
      </w:pPr>
    </w:p>
    <w:p>
      <w:pPr>
        <w:spacing w:after="120" w:before="0"/>
      </w:pPr>
      <w:r>
        <w:rPr>
          <w:rFonts w:ascii="Calibri" w:hAnsi="Calibri"/>
          <w:b w:val="0"/>
          <w:i/>
          <w:color w:val="666666"/>
          <w:sz w:val="20"/>
        </w:rPr>
        <w:t>Formatting: your name, the speaker and the date at the top; one page; no bullet-only reports. AI use must be disclosed per the syllabus policy; the summary must be your own writing.</w:t>
      </w:r>
    </w:p>
    <w:p>
      <w:pPr>
        <w:keepNext/>
        <w:spacing w:after="80" w:before="240"/>
      </w:pPr>
      <w:r>
        <w:rPr>
          <w:rFonts w:ascii="Calibri" w:hAnsi="Calibri"/>
          <w:b/>
          <w:i w:val="0"/>
          <w:color w:val="1E2761"/>
          <w:sz w:val="30"/>
        </w:rPr>
        <w:t>Question submission form</w:t>
      </w:r>
    </w:p>
    <w:tbl>
      <w:tblPr>
        <w:tblStyle w:val="TableGrid"/>
        <w:tblW w:type="auto" w:w="0"/>
        <w:jc w:val="center"/>
        <w:tblLayout w:type="fixed"/>
        <w:tblLook w:firstColumn="1" w:firstRow="1" w:lastColumn="0" w:lastRow="0" w:noHBand="0" w:noVBand="1" w:val="04A0"/>
      </w:tblPr>
      <w:tblGrid>
        <w:gridCol w:w="2880"/>
        <w:gridCol w:w="7056"/>
      </w:tblGrid>
      <w:tr>
        <w:tc>
          <w:tcPr>
            <w:tcW w:type="dxa" w:w="2880"/>
            <w:shd w:val="clear" w:color="auto" w:fill="1E2761"/>
          </w:tcPr>
          <w:p>
            <w:pPr>
              <w:spacing w:after="0"/>
            </w:pPr>
            <w:r/>
            <w:r>
              <w:rPr>
                <w:rFonts w:ascii="Calibri" w:hAnsi="Calibri"/>
                <w:b/>
                <w:color w:val="FFFFFF"/>
                <w:sz w:val="20"/>
              </w:rPr>
              <w:t>Field</w:t>
            </w:r>
          </w:p>
        </w:tc>
        <w:tc>
          <w:tcPr>
            <w:tcW w:type="dxa" w:w="7056"/>
            <w:shd w:val="clear" w:color="auto" w:fill="1E2761"/>
          </w:tcPr>
          <w:p>
            <w:pPr>
              <w:spacing w:after="0"/>
            </w:pPr>
            <w:r/>
            <w:r>
              <w:rPr>
                <w:rFonts w:ascii="Calibri" w:hAnsi="Calibri"/>
                <w:b/>
                <w:color w:val="FFFFFF"/>
                <w:sz w:val="20"/>
              </w:rPr>
              <w:t>Your entry</w:t>
            </w:r>
          </w:p>
        </w:tc>
      </w:tr>
      <w:tr>
        <w:tc>
          <w:tcPr>
            <w:tcW w:type="dxa" w:w="2880"/>
          </w:tcPr>
          <w:p>
            <w:pPr>
              <w:spacing w:after="0"/>
            </w:pPr>
            <w:r/>
            <w:r>
              <w:rPr>
                <w:rFonts w:ascii="Calibri" w:hAnsi="Calibri"/>
                <w:b/>
                <w:color w:val="1E2761"/>
                <w:sz w:val="20"/>
              </w:rPr>
              <w:t>Your name</w:t>
            </w:r>
          </w:p>
        </w:tc>
        <w:tc>
          <w:tcPr>
            <w:tcW w:type="dxa" w:w="7056"/>
          </w:tcPr>
          <w:p>
            <w:pPr>
              <w:spacing w:after="0"/>
            </w:pPr>
            <w:r/>
            <w:r>
              <w:rPr>
                <w:rFonts w:ascii="Calibri" w:hAnsi="Calibri"/>
                <w:color w:val="333333"/>
                <w:sz w:val="20"/>
              </w:rPr>
            </w:r>
          </w:p>
        </w:tc>
      </w:tr>
      <w:tr>
        <w:tc>
          <w:tcPr>
            <w:tcW w:type="dxa" w:w="2880"/>
            <w:shd w:val="clear" w:color="auto" w:fill="F3F6FC"/>
          </w:tcPr>
          <w:p>
            <w:pPr>
              <w:spacing w:after="0"/>
            </w:pPr>
            <w:r/>
            <w:r>
              <w:rPr>
                <w:rFonts w:ascii="Calibri" w:hAnsi="Calibri"/>
                <w:b/>
                <w:color w:val="1E2761"/>
                <w:sz w:val="20"/>
              </w:rPr>
              <w:t>Speaker / session</w:t>
            </w:r>
          </w:p>
        </w:tc>
        <w:tc>
          <w:tcPr>
            <w:tcW w:type="dxa" w:w="7056"/>
            <w:shd w:val="clear" w:color="auto" w:fill="F3F6FC"/>
          </w:tcPr>
          <w:p>
            <w:pPr>
              <w:spacing w:after="0"/>
            </w:pPr>
            <w:r/>
            <w:r>
              <w:rPr>
                <w:rFonts w:ascii="Calibri" w:hAnsi="Calibri"/>
                <w:color w:val="333333"/>
                <w:sz w:val="20"/>
              </w:rPr>
            </w:r>
          </w:p>
        </w:tc>
      </w:tr>
      <w:tr>
        <w:tc>
          <w:tcPr>
            <w:tcW w:type="dxa" w:w="2880"/>
          </w:tcPr>
          <w:p>
            <w:pPr>
              <w:spacing w:after="0"/>
            </w:pPr>
            <w:r/>
            <w:r>
              <w:rPr>
                <w:rFonts w:ascii="Calibri" w:hAnsi="Calibri"/>
                <w:b/>
                <w:color w:val="1E2761"/>
                <w:sz w:val="20"/>
              </w:rPr>
              <w:t>Question 1</w:t>
            </w:r>
          </w:p>
        </w:tc>
        <w:tc>
          <w:tcPr>
            <w:tcW w:type="dxa" w:w="7056"/>
          </w:tcPr>
          <w:p>
            <w:pPr>
              <w:spacing w:after="0"/>
            </w:pPr>
            <w:r/>
            <w:r>
              <w:rPr>
                <w:rFonts w:ascii="Calibri" w:hAnsi="Calibri"/>
                <w:color w:val="333333"/>
                <w:sz w:val="20"/>
              </w:rPr>
            </w:r>
          </w:p>
        </w:tc>
      </w:tr>
      <w:tr>
        <w:tc>
          <w:tcPr>
            <w:tcW w:type="dxa" w:w="2880"/>
            <w:shd w:val="clear" w:color="auto" w:fill="F3F6FC"/>
          </w:tcPr>
          <w:p>
            <w:pPr>
              <w:spacing w:after="0"/>
            </w:pPr>
            <w:r/>
            <w:r>
              <w:rPr>
                <w:rFonts w:ascii="Calibri" w:hAnsi="Calibri"/>
                <w:b/>
                <w:color w:val="1E2761"/>
                <w:sz w:val="20"/>
              </w:rPr>
              <w:t>Why you're asking (one line)</w:t>
            </w:r>
          </w:p>
        </w:tc>
        <w:tc>
          <w:tcPr>
            <w:tcW w:type="dxa" w:w="7056"/>
            <w:shd w:val="clear" w:color="auto" w:fill="F3F6FC"/>
          </w:tcPr>
          <w:p>
            <w:pPr>
              <w:spacing w:after="0"/>
            </w:pPr>
            <w:r/>
            <w:r>
              <w:rPr>
                <w:rFonts w:ascii="Calibri" w:hAnsi="Calibri"/>
                <w:color w:val="333333"/>
                <w:sz w:val="20"/>
              </w:rPr>
            </w:r>
          </w:p>
        </w:tc>
      </w:tr>
      <w:tr>
        <w:tc>
          <w:tcPr>
            <w:tcW w:type="dxa" w:w="2880"/>
          </w:tcPr>
          <w:p>
            <w:pPr>
              <w:spacing w:after="0"/>
            </w:pPr>
            <w:r/>
            <w:r>
              <w:rPr>
                <w:rFonts w:ascii="Calibri" w:hAnsi="Calibri"/>
                <w:b/>
                <w:color w:val="1E2761"/>
                <w:sz w:val="20"/>
              </w:rPr>
              <w:t>Question 2</w:t>
            </w:r>
          </w:p>
        </w:tc>
        <w:tc>
          <w:tcPr>
            <w:tcW w:type="dxa" w:w="7056"/>
          </w:tcPr>
          <w:p>
            <w:pPr>
              <w:spacing w:after="0"/>
            </w:pPr>
            <w:r/>
            <w:r>
              <w:rPr>
                <w:rFonts w:ascii="Calibri" w:hAnsi="Calibri"/>
                <w:color w:val="333333"/>
                <w:sz w:val="20"/>
              </w:rPr>
            </w:r>
          </w:p>
        </w:tc>
      </w:tr>
      <w:tr>
        <w:tc>
          <w:tcPr>
            <w:tcW w:type="dxa" w:w="2880"/>
            <w:shd w:val="clear" w:color="auto" w:fill="F3F6FC"/>
          </w:tcPr>
          <w:p>
            <w:pPr>
              <w:spacing w:after="0"/>
            </w:pPr>
            <w:r/>
            <w:r>
              <w:rPr>
                <w:rFonts w:ascii="Calibri" w:hAnsi="Calibri"/>
                <w:b/>
                <w:color w:val="1E2761"/>
                <w:sz w:val="20"/>
              </w:rPr>
              <w:t>Why you're asking (one line)</w:t>
            </w:r>
          </w:p>
        </w:tc>
        <w:tc>
          <w:tcPr>
            <w:tcW w:type="dxa" w:w="7056"/>
            <w:shd w:val="clear" w:color="auto" w:fill="F3F6FC"/>
          </w:tcPr>
          <w:p>
            <w:pPr>
              <w:spacing w:after="0"/>
            </w:pPr>
            <w:r/>
            <w:r>
              <w:rPr>
                <w:rFonts w:ascii="Calibri" w:hAnsi="Calibri"/>
                <w:color w:val="333333"/>
                <w:sz w:val="20"/>
              </w:rPr>
            </w:r>
          </w:p>
        </w:tc>
      </w:tr>
      <w:tr>
        <w:tc>
          <w:tcPr>
            <w:tcW w:type="dxa" w:w="2880"/>
          </w:tcPr>
          <w:p>
            <w:pPr>
              <w:spacing w:after="0"/>
            </w:pPr>
            <w:r/>
            <w:r>
              <w:rPr>
                <w:rFonts w:ascii="Calibri" w:hAnsi="Calibri"/>
                <w:b/>
                <w:color w:val="1E2761"/>
                <w:sz w:val="20"/>
              </w:rPr>
              <w:t>Question 3</w:t>
            </w:r>
          </w:p>
        </w:tc>
        <w:tc>
          <w:tcPr>
            <w:tcW w:type="dxa" w:w="7056"/>
          </w:tcPr>
          <w:p>
            <w:pPr>
              <w:spacing w:after="0"/>
            </w:pPr>
            <w:r/>
            <w:r>
              <w:rPr>
                <w:rFonts w:ascii="Calibri" w:hAnsi="Calibri"/>
                <w:color w:val="333333"/>
                <w:sz w:val="20"/>
              </w:rPr>
            </w:r>
          </w:p>
        </w:tc>
      </w:tr>
      <w:tr>
        <w:tc>
          <w:tcPr>
            <w:tcW w:type="dxa" w:w="2880"/>
            <w:shd w:val="clear" w:color="auto" w:fill="F3F6FC"/>
          </w:tcPr>
          <w:p>
            <w:pPr>
              <w:spacing w:after="0"/>
            </w:pPr>
            <w:r/>
            <w:r>
              <w:rPr>
                <w:rFonts w:ascii="Calibri" w:hAnsi="Calibri"/>
                <w:b/>
                <w:color w:val="1E2761"/>
                <w:sz w:val="20"/>
              </w:rPr>
              <w:t>Why you're asking (one line)</w:t>
            </w:r>
          </w:p>
        </w:tc>
        <w:tc>
          <w:tcPr>
            <w:tcW w:type="dxa" w:w="7056"/>
            <w:shd w:val="clear" w:color="auto" w:fill="F3F6FC"/>
          </w:tcPr>
          <w:p>
            <w:pPr>
              <w:spacing w:after="0"/>
            </w:pPr>
            <w:r/>
            <w:r>
              <w:rPr>
                <w:rFonts w:ascii="Calibri" w:hAnsi="Calibri"/>
                <w:color w:val="333333"/>
                <w:sz w:val="20"/>
              </w:rPr>
            </w:r>
          </w:p>
        </w:tc>
      </w:tr>
    </w:tbl>
    <w:p>
      <w:pPr>
        <w:spacing w:after="80"/>
      </w:pP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7"/>
      </w:rPr>
      <w:t>Guest-Speaker Engagement Template · Applied Data Science and AI in Pharma Commercial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