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1 — In-Class Exercise</w:t>
      </w:r>
    </w:p>
    <w:p>
      <w:pPr>
        <w:spacing w:after="80" w:before="0"/>
      </w:pPr>
      <w:r>
        <w:rPr>
          <w:rFonts w:ascii="Calibri" w:hAnsi="Calibri"/>
          <w:b/>
          <w:i w:val="0"/>
          <w:color w:val="1E2761"/>
          <w:sz w:val="28"/>
        </w:rPr>
        <w:t>Mapping the stakeholders, the money and the prescription for GLUCOREN</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Groups of 3–4 · 25 minutes working + 15 minutes debrief · nothing to submit; one group presents each part</w:t>
      </w:r>
    </w:p>
    <w:p>
      <w:pPr>
        <w:spacing w:after="40" w:before="0"/>
      </w:pPr>
      <w:r>
        <w:rPr>
          <w:rFonts w:ascii="Calibri" w:hAnsi="Calibri"/>
          <w:b/>
          <w:i w:val="0"/>
          <w:color w:val="333333"/>
          <w:sz w:val="22"/>
        </w:rPr>
        <w:t>Materials: this handout, the Week 1 slides (stakeholder map, waterfall, P&amp;L), a calculator or notebook</w:t>
      </w:r>
    </w:p>
    <w:p>
      <w:pPr>
        <w:spacing w:after="160"/>
        <w:pBdr>
          <w:bottom w:val="single" w:sz="8" w:space="1" w:color="1E2761"/>
        </w:pBdr>
      </w:pPr>
    </w:p>
    <w:p>
      <w:pPr>
        <w:keepNext/>
        <w:spacing w:after="80" w:before="240"/>
      </w:pPr>
      <w:r>
        <w:rPr>
          <w:rFonts w:ascii="Calibri" w:hAnsi="Calibri"/>
          <w:b/>
          <w:i w:val="0"/>
          <w:color w:val="1E2761"/>
          <w:sz w:val="30"/>
        </w:rPr>
        <w:t>Scenario</w:t>
      </w:r>
    </w:p>
    <w:p>
      <w:pPr>
        <w:spacing w:after="120" w:before="0"/>
      </w:pPr>
      <w:r>
        <w:rPr>
          <w:rFonts w:ascii="Calibri" w:hAnsi="Calibri"/>
          <w:b w:val="0"/>
          <w:i w:val="0"/>
          <w:color w:val="333333"/>
          <w:sz w:val="22"/>
        </w:rPr>
        <w:t>You are the new data scientist on the GLUCOREN brand team at Aspen Therapeutics. GLUCOREN is a branded, once-daily oral agent for type 2 diabetes, launched three years ago. It sells about 2.4 million normalized (30-day) prescriptions a year at a WAC of $520 per script and posts roughly $650M in net sales. Two things happened this quarter: (1) a competitor launched with a cardiovascular-outcomes claim on its label, and (2) the largest PBM signaled that GLUCOREN could lose its preferred (Tier 2) position on its national formulary next January unless the rebate improves. The brand lead has asked you to help her think through the stakeholder landscape before the commercial planning meeting.</w:t>
      </w:r>
    </w:p>
    <w:p>
      <w:pPr>
        <w:keepNext/>
        <w:spacing w:after="80" w:before="240"/>
      </w:pPr>
      <w:r>
        <w:rPr>
          <w:rFonts w:ascii="Calibri" w:hAnsi="Calibri"/>
          <w:b/>
          <w:i w:val="0"/>
          <w:color w:val="1E2761"/>
          <w:sz w:val="30"/>
        </w:rPr>
        <w:t>Part A — Incentive map (10 minutes)</w:t>
      </w:r>
    </w:p>
    <w:p>
      <w:pPr>
        <w:spacing w:after="120" w:before="0"/>
      </w:pPr>
      <w:r>
        <w:rPr>
          <w:rFonts w:ascii="Calibri" w:hAnsi="Calibri"/>
          <w:b w:val="0"/>
          <w:i w:val="0"/>
          <w:color w:val="333333"/>
          <w:sz w:val="22"/>
        </w:rPr>
        <w:t>For each stakeholder, write (i) what they want from GLUCOREN and (ii) what would make them act against it. Then circle the two most important conflicts for the brand this year.</w:t>
      </w:r>
    </w:p>
    <w:tbl>
      <w:tblPr>
        <w:tblStyle w:val="TableGrid"/>
        <w:tblW w:type="auto" w:w="0"/>
        <w:jc w:val="center"/>
        <w:tblLayout w:type="fixed"/>
        <w:tblLook w:firstColumn="1" w:firstRow="1" w:lastColumn="0" w:lastRow="0" w:noHBand="0" w:noVBand="1" w:val="04A0"/>
      </w:tblPr>
      <w:tblGrid>
        <w:gridCol w:w="2304"/>
        <w:gridCol w:w="3888"/>
        <w:gridCol w:w="3744"/>
      </w:tblGrid>
      <w:tr>
        <w:tc>
          <w:tcPr>
            <w:tcW w:type="dxa" w:w="2304"/>
            <w:shd w:val="clear" w:color="auto" w:fill="1E2761"/>
          </w:tcPr>
          <w:p>
            <w:pPr>
              <w:spacing w:after="0"/>
            </w:pPr>
            <w:r/>
            <w:r>
              <w:rPr>
                <w:rFonts w:ascii="Calibri" w:hAnsi="Calibri"/>
                <w:b/>
                <w:color w:val="FFFFFF"/>
                <w:sz w:val="19"/>
              </w:rPr>
              <w:t>Stakeholder</w:t>
            </w:r>
          </w:p>
        </w:tc>
        <w:tc>
          <w:tcPr>
            <w:tcW w:type="dxa" w:w="3888"/>
            <w:shd w:val="clear" w:color="auto" w:fill="1E2761"/>
          </w:tcPr>
          <w:p>
            <w:pPr>
              <w:spacing w:after="0"/>
            </w:pPr>
            <w:r/>
            <w:r>
              <w:rPr>
                <w:rFonts w:ascii="Calibri" w:hAnsi="Calibri"/>
                <w:b/>
                <w:color w:val="FFFFFF"/>
                <w:sz w:val="19"/>
              </w:rPr>
              <w:t>What they want from GLUCOREN</w:t>
            </w:r>
          </w:p>
        </w:tc>
        <w:tc>
          <w:tcPr>
            <w:tcW w:type="dxa" w:w="3744"/>
            <w:shd w:val="clear" w:color="auto" w:fill="1E2761"/>
          </w:tcPr>
          <w:p>
            <w:pPr>
              <w:spacing w:after="0"/>
            </w:pPr>
            <w:r/>
            <w:r>
              <w:rPr>
                <w:rFonts w:ascii="Calibri" w:hAnsi="Calibri"/>
                <w:b/>
                <w:color w:val="FFFFFF"/>
                <w:sz w:val="19"/>
              </w:rPr>
              <w:t>What would make them act against it</w:t>
            </w:r>
          </w:p>
        </w:tc>
      </w:tr>
      <w:tr>
        <w:tc>
          <w:tcPr>
            <w:tcW w:type="dxa" w:w="2304"/>
          </w:tcPr>
          <w:p>
            <w:pPr>
              <w:spacing w:after="0"/>
            </w:pPr>
            <w:r/>
            <w:r>
              <w:rPr>
                <w:rFonts w:ascii="Calibri" w:hAnsi="Calibri"/>
                <w:b/>
                <w:color w:val="1E2761"/>
                <w:sz w:val="19"/>
              </w:rPr>
              <w:t>Aspen Therapeutics (manufacturer)</w:t>
            </w:r>
          </w:p>
        </w:tc>
        <w:tc>
          <w:tcPr>
            <w:tcW w:type="dxa" w:w="3888"/>
          </w:tcPr>
          <w:p>
            <w:pPr>
              <w:spacing w:after="0"/>
            </w:pPr>
            <w:r/>
            <w:r>
              <w:rPr>
                <w:rFonts w:ascii="Calibri" w:hAnsi="Calibri"/>
                <w:color w:val="333333"/>
                <w:sz w:val="19"/>
              </w:rPr>
              <w:br/>
              <w:br/>
            </w:r>
          </w:p>
        </w:tc>
        <w:tc>
          <w:tcPr>
            <w:tcW w:type="dxa" w:w="3744"/>
          </w:tcPr>
          <w:p>
            <w:pPr>
              <w:spacing w:after="0"/>
            </w:pPr>
            <w:r/>
            <w:r>
              <w:rPr>
                <w:rFonts w:ascii="Calibri" w:hAnsi="Calibri"/>
                <w:color w:val="333333"/>
                <w:sz w:val="19"/>
              </w:rPr>
              <w:br/>
              <w:br/>
            </w:r>
          </w:p>
        </w:tc>
      </w:tr>
      <w:tr>
        <w:tc>
          <w:tcPr>
            <w:tcW w:type="dxa" w:w="2304"/>
            <w:shd w:val="clear" w:color="auto" w:fill="F3F6FC"/>
          </w:tcPr>
          <w:p>
            <w:pPr>
              <w:spacing w:after="0"/>
            </w:pPr>
            <w:r/>
            <w:r>
              <w:rPr>
                <w:rFonts w:ascii="Calibri" w:hAnsi="Calibri"/>
                <w:b/>
                <w:color w:val="1E2761"/>
                <w:sz w:val="19"/>
              </w:rPr>
              <w:t>PBM (largest national)</w:t>
            </w:r>
          </w:p>
        </w:tc>
        <w:tc>
          <w:tcPr>
            <w:tcW w:type="dxa" w:w="3888"/>
            <w:shd w:val="clear" w:color="auto" w:fill="F3F6FC"/>
          </w:tcPr>
          <w:p>
            <w:pPr>
              <w:spacing w:after="0"/>
            </w:pPr>
            <w:r/>
            <w:r>
              <w:rPr>
                <w:rFonts w:ascii="Calibri" w:hAnsi="Calibri"/>
                <w:color w:val="333333"/>
                <w:sz w:val="19"/>
              </w:rPr>
              <w:br/>
              <w:br/>
            </w:r>
          </w:p>
        </w:tc>
        <w:tc>
          <w:tcPr>
            <w:tcW w:type="dxa" w:w="3744"/>
            <w:shd w:val="clear" w:color="auto" w:fill="F3F6FC"/>
          </w:tcPr>
          <w:p>
            <w:pPr>
              <w:spacing w:after="0"/>
            </w:pPr>
            <w:r/>
            <w:r>
              <w:rPr>
                <w:rFonts w:ascii="Calibri" w:hAnsi="Calibri"/>
                <w:color w:val="333333"/>
                <w:sz w:val="19"/>
              </w:rPr>
              <w:br/>
              <w:br/>
            </w:r>
          </w:p>
        </w:tc>
      </w:tr>
      <w:tr>
        <w:tc>
          <w:tcPr>
            <w:tcW w:type="dxa" w:w="2304"/>
          </w:tcPr>
          <w:p>
            <w:pPr>
              <w:spacing w:after="0"/>
            </w:pPr>
            <w:r/>
            <w:r>
              <w:rPr>
                <w:rFonts w:ascii="Calibri" w:hAnsi="Calibri"/>
                <w:b/>
                <w:color w:val="1E2761"/>
                <w:sz w:val="19"/>
              </w:rPr>
              <w:t>Payer / plan sponsor (employer, Part D plan)</w:t>
            </w:r>
          </w:p>
        </w:tc>
        <w:tc>
          <w:tcPr>
            <w:tcW w:type="dxa" w:w="3888"/>
          </w:tcPr>
          <w:p>
            <w:pPr>
              <w:spacing w:after="0"/>
            </w:pPr>
            <w:r/>
            <w:r>
              <w:rPr>
                <w:rFonts w:ascii="Calibri" w:hAnsi="Calibri"/>
                <w:color w:val="333333"/>
                <w:sz w:val="19"/>
              </w:rPr>
              <w:br/>
              <w:br/>
            </w:r>
          </w:p>
        </w:tc>
        <w:tc>
          <w:tcPr>
            <w:tcW w:type="dxa" w:w="3744"/>
          </w:tcPr>
          <w:p>
            <w:pPr>
              <w:spacing w:after="0"/>
            </w:pPr>
            <w:r/>
            <w:r>
              <w:rPr>
                <w:rFonts w:ascii="Calibri" w:hAnsi="Calibri"/>
                <w:color w:val="333333"/>
                <w:sz w:val="19"/>
              </w:rPr>
              <w:br/>
              <w:br/>
            </w:r>
          </w:p>
        </w:tc>
      </w:tr>
      <w:tr>
        <w:tc>
          <w:tcPr>
            <w:tcW w:type="dxa" w:w="2304"/>
            <w:shd w:val="clear" w:color="auto" w:fill="F3F6FC"/>
          </w:tcPr>
          <w:p>
            <w:pPr>
              <w:spacing w:after="0"/>
            </w:pPr>
            <w:r/>
            <w:r>
              <w:rPr>
                <w:rFonts w:ascii="Calibri" w:hAnsi="Calibri"/>
                <w:b/>
                <w:color w:val="1E2761"/>
                <w:sz w:val="19"/>
              </w:rPr>
              <w:t>Endocrinologist / PCP (HCP)</w:t>
            </w:r>
          </w:p>
        </w:tc>
        <w:tc>
          <w:tcPr>
            <w:tcW w:type="dxa" w:w="3888"/>
            <w:shd w:val="clear" w:color="auto" w:fill="F3F6FC"/>
          </w:tcPr>
          <w:p>
            <w:pPr>
              <w:spacing w:after="0"/>
            </w:pPr>
            <w:r/>
            <w:r>
              <w:rPr>
                <w:rFonts w:ascii="Calibri" w:hAnsi="Calibri"/>
                <w:color w:val="333333"/>
                <w:sz w:val="19"/>
              </w:rPr>
              <w:br/>
              <w:br/>
            </w:r>
          </w:p>
        </w:tc>
        <w:tc>
          <w:tcPr>
            <w:tcW w:type="dxa" w:w="3744"/>
            <w:shd w:val="clear" w:color="auto" w:fill="F3F6FC"/>
          </w:tcPr>
          <w:p>
            <w:pPr>
              <w:spacing w:after="0"/>
            </w:pPr>
            <w:r/>
            <w:r>
              <w:rPr>
                <w:rFonts w:ascii="Calibri" w:hAnsi="Calibri"/>
                <w:color w:val="333333"/>
                <w:sz w:val="19"/>
              </w:rPr>
              <w:br/>
              <w:br/>
            </w:r>
          </w:p>
        </w:tc>
      </w:tr>
      <w:tr>
        <w:tc>
          <w:tcPr>
            <w:tcW w:type="dxa" w:w="2304"/>
          </w:tcPr>
          <w:p>
            <w:pPr>
              <w:spacing w:after="0"/>
            </w:pPr>
            <w:r/>
            <w:r>
              <w:rPr>
                <w:rFonts w:ascii="Calibri" w:hAnsi="Calibri"/>
                <w:b/>
                <w:color w:val="1E2761"/>
                <w:sz w:val="19"/>
              </w:rPr>
              <w:t>IDN / health system</w:t>
            </w:r>
          </w:p>
        </w:tc>
        <w:tc>
          <w:tcPr>
            <w:tcW w:type="dxa" w:w="3888"/>
          </w:tcPr>
          <w:p>
            <w:pPr>
              <w:spacing w:after="0"/>
            </w:pPr>
            <w:r/>
            <w:r>
              <w:rPr>
                <w:rFonts w:ascii="Calibri" w:hAnsi="Calibri"/>
                <w:color w:val="333333"/>
                <w:sz w:val="19"/>
              </w:rPr>
              <w:br/>
              <w:br/>
            </w:r>
          </w:p>
        </w:tc>
        <w:tc>
          <w:tcPr>
            <w:tcW w:type="dxa" w:w="3744"/>
          </w:tcPr>
          <w:p>
            <w:pPr>
              <w:spacing w:after="0"/>
            </w:pPr>
            <w:r/>
            <w:r>
              <w:rPr>
                <w:rFonts w:ascii="Calibri" w:hAnsi="Calibri"/>
                <w:color w:val="333333"/>
                <w:sz w:val="19"/>
              </w:rPr>
              <w:br/>
              <w:br/>
            </w:r>
          </w:p>
        </w:tc>
      </w:tr>
      <w:tr>
        <w:tc>
          <w:tcPr>
            <w:tcW w:type="dxa" w:w="2304"/>
            <w:shd w:val="clear" w:color="auto" w:fill="F3F6FC"/>
          </w:tcPr>
          <w:p>
            <w:pPr>
              <w:spacing w:after="0"/>
            </w:pPr>
            <w:r/>
            <w:r>
              <w:rPr>
                <w:rFonts w:ascii="Calibri" w:hAnsi="Calibri"/>
                <w:b/>
                <w:color w:val="1E2761"/>
                <w:sz w:val="19"/>
              </w:rPr>
              <w:t>Patient</w:t>
            </w:r>
          </w:p>
        </w:tc>
        <w:tc>
          <w:tcPr>
            <w:tcW w:type="dxa" w:w="3888"/>
            <w:shd w:val="clear" w:color="auto" w:fill="F3F6FC"/>
          </w:tcPr>
          <w:p>
            <w:pPr>
              <w:spacing w:after="0"/>
            </w:pPr>
            <w:r/>
            <w:r>
              <w:rPr>
                <w:rFonts w:ascii="Calibri" w:hAnsi="Calibri"/>
                <w:color w:val="333333"/>
                <w:sz w:val="19"/>
              </w:rPr>
              <w:br/>
              <w:br/>
            </w:r>
          </w:p>
        </w:tc>
        <w:tc>
          <w:tcPr>
            <w:tcW w:type="dxa" w:w="3744"/>
            <w:shd w:val="clear" w:color="auto" w:fill="F3F6FC"/>
          </w:tcPr>
          <w:p>
            <w:pPr>
              <w:spacing w:after="0"/>
            </w:pPr>
            <w:r/>
            <w:r>
              <w:rPr>
                <w:rFonts w:ascii="Calibri" w:hAnsi="Calibri"/>
                <w:color w:val="333333"/>
                <w:sz w:val="19"/>
              </w:rPr>
              <w:br/>
              <w:br/>
            </w:r>
          </w:p>
        </w:tc>
      </w:tr>
      <w:tr>
        <w:tc>
          <w:tcPr>
            <w:tcW w:type="dxa" w:w="2304"/>
          </w:tcPr>
          <w:p>
            <w:pPr>
              <w:spacing w:after="0"/>
            </w:pPr>
            <w:r/>
            <w:r>
              <w:rPr>
                <w:rFonts w:ascii="Calibri" w:hAnsi="Calibri"/>
                <w:b/>
                <w:color w:val="1E2761"/>
                <w:sz w:val="19"/>
              </w:rPr>
              <w:t>Wholesaler</w:t>
            </w:r>
          </w:p>
        </w:tc>
        <w:tc>
          <w:tcPr>
            <w:tcW w:type="dxa" w:w="3888"/>
          </w:tcPr>
          <w:p>
            <w:pPr>
              <w:spacing w:after="0"/>
            </w:pPr>
            <w:r/>
            <w:r>
              <w:rPr>
                <w:rFonts w:ascii="Calibri" w:hAnsi="Calibri"/>
                <w:color w:val="333333"/>
                <w:sz w:val="19"/>
              </w:rPr>
              <w:br/>
              <w:br/>
            </w:r>
          </w:p>
        </w:tc>
        <w:tc>
          <w:tcPr>
            <w:tcW w:type="dxa" w:w="3744"/>
          </w:tcPr>
          <w:p>
            <w:pPr>
              <w:spacing w:after="0"/>
            </w:pPr>
            <w:r/>
            <w:r>
              <w:rPr>
                <w:rFonts w:ascii="Calibri" w:hAnsi="Calibri"/>
                <w:color w:val="333333"/>
                <w:sz w:val="19"/>
              </w:rPr>
              <w:br/>
              <w:br/>
            </w:r>
          </w:p>
        </w:tc>
      </w:tr>
      <w:tr>
        <w:tc>
          <w:tcPr>
            <w:tcW w:type="dxa" w:w="2304"/>
            <w:shd w:val="clear" w:color="auto" w:fill="F3F6FC"/>
          </w:tcPr>
          <w:p>
            <w:pPr>
              <w:spacing w:after="0"/>
            </w:pPr>
            <w:r/>
            <w:r>
              <w:rPr>
                <w:rFonts w:ascii="Calibri" w:hAnsi="Calibri"/>
                <w:b/>
                <w:color w:val="1E2761"/>
                <w:sz w:val="19"/>
              </w:rPr>
              <w:t>Policymaker (CMS / HRSA / state)</w:t>
            </w:r>
          </w:p>
        </w:tc>
        <w:tc>
          <w:tcPr>
            <w:tcW w:type="dxa" w:w="3888"/>
            <w:shd w:val="clear" w:color="auto" w:fill="F3F6FC"/>
          </w:tcPr>
          <w:p>
            <w:pPr>
              <w:spacing w:after="0"/>
            </w:pPr>
            <w:r/>
            <w:r>
              <w:rPr>
                <w:rFonts w:ascii="Calibri" w:hAnsi="Calibri"/>
                <w:color w:val="333333"/>
                <w:sz w:val="19"/>
              </w:rPr>
              <w:br/>
              <w:br/>
            </w:r>
          </w:p>
        </w:tc>
        <w:tc>
          <w:tcPr>
            <w:tcW w:type="dxa" w:w="3744"/>
            <w:shd w:val="clear" w:color="auto" w:fill="F3F6FC"/>
          </w:tcPr>
          <w:p>
            <w:pPr>
              <w:spacing w:after="0"/>
            </w:pPr>
            <w:r/>
            <w:r>
              <w:rPr>
                <w:rFonts w:ascii="Calibri" w:hAnsi="Calibri"/>
                <w:color w:val="333333"/>
                <w:sz w:val="19"/>
              </w:rPr>
              <w:br/>
              <w:br/>
            </w:r>
          </w:p>
        </w:tc>
      </w:tr>
    </w:tbl>
    <w:p>
      <w:pPr>
        <w:spacing w:after="80"/>
      </w:pPr>
    </w:p>
    <w:p>
      <w:pPr>
        <w:spacing w:after="120" w:before="0"/>
      </w:pPr>
      <w:r>
        <w:rPr>
          <w:rFonts w:ascii="Calibri" w:hAnsi="Calibri"/>
          <w:b w:val="0"/>
          <w:i w:val="0"/>
          <w:color w:val="333333"/>
          <w:sz w:val="21"/>
        </w:rPr>
        <w:t>The two most important conflicts: ________________________________ and ________________________________</w:t>
      </w:r>
    </w:p>
    <w:p>
      <w:pPr>
        <w:keepNext/>
        <w:spacing w:after="80" w:before="240"/>
      </w:pPr>
      <w:r>
        <w:rPr>
          <w:rFonts w:ascii="Calibri" w:hAnsi="Calibri"/>
          <w:b/>
          <w:i w:val="0"/>
          <w:color w:val="1E2761"/>
          <w:sz w:val="30"/>
        </w:rPr>
        <w:t>Part B — Gross-to-net worksheet (8 minutes)</w:t>
      </w:r>
    </w:p>
    <w:p>
      <w:pPr>
        <w:spacing w:after="120" w:before="0"/>
      </w:pPr>
      <w:r>
        <w:rPr>
          <w:rFonts w:ascii="Calibri" w:hAnsi="Calibri"/>
          <w:b w:val="0"/>
          <w:i w:val="0"/>
          <w:color w:val="333333"/>
          <w:sz w:val="22"/>
        </w:rPr>
        <w:t>Use the inputs below to build GLUCOREN's gross-to-net bridge for the year. All figures are illustrative.</w:t>
      </w:r>
    </w:p>
    <w:tbl>
      <w:tblPr>
        <w:tblStyle w:val="TableGrid"/>
        <w:tblW w:type="auto" w:w="0"/>
        <w:jc w:val="center"/>
        <w:tblLayout w:type="fixed"/>
        <w:tblLook w:firstColumn="1" w:firstRow="1" w:lastColumn="0" w:lastRow="0" w:noHBand="0" w:noVBand="1" w:val="04A0"/>
      </w:tblPr>
      <w:tblGrid>
        <w:gridCol w:w="4608"/>
        <w:gridCol w:w="5328"/>
      </w:tblGrid>
      <w:tr>
        <w:tc>
          <w:tcPr>
            <w:tcW w:type="dxa" w:w="4608"/>
            <w:shd w:val="clear" w:color="auto" w:fill="1E2761"/>
          </w:tcPr>
          <w:p>
            <w:pPr>
              <w:spacing w:after="0"/>
            </w:pPr>
            <w:r/>
            <w:r>
              <w:rPr>
                <w:rFonts w:ascii="Calibri" w:hAnsi="Calibri"/>
                <w:b/>
                <w:color w:val="FFFFFF"/>
                <w:sz w:val="19"/>
              </w:rPr>
              <w:t>Input</w:t>
            </w:r>
          </w:p>
        </w:tc>
        <w:tc>
          <w:tcPr>
            <w:tcW w:type="dxa" w:w="5328"/>
            <w:shd w:val="clear" w:color="auto" w:fill="1E2761"/>
          </w:tcPr>
          <w:p>
            <w:pPr>
              <w:spacing w:after="0"/>
            </w:pPr>
            <w:r/>
            <w:r>
              <w:rPr>
                <w:rFonts w:ascii="Calibri" w:hAnsi="Calibri"/>
                <w:b/>
                <w:color w:val="FFFFFF"/>
                <w:sz w:val="19"/>
              </w:rPr>
              <w:t>Value</w:t>
            </w:r>
          </w:p>
        </w:tc>
      </w:tr>
      <w:tr>
        <w:tc>
          <w:tcPr>
            <w:tcW w:type="dxa" w:w="4608"/>
          </w:tcPr>
          <w:p>
            <w:pPr>
              <w:spacing w:after="0"/>
            </w:pPr>
            <w:r/>
            <w:r>
              <w:rPr>
                <w:rFonts w:ascii="Calibri" w:hAnsi="Calibri"/>
                <w:b/>
                <w:color w:val="1E2761"/>
                <w:sz w:val="19"/>
              </w:rPr>
              <w:t>WAC per normalized 30-day TRx</w:t>
            </w:r>
          </w:p>
        </w:tc>
        <w:tc>
          <w:tcPr>
            <w:tcW w:type="dxa" w:w="5328"/>
          </w:tcPr>
          <w:p>
            <w:pPr>
              <w:spacing w:after="0"/>
            </w:pPr>
            <w:r/>
            <w:r>
              <w:rPr>
                <w:rFonts w:ascii="Calibri" w:hAnsi="Calibri"/>
                <w:color w:val="333333"/>
                <w:sz w:val="19"/>
              </w:rPr>
              <w:t>$520</w:t>
            </w:r>
          </w:p>
        </w:tc>
      </w:tr>
      <w:tr>
        <w:tc>
          <w:tcPr>
            <w:tcW w:type="dxa" w:w="4608"/>
            <w:shd w:val="clear" w:color="auto" w:fill="F3F6FC"/>
          </w:tcPr>
          <w:p>
            <w:pPr>
              <w:spacing w:after="0"/>
            </w:pPr>
            <w:r/>
            <w:r>
              <w:rPr>
                <w:rFonts w:ascii="Calibri" w:hAnsi="Calibri"/>
                <w:b/>
                <w:color w:val="1E2761"/>
                <w:sz w:val="19"/>
              </w:rPr>
              <w:t>Annual normalized TRx</w:t>
            </w:r>
          </w:p>
        </w:tc>
        <w:tc>
          <w:tcPr>
            <w:tcW w:type="dxa" w:w="5328"/>
            <w:shd w:val="clear" w:color="auto" w:fill="F3F6FC"/>
          </w:tcPr>
          <w:p>
            <w:pPr>
              <w:spacing w:after="0"/>
            </w:pPr>
            <w:r/>
            <w:r>
              <w:rPr>
                <w:rFonts w:ascii="Calibri" w:hAnsi="Calibri"/>
                <w:color w:val="333333"/>
                <w:sz w:val="19"/>
              </w:rPr>
              <w:t>2,400,000</w:t>
            </w:r>
          </w:p>
        </w:tc>
      </w:tr>
      <w:tr>
        <w:tc>
          <w:tcPr>
            <w:tcW w:type="dxa" w:w="4608"/>
          </w:tcPr>
          <w:p>
            <w:pPr>
              <w:spacing w:after="0"/>
            </w:pPr>
            <w:r/>
            <w:r>
              <w:rPr>
                <w:rFonts w:ascii="Calibri" w:hAnsi="Calibri"/>
                <w:b/>
                <w:color w:val="1E2761"/>
                <w:sz w:val="19"/>
              </w:rPr>
              <w:t>Wholesaler distribution fees &amp; prompt-pay discounts</w:t>
            </w:r>
          </w:p>
        </w:tc>
        <w:tc>
          <w:tcPr>
            <w:tcW w:type="dxa" w:w="5328"/>
          </w:tcPr>
          <w:p>
            <w:pPr>
              <w:spacing w:after="0"/>
            </w:pPr>
            <w:r/>
            <w:r>
              <w:rPr>
                <w:rFonts w:ascii="Calibri" w:hAnsi="Calibri"/>
                <w:color w:val="333333"/>
                <w:sz w:val="19"/>
              </w:rPr>
              <w:t>3% of gross</w:t>
            </w:r>
          </w:p>
        </w:tc>
      </w:tr>
      <w:tr>
        <w:tc>
          <w:tcPr>
            <w:tcW w:type="dxa" w:w="4608"/>
            <w:shd w:val="clear" w:color="auto" w:fill="F3F6FC"/>
          </w:tcPr>
          <w:p>
            <w:pPr>
              <w:spacing w:after="0"/>
            </w:pPr>
            <w:r/>
            <w:r>
              <w:rPr>
                <w:rFonts w:ascii="Calibri" w:hAnsi="Calibri"/>
                <w:b/>
                <w:color w:val="1E2761"/>
                <w:sz w:val="19"/>
              </w:rPr>
              <w:t>Channel mix (share of TRx) and rebate/discount rate on gross by channel</w:t>
            </w:r>
          </w:p>
        </w:tc>
        <w:tc>
          <w:tcPr>
            <w:tcW w:type="dxa" w:w="5328"/>
            <w:shd w:val="clear" w:color="auto" w:fill="F3F6FC"/>
          </w:tcPr>
          <w:p>
            <w:pPr>
              <w:spacing w:after="0"/>
            </w:pPr>
            <w:r/>
            <w:r>
              <w:rPr>
                <w:rFonts w:ascii="Calibri" w:hAnsi="Calibri"/>
                <w:color w:val="333333"/>
                <w:sz w:val="19"/>
              </w:rPr>
              <w:t>Commercial (PBM-managed): 55% of TRx, 40% rebate; Medicare Part D: 25% of TRx, 30% rebate; Medicaid: 10% of TRx, 60% rebate; 340B / other contract: 6% of TRx, 70% rebate; Cash / uninsured: 4% of TRx, 0% rebate</w:t>
            </w:r>
          </w:p>
        </w:tc>
      </w:tr>
      <w:tr>
        <w:tc>
          <w:tcPr>
            <w:tcW w:type="dxa" w:w="4608"/>
          </w:tcPr>
          <w:p>
            <w:pPr>
              <w:spacing w:after="0"/>
            </w:pPr>
            <w:r/>
            <w:r>
              <w:rPr>
                <w:rFonts w:ascii="Calibri" w:hAnsi="Calibri"/>
                <w:b/>
                <w:color w:val="1E2761"/>
                <w:sz w:val="19"/>
              </w:rPr>
              <w:t>Copay assistance (commercial TRx only)</w:t>
            </w:r>
          </w:p>
        </w:tc>
        <w:tc>
          <w:tcPr>
            <w:tcW w:type="dxa" w:w="5328"/>
          </w:tcPr>
          <w:p>
            <w:pPr>
              <w:spacing w:after="0"/>
            </w:pPr>
            <w:r/>
            <w:r>
              <w:rPr>
                <w:rFonts w:ascii="Calibri" w:hAnsi="Calibri"/>
                <w:color w:val="333333"/>
                <w:sz w:val="19"/>
              </w:rPr>
              <w:t>$35 per commercial TRx</w:t>
            </w:r>
          </w:p>
        </w:tc>
      </w:tr>
      <w:tr>
        <w:tc>
          <w:tcPr>
            <w:tcW w:type="dxa" w:w="4608"/>
            <w:shd w:val="clear" w:color="auto" w:fill="F3F6FC"/>
          </w:tcPr>
          <w:p>
            <w:pPr>
              <w:spacing w:after="0"/>
            </w:pPr>
            <w:r/>
            <w:r>
              <w:rPr>
                <w:rFonts w:ascii="Calibri" w:hAnsi="Calibri"/>
                <w:b/>
                <w:color w:val="1E2761"/>
                <w:sz w:val="19"/>
              </w:rPr>
              <w:t>Returns &amp; other</w:t>
            </w:r>
          </w:p>
        </w:tc>
        <w:tc>
          <w:tcPr>
            <w:tcW w:type="dxa" w:w="5328"/>
            <w:shd w:val="clear" w:color="auto" w:fill="F3F6FC"/>
          </w:tcPr>
          <w:p>
            <w:pPr>
              <w:spacing w:after="0"/>
            </w:pPr>
            <w:r/>
            <w:r>
              <w:rPr>
                <w:rFonts w:ascii="Calibri" w:hAnsi="Calibri"/>
                <w:color w:val="333333"/>
                <w:sz w:val="19"/>
              </w:rPr>
              <w:t>1% of gross</w:t>
            </w:r>
          </w:p>
        </w:tc>
      </w:tr>
      <w:tr>
        <w:tc>
          <w:tcPr>
            <w:tcW w:type="dxa" w:w="4608"/>
          </w:tcPr>
          <w:p>
            <w:pPr>
              <w:spacing w:after="0"/>
            </w:pPr>
            <w:r/>
            <w:r>
              <w:rPr>
                <w:rFonts w:ascii="Calibri" w:hAnsi="Calibri"/>
                <w:b/>
                <w:color w:val="1E2761"/>
                <w:sz w:val="19"/>
              </w:rPr>
              <w:t>COGS</w:t>
            </w:r>
          </w:p>
        </w:tc>
        <w:tc>
          <w:tcPr>
            <w:tcW w:type="dxa" w:w="5328"/>
          </w:tcPr>
          <w:p>
            <w:pPr>
              <w:spacing w:after="0"/>
            </w:pPr>
            <w:r/>
            <w:r>
              <w:rPr>
                <w:rFonts w:ascii="Calibri" w:hAnsi="Calibri"/>
                <w:color w:val="333333"/>
                <w:sz w:val="19"/>
              </w:rPr>
              <w:t>$22 per TRx</w:t>
            </w:r>
          </w:p>
        </w:tc>
      </w:tr>
    </w:tbl>
    <w:p>
      <w:pPr>
        <w:spacing w:after="80"/>
      </w:pPr>
    </w:p>
    <w:p>
      <w:pPr>
        <w:spacing w:after="120" w:before="0"/>
      </w:pPr>
      <w:r>
        <w:rPr>
          <w:rFonts w:ascii="Calibri" w:hAnsi="Calibri"/>
          <w:b/>
          <w:i w:val="0"/>
          <w:color w:val="333333"/>
          <w:sz w:val="22"/>
        </w:rPr>
        <w:t xml:space="preserve">Compute: </w:t>
      </w:r>
      <w:r>
        <w:rPr>
          <w:rFonts w:ascii="Calibri" w:hAnsi="Calibri"/>
          <w:b w:val="0"/>
          <w:i w:val="0"/>
          <w:color w:val="333333"/>
          <w:sz w:val="22"/>
        </w:rPr>
        <w:t>(1) gross sales; (2) each deduction in $; (3) net sales; (4) GTN %; (5) net revenue per TRx and contribution per TRx after COGS.</w:t>
      </w:r>
    </w:p>
    <w:p>
      <w:pPr>
        <w:spacing w:after="120" w:before="0"/>
      </w:pPr>
      <w:r>
        <w:rPr>
          <w:rFonts w:ascii="Calibri" w:hAnsi="Calibri"/>
          <w:b/>
          <w:i w:val="0"/>
          <w:color w:val="333333"/>
          <w:sz w:val="22"/>
        </w:rPr>
        <w:t xml:space="preserve">Then the scenario: </w:t>
      </w:r>
      <w:r>
        <w:rPr>
          <w:rFonts w:ascii="Calibri" w:hAnsi="Calibri"/>
          <w:b w:val="0"/>
          <w:i w:val="0"/>
          <w:color w:val="333333"/>
          <w:sz w:val="22"/>
        </w:rPr>
        <w:t>the PBM asks for 5 more points of rebate on commercial volume (40% → 45%) to keep Tier 2. Marketing estimates that keeping Tier 2 preserves volume such that total TRx is 12% higher than the alternative. Is it worth it? Show the contribution under both cases.</w:t>
      </w:r>
    </w:p>
    <w:tbl>
      <w:tblPr>
        <w:tblStyle w:val="TableGrid"/>
        <w:tblW w:type="auto" w:w="0"/>
        <w:jc w:val="center"/>
        <w:tblLayout w:type="fixed"/>
        <w:tblLook w:firstColumn="1" w:firstRow="1" w:lastColumn="0" w:lastRow="0" w:noHBand="0" w:noVBand="1" w:val="04A0"/>
      </w:tblPr>
      <w:tblGrid>
        <w:gridCol w:w="3744"/>
        <w:gridCol w:w="3744"/>
        <w:gridCol w:w="2448"/>
      </w:tblGrid>
      <w:tr>
        <w:tc>
          <w:tcPr>
            <w:tcW w:type="dxa" w:w="3744"/>
            <w:shd w:val="clear" w:color="auto" w:fill="1E2761"/>
          </w:tcPr>
          <w:p>
            <w:pPr>
              <w:spacing w:after="0"/>
            </w:pPr>
            <w:r/>
            <w:r>
              <w:rPr>
                <w:rFonts w:ascii="Calibri" w:hAnsi="Calibri"/>
                <w:b/>
                <w:color w:val="FFFFFF"/>
                <w:sz w:val="19"/>
              </w:rPr>
              <w:t>Line</w:t>
            </w:r>
          </w:p>
        </w:tc>
        <w:tc>
          <w:tcPr>
            <w:tcW w:type="dxa" w:w="3744"/>
            <w:shd w:val="clear" w:color="auto" w:fill="1E2761"/>
          </w:tcPr>
          <w:p>
            <w:pPr>
              <w:spacing w:after="0"/>
            </w:pPr>
            <w:r/>
            <w:r>
              <w:rPr>
                <w:rFonts w:ascii="Calibri" w:hAnsi="Calibri"/>
                <w:b/>
                <w:color w:val="FFFFFF"/>
                <w:sz w:val="19"/>
              </w:rPr>
              <w:t>Your formula</w:t>
            </w:r>
          </w:p>
        </w:tc>
        <w:tc>
          <w:tcPr>
            <w:tcW w:type="dxa" w:w="2448"/>
            <w:shd w:val="clear" w:color="auto" w:fill="1E2761"/>
          </w:tcPr>
          <w:p>
            <w:pPr>
              <w:spacing w:after="0"/>
            </w:pPr>
            <w:r/>
            <w:r>
              <w:rPr>
                <w:rFonts w:ascii="Calibri" w:hAnsi="Calibri"/>
                <w:b/>
                <w:color w:val="FFFFFF"/>
                <w:sz w:val="19"/>
              </w:rPr>
              <w:t>$</w:t>
            </w:r>
          </w:p>
        </w:tc>
      </w:tr>
      <w:tr>
        <w:tc>
          <w:tcPr>
            <w:tcW w:type="dxa" w:w="3744"/>
          </w:tcPr>
          <w:p>
            <w:pPr>
              <w:spacing w:after="0"/>
            </w:pPr>
            <w:r/>
            <w:r>
              <w:rPr>
                <w:rFonts w:ascii="Calibri" w:hAnsi="Calibri"/>
                <w:b/>
                <w:color w:val="1E2761"/>
                <w:sz w:val="19"/>
              </w:rPr>
              <w:t>Gross sales</w:t>
            </w:r>
          </w:p>
        </w:tc>
        <w:tc>
          <w:tcPr>
            <w:tcW w:type="dxa" w:w="3744"/>
          </w:tcPr>
          <w:p>
            <w:pPr>
              <w:spacing w:after="0"/>
            </w:pPr>
            <w:r/>
            <w:r>
              <w:rPr>
                <w:rFonts w:ascii="Calibri" w:hAnsi="Calibri"/>
                <w:color w:val="333333"/>
                <w:sz w:val="19"/>
              </w:rPr>
              <w:br/>
            </w:r>
          </w:p>
        </w:tc>
        <w:tc>
          <w:tcPr>
            <w:tcW w:type="dxa" w:w="2448"/>
          </w:tcPr>
          <w:p>
            <w:pPr>
              <w:spacing w:after="0"/>
            </w:pPr>
            <w:r/>
            <w:r>
              <w:rPr>
                <w:rFonts w:ascii="Calibri" w:hAnsi="Calibri"/>
                <w:color w:val="333333"/>
                <w:sz w:val="19"/>
              </w:rPr>
              <w:br/>
            </w:r>
          </w:p>
        </w:tc>
      </w:tr>
      <w:tr>
        <w:tc>
          <w:tcPr>
            <w:tcW w:type="dxa" w:w="3744"/>
            <w:shd w:val="clear" w:color="auto" w:fill="F3F6FC"/>
          </w:tcPr>
          <w:p>
            <w:pPr>
              <w:spacing w:after="0"/>
            </w:pPr>
            <w:r/>
            <w:r>
              <w:rPr>
                <w:rFonts w:ascii="Calibri" w:hAnsi="Calibri"/>
                <w:b/>
                <w:color w:val="1E2761"/>
                <w:sz w:val="19"/>
              </w:rPr>
              <w:t>Wholesaler fees</w:t>
            </w:r>
          </w:p>
        </w:tc>
        <w:tc>
          <w:tcPr>
            <w:tcW w:type="dxa" w:w="3744"/>
            <w:shd w:val="clear" w:color="auto" w:fill="F3F6FC"/>
          </w:tcPr>
          <w:p>
            <w:pPr>
              <w:spacing w:after="0"/>
            </w:pPr>
            <w:r/>
            <w:r>
              <w:rPr>
                <w:rFonts w:ascii="Calibri" w:hAnsi="Calibri"/>
                <w:color w:val="333333"/>
                <w:sz w:val="19"/>
              </w:rPr>
              <w:br/>
            </w:r>
          </w:p>
        </w:tc>
        <w:tc>
          <w:tcPr>
            <w:tcW w:type="dxa" w:w="2448"/>
            <w:shd w:val="clear" w:color="auto" w:fill="F3F6FC"/>
          </w:tcPr>
          <w:p>
            <w:pPr>
              <w:spacing w:after="0"/>
            </w:pPr>
            <w:r/>
            <w:r>
              <w:rPr>
                <w:rFonts w:ascii="Calibri" w:hAnsi="Calibri"/>
                <w:color w:val="333333"/>
                <w:sz w:val="19"/>
              </w:rPr>
              <w:br/>
            </w:r>
          </w:p>
        </w:tc>
      </w:tr>
      <w:tr>
        <w:tc>
          <w:tcPr>
            <w:tcW w:type="dxa" w:w="3744"/>
          </w:tcPr>
          <w:p>
            <w:pPr>
              <w:spacing w:after="0"/>
            </w:pPr>
            <w:r/>
            <w:r>
              <w:rPr>
                <w:rFonts w:ascii="Calibri" w:hAnsi="Calibri"/>
                <w:b/>
                <w:color w:val="1E2761"/>
                <w:sz w:val="19"/>
              </w:rPr>
              <w:t>Rebates — commercial</w:t>
            </w:r>
          </w:p>
        </w:tc>
        <w:tc>
          <w:tcPr>
            <w:tcW w:type="dxa" w:w="3744"/>
          </w:tcPr>
          <w:p>
            <w:pPr>
              <w:spacing w:after="0"/>
            </w:pPr>
            <w:r/>
            <w:r>
              <w:rPr>
                <w:rFonts w:ascii="Calibri" w:hAnsi="Calibri"/>
                <w:color w:val="333333"/>
                <w:sz w:val="19"/>
              </w:rPr>
              <w:br/>
            </w:r>
          </w:p>
        </w:tc>
        <w:tc>
          <w:tcPr>
            <w:tcW w:type="dxa" w:w="2448"/>
          </w:tcPr>
          <w:p>
            <w:pPr>
              <w:spacing w:after="0"/>
            </w:pPr>
            <w:r/>
            <w:r>
              <w:rPr>
                <w:rFonts w:ascii="Calibri" w:hAnsi="Calibri"/>
                <w:color w:val="333333"/>
                <w:sz w:val="19"/>
              </w:rPr>
              <w:br/>
            </w:r>
          </w:p>
        </w:tc>
      </w:tr>
      <w:tr>
        <w:tc>
          <w:tcPr>
            <w:tcW w:type="dxa" w:w="3744"/>
            <w:shd w:val="clear" w:color="auto" w:fill="F3F6FC"/>
          </w:tcPr>
          <w:p>
            <w:pPr>
              <w:spacing w:after="0"/>
            </w:pPr>
            <w:r/>
            <w:r>
              <w:rPr>
                <w:rFonts w:ascii="Calibri" w:hAnsi="Calibri"/>
                <w:b/>
                <w:color w:val="1E2761"/>
                <w:sz w:val="19"/>
              </w:rPr>
              <w:t>Rebates — Medicare Part D</w:t>
            </w:r>
          </w:p>
        </w:tc>
        <w:tc>
          <w:tcPr>
            <w:tcW w:type="dxa" w:w="3744"/>
            <w:shd w:val="clear" w:color="auto" w:fill="F3F6FC"/>
          </w:tcPr>
          <w:p>
            <w:pPr>
              <w:spacing w:after="0"/>
            </w:pPr>
            <w:r/>
            <w:r>
              <w:rPr>
                <w:rFonts w:ascii="Calibri" w:hAnsi="Calibri"/>
                <w:color w:val="333333"/>
                <w:sz w:val="19"/>
              </w:rPr>
              <w:br/>
            </w:r>
          </w:p>
        </w:tc>
        <w:tc>
          <w:tcPr>
            <w:tcW w:type="dxa" w:w="2448"/>
            <w:shd w:val="clear" w:color="auto" w:fill="F3F6FC"/>
          </w:tcPr>
          <w:p>
            <w:pPr>
              <w:spacing w:after="0"/>
            </w:pPr>
            <w:r/>
            <w:r>
              <w:rPr>
                <w:rFonts w:ascii="Calibri" w:hAnsi="Calibri"/>
                <w:color w:val="333333"/>
                <w:sz w:val="19"/>
              </w:rPr>
              <w:br/>
            </w:r>
          </w:p>
        </w:tc>
      </w:tr>
      <w:tr>
        <w:tc>
          <w:tcPr>
            <w:tcW w:type="dxa" w:w="3744"/>
          </w:tcPr>
          <w:p>
            <w:pPr>
              <w:spacing w:after="0"/>
            </w:pPr>
            <w:r/>
            <w:r>
              <w:rPr>
                <w:rFonts w:ascii="Calibri" w:hAnsi="Calibri"/>
                <w:b/>
                <w:color w:val="1E2761"/>
                <w:sz w:val="19"/>
              </w:rPr>
              <w:t>Rebates — Medicaid</w:t>
            </w:r>
          </w:p>
        </w:tc>
        <w:tc>
          <w:tcPr>
            <w:tcW w:type="dxa" w:w="3744"/>
          </w:tcPr>
          <w:p>
            <w:pPr>
              <w:spacing w:after="0"/>
            </w:pPr>
            <w:r/>
            <w:r>
              <w:rPr>
                <w:rFonts w:ascii="Calibri" w:hAnsi="Calibri"/>
                <w:color w:val="333333"/>
                <w:sz w:val="19"/>
              </w:rPr>
              <w:br/>
            </w:r>
          </w:p>
        </w:tc>
        <w:tc>
          <w:tcPr>
            <w:tcW w:type="dxa" w:w="2448"/>
          </w:tcPr>
          <w:p>
            <w:pPr>
              <w:spacing w:after="0"/>
            </w:pPr>
            <w:r/>
            <w:r>
              <w:rPr>
                <w:rFonts w:ascii="Calibri" w:hAnsi="Calibri"/>
                <w:color w:val="333333"/>
                <w:sz w:val="19"/>
              </w:rPr>
              <w:br/>
            </w:r>
          </w:p>
        </w:tc>
      </w:tr>
      <w:tr>
        <w:tc>
          <w:tcPr>
            <w:tcW w:type="dxa" w:w="3744"/>
            <w:shd w:val="clear" w:color="auto" w:fill="F3F6FC"/>
          </w:tcPr>
          <w:p>
            <w:pPr>
              <w:spacing w:after="0"/>
            </w:pPr>
            <w:r/>
            <w:r>
              <w:rPr>
                <w:rFonts w:ascii="Calibri" w:hAnsi="Calibri"/>
                <w:b/>
                <w:color w:val="1E2761"/>
                <w:sz w:val="19"/>
              </w:rPr>
              <w:t>Discounts — 340B / contract</w:t>
            </w:r>
          </w:p>
        </w:tc>
        <w:tc>
          <w:tcPr>
            <w:tcW w:type="dxa" w:w="3744"/>
            <w:shd w:val="clear" w:color="auto" w:fill="F3F6FC"/>
          </w:tcPr>
          <w:p>
            <w:pPr>
              <w:spacing w:after="0"/>
            </w:pPr>
            <w:r/>
            <w:r>
              <w:rPr>
                <w:rFonts w:ascii="Calibri" w:hAnsi="Calibri"/>
                <w:color w:val="333333"/>
                <w:sz w:val="19"/>
              </w:rPr>
              <w:br/>
            </w:r>
          </w:p>
        </w:tc>
        <w:tc>
          <w:tcPr>
            <w:tcW w:type="dxa" w:w="2448"/>
            <w:shd w:val="clear" w:color="auto" w:fill="F3F6FC"/>
          </w:tcPr>
          <w:p>
            <w:pPr>
              <w:spacing w:after="0"/>
            </w:pPr>
            <w:r/>
            <w:r>
              <w:rPr>
                <w:rFonts w:ascii="Calibri" w:hAnsi="Calibri"/>
                <w:color w:val="333333"/>
                <w:sz w:val="19"/>
              </w:rPr>
              <w:br/>
            </w:r>
          </w:p>
        </w:tc>
      </w:tr>
      <w:tr>
        <w:tc>
          <w:tcPr>
            <w:tcW w:type="dxa" w:w="3744"/>
          </w:tcPr>
          <w:p>
            <w:pPr>
              <w:spacing w:after="0"/>
            </w:pPr>
            <w:r/>
            <w:r>
              <w:rPr>
                <w:rFonts w:ascii="Calibri" w:hAnsi="Calibri"/>
                <w:b/>
                <w:color w:val="1E2761"/>
                <w:sz w:val="19"/>
              </w:rPr>
              <w:t>Copay assistance</w:t>
            </w:r>
          </w:p>
        </w:tc>
        <w:tc>
          <w:tcPr>
            <w:tcW w:type="dxa" w:w="3744"/>
          </w:tcPr>
          <w:p>
            <w:pPr>
              <w:spacing w:after="0"/>
            </w:pPr>
            <w:r/>
            <w:r>
              <w:rPr>
                <w:rFonts w:ascii="Calibri" w:hAnsi="Calibri"/>
                <w:color w:val="333333"/>
                <w:sz w:val="19"/>
              </w:rPr>
              <w:br/>
            </w:r>
          </w:p>
        </w:tc>
        <w:tc>
          <w:tcPr>
            <w:tcW w:type="dxa" w:w="2448"/>
          </w:tcPr>
          <w:p>
            <w:pPr>
              <w:spacing w:after="0"/>
            </w:pPr>
            <w:r/>
            <w:r>
              <w:rPr>
                <w:rFonts w:ascii="Calibri" w:hAnsi="Calibri"/>
                <w:color w:val="333333"/>
                <w:sz w:val="19"/>
              </w:rPr>
              <w:br/>
            </w:r>
          </w:p>
        </w:tc>
      </w:tr>
      <w:tr>
        <w:tc>
          <w:tcPr>
            <w:tcW w:type="dxa" w:w="3744"/>
            <w:shd w:val="clear" w:color="auto" w:fill="F3F6FC"/>
          </w:tcPr>
          <w:p>
            <w:pPr>
              <w:spacing w:after="0"/>
            </w:pPr>
            <w:r/>
            <w:r>
              <w:rPr>
                <w:rFonts w:ascii="Calibri" w:hAnsi="Calibri"/>
                <w:b/>
                <w:color w:val="1E2761"/>
                <w:sz w:val="19"/>
              </w:rPr>
              <w:t>Returns &amp; other</w:t>
            </w:r>
          </w:p>
        </w:tc>
        <w:tc>
          <w:tcPr>
            <w:tcW w:type="dxa" w:w="3744"/>
            <w:shd w:val="clear" w:color="auto" w:fill="F3F6FC"/>
          </w:tcPr>
          <w:p>
            <w:pPr>
              <w:spacing w:after="0"/>
            </w:pPr>
            <w:r/>
            <w:r>
              <w:rPr>
                <w:rFonts w:ascii="Calibri" w:hAnsi="Calibri"/>
                <w:color w:val="333333"/>
                <w:sz w:val="19"/>
              </w:rPr>
              <w:br/>
            </w:r>
          </w:p>
        </w:tc>
        <w:tc>
          <w:tcPr>
            <w:tcW w:type="dxa" w:w="2448"/>
            <w:shd w:val="clear" w:color="auto" w:fill="F3F6FC"/>
          </w:tcPr>
          <w:p>
            <w:pPr>
              <w:spacing w:after="0"/>
            </w:pPr>
            <w:r/>
            <w:r>
              <w:rPr>
                <w:rFonts w:ascii="Calibri" w:hAnsi="Calibri"/>
                <w:color w:val="333333"/>
                <w:sz w:val="19"/>
              </w:rPr>
              <w:br/>
            </w:r>
          </w:p>
        </w:tc>
      </w:tr>
      <w:tr>
        <w:tc>
          <w:tcPr>
            <w:tcW w:type="dxa" w:w="3744"/>
          </w:tcPr>
          <w:p>
            <w:pPr>
              <w:spacing w:after="0"/>
            </w:pPr>
            <w:r/>
            <w:r>
              <w:rPr>
                <w:rFonts w:ascii="Calibri" w:hAnsi="Calibri"/>
                <w:b/>
                <w:color w:val="1E2761"/>
                <w:sz w:val="19"/>
              </w:rPr>
              <w:t>Net sales</w:t>
            </w:r>
          </w:p>
        </w:tc>
        <w:tc>
          <w:tcPr>
            <w:tcW w:type="dxa" w:w="3744"/>
          </w:tcPr>
          <w:p>
            <w:pPr>
              <w:spacing w:after="0"/>
            </w:pPr>
            <w:r/>
            <w:r>
              <w:rPr>
                <w:rFonts w:ascii="Calibri" w:hAnsi="Calibri"/>
                <w:color w:val="333333"/>
                <w:sz w:val="19"/>
              </w:rPr>
              <w:br/>
            </w:r>
          </w:p>
        </w:tc>
        <w:tc>
          <w:tcPr>
            <w:tcW w:type="dxa" w:w="2448"/>
          </w:tcPr>
          <w:p>
            <w:pPr>
              <w:spacing w:after="0"/>
            </w:pPr>
            <w:r/>
            <w:r>
              <w:rPr>
                <w:rFonts w:ascii="Calibri" w:hAnsi="Calibri"/>
                <w:color w:val="333333"/>
                <w:sz w:val="19"/>
              </w:rPr>
              <w:br/>
            </w:r>
          </w:p>
        </w:tc>
      </w:tr>
      <w:tr>
        <w:tc>
          <w:tcPr>
            <w:tcW w:type="dxa" w:w="3744"/>
            <w:shd w:val="clear" w:color="auto" w:fill="F3F6FC"/>
          </w:tcPr>
          <w:p>
            <w:pPr>
              <w:spacing w:after="0"/>
            </w:pPr>
            <w:r/>
            <w:r>
              <w:rPr>
                <w:rFonts w:ascii="Calibri" w:hAnsi="Calibri"/>
                <w:b/>
                <w:color w:val="1E2761"/>
                <w:sz w:val="19"/>
              </w:rPr>
              <w:t>GTN %</w:t>
            </w:r>
          </w:p>
        </w:tc>
        <w:tc>
          <w:tcPr>
            <w:tcW w:type="dxa" w:w="3744"/>
            <w:shd w:val="clear" w:color="auto" w:fill="F3F6FC"/>
          </w:tcPr>
          <w:p>
            <w:pPr>
              <w:spacing w:after="0"/>
            </w:pPr>
            <w:r/>
            <w:r>
              <w:rPr>
                <w:rFonts w:ascii="Calibri" w:hAnsi="Calibri"/>
                <w:color w:val="333333"/>
                <w:sz w:val="19"/>
              </w:rPr>
              <w:br/>
            </w:r>
          </w:p>
        </w:tc>
        <w:tc>
          <w:tcPr>
            <w:tcW w:type="dxa" w:w="2448"/>
            <w:shd w:val="clear" w:color="auto" w:fill="F3F6FC"/>
          </w:tcPr>
          <w:p>
            <w:pPr>
              <w:spacing w:after="0"/>
            </w:pPr>
            <w:r/>
            <w:r>
              <w:rPr>
                <w:rFonts w:ascii="Calibri" w:hAnsi="Calibri"/>
                <w:color w:val="333333"/>
                <w:sz w:val="19"/>
              </w:rPr>
              <w:br/>
            </w:r>
          </w:p>
        </w:tc>
      </w:tr>
      <w:tr>
        <w:tc>
          <w:tcPr>
            <w:tcW w:type="dxa" w:w="3744"/>
          </w:tcPr>
          <w:p>
            <w:pPr>
              <w:spacing w:after="0"/>
            </w:pPr>
            <w:r/>
            <w:r>
              <w:rPr>
                <w:rFonts w:ascii="Calibri" w:hAnsi="Calibri"/>
                <w:b/>
                <w:color w:val="1E2761"/>
                <w:sz w:val="19"/>
              </w:rPr>
              <w:t>Net revenue per TRx</w:t>
            </w:r>
          </w:p>
        </w:tc>
        <w:tc>
          <w:tcPr>
            <w:tcW w:type="dxa" w:w="3744"/>
          </w:tcPr>
          <w:p>
            <w:pPr>
              <w:spacing w:after="0"/>
            </w:pPr>
            <w:r/>
            <w:r>
              <w:rPr>
                <w:rFonts w:ascii="Calibri" w:hAnsi="Calibri"/>
                <w:color w:val="333333"/>
                <w:sz w:val="19"/>
              </w:rPr>
              <w:br/>
            </w:r>
          </w:p>
        </w:tc>
        <w:tc>
          <w:tcPr>
            <w:tcW w:type="dxa" w:w="2448"/>
          </w:tcPr>
          <w:p>
            <w:pPr>
              <w:spacing w:after="0"/>
            </w:pPr>
            <w:r/>
            <w:r>
              <w:rPr>
                <w:rFonts w:ascii="Calibri" w:hAnsi="Calibri"/>
                <w:color w:val="333333"/>
                <w:sz w:val="19"/>
              </w:rPr>
              <w:br/>
            </w:r>
          </w:p>
        </w:tc>
      </w:tr>
      <w:tr>
        <w:tc>
          <w:tcPr>
            <w:tcW w:type="dxa" w:w="3744"/>
            <w:shd w:val="clear" w:color="auto" w:fill="F3F6FC"/>
          </w:tcPr>
          <w:p>
            <w:pPr>
              <w:spacing w:after="0"/>
            </w:pPr>
            <w:r/>
            <w:r>
              <w:rPr>
                <w:rFonts w:ascii="Calibri" w:hAnsi="Calibri"/>
                <w:b/>
                <w:color w:val="1E2761"/>
                <w:sz w:val="19"/>
              </w:rPr>
              <w:t>Contribution per TRx</w:t>
            </w:r>
          </w:p>
        </w:tc>
        <w:tc>
          <w:tcPr>
            <w:tcW w:type="dxa" w:w="3744"/>
            <w:shd w:val="clear" w:color="auto" w:fill="F3F6FC"/>
          </w:tcPr>
          <w:p>
            <w:pPr>
              <w:spacing w:after="0"/>
            </w:pPr>
            <w:r/>
            <w:r>
              <w:rPr>
                <w:rFonts w:ascii="Calibri" w:hAnsi="Calibri"/>
                <w:color w:val="333333"/>
                <w:sz w:val="19"/>
              </w:rPr>
              <w:br/>
            </w:r>
          </w:p>
        </w:tc>
        <w:tc>
          <w:tcPr>
            <w:tcW w:type="dxa" w:w="2448"/>
            <w:shd w:val="clear" w:color="auto" w:fill="F3F6FC"/>
          </w:tcPr>
          <w:p>
            <w:pPr>
              <w:spacing w:after="0"/>
            </w:pPr>
            <w:r/>
            <w:r>
              <w:rPr>
                <w:rFonts w:ascii="Calibri" w:hAnsi="Calibri"/>
                <w:color w:val="333333"/>
                <w:sz w:val="19"/>
              </w:rPr>
              <w:br/>
            </w:r>
          </w:p>
        </w:tc>
      </w:tr>
    </w:tbl>
    <w:p>
      <w:pPr>
        <w:spacing w:after="80"/>
      </w:pPr>
    </w:p>
    <w:p>
      <w:pPr>
        <w:spacing w:after="120" w:before="0"/>
      </w:pPr>
      <w:r>
        <w:rPr>
          <w:rFonts w:ascii="Calibri" w:hAnsi="Calibri"/>
          <w:b w:val="0"/>
          <w:i w:val="0"/>
          <w:color w:val="333333"/>
          <w:sz w:val="21"/>
        </w:rPr>
        <w:t>Scenario answer (base vs. 45% rebate with +12% TRx): ______________________________________________</w:t>
      </w:r>
    </w:p>
    <w:p>
      <w:pPr>
        <w:keepNext/>
        <w:spacing w:after="80" w:before="240"/>
      </w:pPr>
      <w:r>
        <w:rPr>
          <w:rFonts w:ascii="Calibri" w:hAnsi="Calibri"/>
          <w:b/>
          <w:i w:val="0"/>
          <w:color w:val="1E2761"/>
          <w:sz w:val="30"/>
        </w:rPr>
        <w:t>Part C — Follow one prescription (7 minutes)</w:t>
      </w:r>
    </w:p>
    <w:p>
      <w:pPr>
        <w:spacing w:after="120" w:before="0"/>
      </w:pPr>
      <w:r>
        <w:rPr>
          <w:rFonts w:ascii="Calibri" w:hAnsi="Calibri"/>
          <w:b w:val="0"/>
          <w:i w:val="0"/>
          <w:color w:val="333333"/>
          <w:sz w:val="22"/>
        </w:rPr>
        <w:t>A 58-year-old patient with type 2 diabetes and a high-deductible commercial plan sees an endocrinologist in March and receives a GLUCOREN prescription. Trace the six steps from tonight's slides. For each: which code or identifier is created, which dataset captures it, and what could stop the prescription from becoming revenue.</w:t>
      </w:r>
    </w:p>
    <w:tbl>
      <w:tblPr>
        <w:tblStyle w:val="TableGrid"/>
        <w:tblW w:type="auto" w:w="0"/>
        <w:jc w:val="center"/>
        <w:tblLayout w:type="fixed"/>
        <w:tblLook w:firstColumn="1" w:firstRow="1" w:lastColumn="0" w:lastRow="0" w:noHBand="0" w:noVBand="1" w:val="04A0"/>
      </w:tblPr>
      <w:tblGrid>
        <w:gridCol w:w="1728"/>
        <w:gridCol w:w="3168"/>
        <w:gridCol w:w="2160"/>
        <w:gridCol w:w="2880"/>
      </w:tblGrid>
      <w:tr>
        <w:tc>
          <w:tcPr>
            <w:tcW w:type="dxa" w:w="1728"/>
            <w:shd w:val="clear" w:color="auto" w:fill="1E2761"/>
          </w:tcPr>
          <w:p>
            <w:pPr>
              <w:spacing w:after="0"/>
            </w:pPr>
            <w:r/>
            <w:r>
              <w:rPr>
                <w:rFonts w:ascii="Calibri" w:hAnsi="Calibri"/>
                <w:b/>
                <w:color w:val="FFFFFF"/>
                <w:sz w:val="19"/>
              </w:rPr>
              <w:t>Step</w:t>
            </w:r>
          </w:p>
        </w:tc>
        <w:tc>
          <w:tcPr>
            <w:tcW w:type="dxa" w:w="3168"/>
            <w:shd w:val="clear" w:color="auto" w:fill="1E2761"/>
          </w:tcPr>
          <w:p>
            <w:pPr>
              <w:spacing w:after="0"/>
            </w:pPr>
            <w:r/>
            <w:r>
              <w:rPr>
                <w:rFonts w:ascii="Calibri" w:hAnsi="Calibri"/>
                <w:b/>
                <w:color w:val="FFFFFF"/>
                <w:sz w:val="19"/>
              </w:rPr>
              <w:t>Codes / identifiers created</w:t>
            </w:r>
          </w:p>
        </w:tc>
        <w:tc>
          <w:tcPr>
            <w:tcW w:type="dxa" w:w="2160"/>
            <w:shd w:val="clear" w:color="auto" w:fill="1E2761"/>
          </w:tcPr>
          <w:p>
            <w:pPr>
              <w:spacing w:after="0"/>
            </w:pPr>
            <w:r/>
            <w:r>
              <w:rPr>
                <w:rFonts w:ascii="Calibri" w:hAnsi="Calibri"/>
                <w:b/>
                <w:color w:val="FFFFFF"/>
                <w:sz w:val="19"/>
              </w:rPr>
              <w:t>Dataset that captures it</w:t>
            </w:r>
          </w:p>
        </w:tc>
        <w:tc>
          <w:tcPr>
            <w:tcW w:type="dxa" w:w="2880"/>
            <w:shd w:val="clear" w:color="auto" w:fill="1E2761"/>
          </w:tcPr>
          <w:p>
            <w:pPr>
              <w:spacing w:after="0"/>
            </w:pPr>
            <w:r/>
            <w:r>
              <w:rPr>
                <w:rFonts w:ascii="Calibri" w:hAnsi="Calibri"/>
                <w:b/>
                <w:color w:val="FFFFFF"/>
                <w:sz w:val="19"/>
              </w:rPr>
              <w:t>What could stop it (and which project use case helps)</w:t>
            </w:r>
          </w:p>
        </w:tc>
      </w:tr>
      <w:tr>
        <w:tc>
          <w:tcPr>
            <w:tcW w:type="dxa" w:w="1728"/>
          </w:tcPr>
          <w:p>
            <w:pPr>
              <w:spacing w:after="0"/>
            </w:pPr>
            <w:r/>
            <w:r>
              <w:rPr>
                <w:rFonts w:ascii="Calibri" w:hAnsi="Calibri"/>
                <w:b/>
                <w:color w:val="1E2761"/>
                <w:sz w:val="19"/>
              </w:rPr>
              <w:t>1. Diagnosis / visit</w:t>
            </w:r>
          </w:p>
        </w:tc>
        <w:tc>
          <w:tcPr>
            <w:tcW w:type="dxa" w:w="3168"/>
          </w:tcPr>
          <w:p>
            <w:pPr>
              <w:spacing w:after="0"/>
            </w:pPr>
            <w:r/>
            <w:r>
              <w:rPr>
                <w:rFonts w:ascii="Calibri" w:hAnsi="Calibri"/>
                <w:color w:val="333333"/>
                <w:sz w:val="19"/>
              </w:rPr>
              <w:br/>
              <w:br/>
              <w:br/>
            </w:r>
          </w:p>
        </w:tc>
        <w:tc>
          <w:tcPr>
            <w:tcW w:type="dxa" w:w="2160"/>
          </w:tcPr>
          <w:p>
            <w:pPr>
              <w:spacing w:after="0"/>
            </w:pPr>
            <w:r/>
            <w:r>
              <w:rPr>
                <w:rFonts w:ascii="Calibri" w:hAnsi="Calibri"/>
                <w:color w:val="333333"/>
                <w:sz w:val="19"/>
              </w:rPr>
              <w:br/>
              <w:br/>
              <w:br/>
            </w:r>
          </w:p>
        </w:tc>
        <w:tc>
          <w:tcPr>
            <w:tcW w:type="dxa" w:w="2880"/>
          </w:tcPr>
          <w:p>
            <w:pPr>
              <w:spacing w:after="0"/>
            </w:pPr>
            <w:r/>
            <w:r>
              <w:rPr>
                <w:rFonts w:ascii="Calibri" w:hAnsi="Calibri"/>
                <w:color w:val="333333"/>
                <w:sz w:val="19"/>
              </w:rPr>
              <w:br/>
              <w:br/>
              <w:br/>
            </w:r>
          </w:p>
        </w:tc>
      </w:tr>
      <w:tr>
        <w:tc>
          <w:tcPr>
            <w:tcW w:type="dxa" w:w="1728"/>
            <w:shd w:val="clear" w:color="auto" w:fill="F3F6FC"/>
          </w:tcPr>
          <w:p>
            <w:pPr>
              <w:spacing w:after="0"/>
            </w:pPr>
            <w:r/>
            <w:r>
              <w:rPr>
                <w:rFonts w:ascii="Calibri" w:hAnsi="Calibri"/>
                <w:b/>
                <w:color w:val="1E2761"/>
                <w:sz w:val="19"/>
              </w:rPr>
              <w:t>2. Rx written</w:t>
            </w:r>
          </w:p>
        </w:tc>
        <w:tc>
          <w:tcPr>
            <w:tcW w:type="dxa" w:w="3168"/>
            <w:shd w:val="clear" w:color="auto" w:fill="F3F6FC"/>
          </w:tcPr>
          <w:p>
            <w:pPr>
              <w:spacing w:after="0"/>
            </w:pPr>
            <w:r/>
            <w:r>
              <w:rPr>
                <w:rFonts w:ascii="Calibri" w:hAnsi="Calibri"/>
                <w:color w:val="333333"/>
                <w:sz w:val="19"/>
              </w:rPr>
              <w:br/>
              <w:br/>
              <w:br/>
            </w:r>
          </w:p>
        </w:tc>
        <w:tc>
          <w:tcPr>
            <w:tcW w:type="dxa" w:w="2160"/>
            <w:shd w:val="clear" w:color="auto" w:fill="F3F6FC"/>
          </w:tcPr>
          <w:p>
            <w:pPr>
              <w:spacing w:after="0"/>
            </w:pPr>
            <w:r/>
            <w:r>
              <w:rPr>
                <w:rFonts w:ascii="Calibri" w:hAnsi="Calibri"/>
                <w:color w:val="333333"/>
                <w:sz w:val="19"/>
              </w:rPr>
              <w:br/>
              <w:br/>
              <w:br/>
            </w:r>
          </w:p>
        </w:tc>
        <w:tc>
          <w:tcPr>
            <w:tcW w:type="dxa" w:w="2880"/>
            <w:shd w:val="clear" w:color="auto" w:fill="F3F6FC"/>
          </w:tcPr>
          <w:p>
            <w:pPr>
              <w:spacing w:after="0"/>
            </w:pPr>
            <w:r/>
            <w:r>
              <w:rPr>
                <w:rFonts w:ascii="Calibri" w:hAnsi="Calibri"/>
                <w:color w:val="333333"/>
                <w:sz w:val="19"/>
              </w:rPr>
              <w:br/>
              <w:br/>
              <w:br/>
            </w:r>
          </w:p>
        </w:tc>
      </w:tr>
      <w:tr>
        <w:tc>
          <w:tcPr>
            <w:tcW w:type="dxa" w:w="1728"/>
          </w:tcPr>
          <w:p>
            <w:pPr>
              <w:spacing w:after="0"/>
            </w:pPr>
            <w:r/>
            <w:r>
              <w:rPr>
                <w:rFonts w:ascii="Calibri" w:hAnsi="Calibri"/>
                <w:b/>
                <w:color w:val="1E2761"/>
                <w:sz w:val="19"/>
              </w:rPr>
              <w:t>3. Adjudication</w:t>
            </w:r>
          </w:p>
        </w:tc>
        <w:tc>
          <w:tcPr>
            <w:tcW w:type="dxa" w:w="3168"/>
          </w:tcPr>
          <w:p>
            <w:pPr>
              <w:spacing w:after="0"/>
            </w:pPr>
            <w:r/>
            <w:r>
              <w:rPr>
                <w:rFonts w:ascii="Calibri" w:hAnsi="Calibri"/>
                <w:color w:val="333333"/>
                <w:sz w:val="19"/>
              </w:rPr>
              <w:br/>
              <w:br/>
              <w:br/>
            </w:r>
          </w:p>
        </w:tc>
        <w:tc>
          <w:tcPr>
            <w:tcW w:type="dxa" w:w="2160"/>
          </w:tcPr>
          <w:p>
            <w:pPr>
              <w:spacing w:after="0"/>
            </w:pPr>
            <w:r/>
            <w:r>
              <w:rPr>
                <w:rFonts w:ascii="Calibri" w:hAnsi="Calibri"/>
                <w:color w:val="333333"/>
                <w:sz w:val="19"/>
              </w:rPr>
              <w:br/>
              <w:br/>
              <w:br/>
            </w:r>
          </w:p>
        </w:tc>
        <w:tc>
          <w:tcPr>
            <w:tcW w:type="dxa" w:w="2880"/>
          </w:tcPr>
          <w:p>
            <w:pPr>
              <w:spacing w:after="0"/>
            </w:pPr>
            <w:r/>
            <w:r>
              <w:rPr>
                <w:rFonts w:ascii="Calibri" w:hAnsi="Calibri"/>
                <w:color w:val="333333"/>
                <w:sz w:val="19"/>
              </w:rPr>
              <w:br/>
              <w:br/>
              <w:br/>
            </w:r>
          </w:p>
        </w:tc>
      </w:tr>
      <w:tr>
        <w:tc>
          <w:tcPr>
            <w:tcW w:type="dxa" w:w="1728"/>
            <w:shd w:val="clear" w:color="auto" w:fill="F3F6FC"/>
          </w:tcPr>
          <w:p>
            <w:pPr>
              <w:spacing w:after="0"/>
            </w:pPr>
            <w:r/>
            <w:r>
              <w:rPr>
                <w:rFonts w:ascii="Calibri" w:hAnsi="Calibri"/>
                <w:b/>
                <w:color w:val="1E2761"/>
                <w:sz w:val="19"/>
              </w:rPr>
              <w:t>4. Dispense</w:t>
            </w:r>
          </w:p>
        </w:tc>
        <w:tc>
          <w:tcPr>
            <w:tcW w:type="dxa" w:w="3168"/>
            <w:shd w:val="clear" w:color="auto" w:fill="F3F6FC"/>
          </w:tcPr>
          <w:p>
            <w:pPr>
              <w:spacing w:after="0"/>
            </w:pPr>
            <w:r/>
            <w:r>
              <w:rPr>
                <w:rFonts w:ascii="Calibri" w:hAnsi="Calibri"/>
                <w:color w:val="333333"/>
                <w:sz w:val="19"/>
              </w:rPr>
              <w:br/>
              <w:br/>
              <w:br/>
            </w:r>
          </w:p>
        </w:tc>
        <w:tc>
          <w:tcPr>
            <w:tcW w:type="dxa" w:w="2160"/>
            <w:shd w:val="clear" w:color="auto" w:fill="F3F6FC"/>
          </w:tcPr>
          <w:p>
            <w:pPr>
              <w:spacing w:after="0"/>
            </w:pPr>
            <w:r/>
            <w:r>
              <w:rPr>
                <w:rFonts w:ascii="Calibri" w:hAnsi="Calibri"/>
                <w:color w:val="333333"/>
                <w:sz w:val="19"/>
              </w:rPr>
              <w:br/>
              <w:br/>
              <w:br/>
            </w:r>
          </w:p>
        </w:tc>
        <w:tc>
          <w:tcPr>
            <w:tcW w:type="dxa" w:w="2880"/>
            <w:shd w:val="clear" w:color="auto" w:fill="F3F6FC"/>
          </w:tcPr>
          <w:p>
            <w:pPr>
              <w:spacing w:after="0"/>
            </w:pPr>
            <w:r/>
            <w:r>
              <w:rPr>
                <w:rFonts w:ascii="Calibri" w:hAnsi="Calibri"/>
                <w:color w:val="333333"/>
                <w:sz w:val="19"/>
              </w:rPr>
              <w:br/>
              <w:br/>
              <w:br/>
            </w:r>
          </w:p>
        </w:tc>
      </w:tr>
      <w:tr>
        <w:tc>
          <w:tcPr>
            <w:tcW w:type="dxa" w:w="1728"/>
          </w:tcPr>
          <w:p>
            <w:pPr>
              <w:spacing w:after="0"/>
            </w:pPr>
            <w:r/>
            <w:r>
              <w:rPr>
                <w:rFonts w:ascii="Calibri" w:hAnsi="Calibri"/>
                <w:b/>
                <w:color w:val="1E2761"/>
                <w:sz w:val="19"/>
              </w:rPr>
              <w:t>5. Claim paid</w:t>
            </w:r>
          </w:p>
        </w:tc>
        <w:tc>
          <w:tcPr>
            <w:tcW w:type="dxa" w:w="3168"/>
          </w:tcPr>
          <w:p>
            <w:pPr>
              <w:spacing w:after="0"/>
            </w:pPr>
            <w:r/>
            <w:r>
              <w:rPr>
                <w:rFonts w:ascii="Calibri" w:hAnsi="Calibri"/>
                <w:color w:val="333333"/>
                <w:sz w:val="19"/>
              </w:rPr>
              <w:br/>
              <w:br/>
              <w:br/>
            </w:r>
          </w:p>
        </w:tc>
        <w:tc>
          <w:tcPr>
            <w:tcW w:type="dxa" w:w="2160"/>
          </w:tcPr>
          <w:p>
            <w:pPr>
              <w:spacing w:after="0"/>
            </w:pPr>
            <w:r/>
            <w:r>
              <w:rPr>
                <w:rFonts w:ascii="Calibri" w:hAnsi="Calibri"/>
                <w:color w:val="333333"/>
                <w:sz w:val="19"/>
              </w:rPr>
              <w:br/>
              <w:br/>
              <w:br/>
            </w:r>
          </w:p>
        </w:tc>
        <w:tc>
          <w:tcPr>
            <w:tcW w:type="dxa" w:w="2880"/>
          </w:tcPr>
          <w:p>
            <w:pPr>
              <w:spacing w:after="0"/>
            </w:pPr>
            <w:r/>
            <w:r>
              <w:rPr>
                <w:rFonts w:ascii="Calibri" w:hAnsi="Calibri"/>
                <w:color w:val="333333"/>
                <w:sz w:val="19"/>
              </w:rPr>
              <w:br/>
              <w:br/>
              <w:br/>
            </w:r>
          </w:p>
        </w:tc>
      </w:tr>
      <w:tr>
        <w:tc>
          <w:tcPr>
            <w:tcW w:type="dxa" w:w="1728"/>
            <w:shd w:val="clear" w:color="auto" w:fill="F3F6FC"/>
          </w:tcPr>
          <w:p>
            <w:pPr>
              <w:spacing w:after="0"/>
            </w:pPr>
            <w:r/>
            <w:r>
              <w:rPr>
                <w:rFonts w:ascii="Calibri" w:hAnsi="Calibri"/>
                <w:b/>
                <w:color w:val="1E2761"/>
                <w:sz w:val="19"/>
              </w:rPr>
              <w:t>6. Revenue</w:t>
            </w:r>
          </w:p>
        </w:tc>
        <w:tc>
          <w:tcPr>
            <w:tcW w:type="dxa" w:w="3168"/>
            <w:shd w:val="clear" w:color="auto" w:fill="F3F6FC"/>
          </w:tcPr>
          <w:p>
            <w:pPr>
              <w:spacing w:after="0"/>
            </w:pPr>
            <w:r/>
            <w:r>
              <w:rPr>
                <w:rFonts w:ascii="Calibri" w:hAnsi="Calibri"/>
                <w:color w:val="333333"/>
                <w:sz w:val="19"/>
              </w:rPr>
              <w:br/>
              <w:br/>
              <w:br/>
            </w:r>
          </w:p>
        </w:tc>
        <w:tc>
          <w:tcPr>
            <w:tcW w:type="dxa" w:w="2160"/>
            <w:shd w:val="clear" w:color="auto" w:fill="F3F6FC"/>
          </w:tcPr>
          <w:p>
            <w:pPr>
              <w:spacing w:after="0"/>
            </w:pPr>
            <w:r/>
            <w:r>
              <w:rPr>
                <w:rFonts w:ascii="Calibri" w:hAnsi="Calibri"/>
                <w:color w:val="333333"/>
                <w:sz w:val="19"/>
              </w:rPr>
              <w:br/>
              <w:br/>
              <w:br/>
            </w:r>
          </w:p>
        </w:tc>
        <w:tc>
          <w:tcPr>
            <w:tcW w:type="dxa" w:w="2880"/>
            <w:shd w:val="clear" w:color="auto" w:fill="F3F6FC"/>
          </w:tcPr>
          <w:p>
            <w:pPr>
              <w:spacing w:after="0"/>
            </w:pPr>
            <w:r/>
            <w:r>
              <w:rPr>
                <w:rFonts w:ascii="Calibri" w:hAnsi="Calibri"/>
                <w:color w:val="333333"/>
                <w:sz w:val="19"/>
              </w:rPr>
              <w:br/>
              <w:br/>
              <w:br/>
            </w:r>
          </w:p>
        </w:tc>
      </w:tr>
    </w:tbl>
    <w:p>
      <w:pPr>
        <w:spacing w:after="80"/>
      </w:pPr>
    </w:p>
    <w:p>
      <w:pPr>
        <w:spacing w:after="120" w:before="0"/>
      </w:pPr>
      <w:r>
        <w:rPr>
          <w:rFonts w:ascii="Calibri" w:hAnsi="Calibri"/>
          <w:b/>
          <w:i w:val="0"/>
          <w:color w:val="333333"/>
          <w:sz w:val="22"/>
        </w:rPr>
        <w:t xml:space="preserve">Bonus: </w:t>
      </w:r>
      <w:r>
        <w:rPr>
          <w:rFonts w:ascii="Calibri" w:hAnsi="Calibri"/>
          <w:b w:val="0"/>
          <w:i w:val="0"/>
          <w:color w:val="333333"/>
          <w:sz w:val="22"/>
        </w:rPr>
        <w:t>the same patient is 67 and on Medicare Part D. Which steps change, and why does the manufacturer's net price per script fall? (Hint: copay cards are prohibited in Medicare; Part D has its own manufacturer discount.)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1 — In-Class Exercise · Applied Data Science and AI in Pharma Commercial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