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D91"/>
          <w:sz w:val="44"/>
        </w:rPr>
        <w:t>Pharma Commercial Datasets</w:t>
      </w:r>
    </w:p>
    <w:p>
      <w:pPr>
        <w:spacing w:after="40"/>
      </w:pPr>
      <w:r>
        <w:rPr>
          <w:b/>
          <w:color w:val="0B3D91"/>
          <w:sz w:val="44"/>
        </w:rPr>
        <w:t>A practical reference</w:t>
      </w:r>
    </w:p>
    <w:p>
      <w:pPr>
        <w:spacing w:after="60"/>
      </w:pPr>
      <w:r>
        <w:rPr>
          <w:b w:val="0"/>
          <w:i/>
          <w:color w:val="555555"/>
          <w:sz w:val="22"/>
        </w:rPr>
        <w:t>Companion to Week 2 — Applied Data Science and AI in Pharmaceutical Commercial Operations · Fall 2026</w:t>
      </w:r>
    </w:p>
    <w:p>
      <w:pPr>
        <w:spacing w:after="60"/>
      </w:pPr>
      <w:r>
        <w:rPr>
          <w:b w:val="0"/>
          <w:i w:val="0"/>
          <w:color w:val="1A1A1A"/>
          <w:sz w:val="21"/>
        </w:rPr>
        <w:t>This document is a working reference, not a comprehensive vendor catalog. The goal is to give you (a) a mental map of every data category you will encounter in a pharma commercial role, (b) a sense of who sells what and what it costs to use, and (c) the gotchas you only learn the hard way. The dataset categories are organized by what the data represents, not who sells it.</w:t>
      </w:r>
    </w:p>
    <w:p>
      <w:pPr>
        <w:spacing w:before="280" w:after="80"/>
        <w:pBdr>
          <w:bottom w:val="single" w:sz="8" w:space="1" w:color="0B3D91"/>
        </w:pBdr>
      </w:pPr>
      <w:r>
        <w:rPr>
          <w:b/>
          <w:color w:val="0B3D91"/>
          <w:sz w:val="30"/>
        </w:rPr>
        <w:t>The Taxonomy at a Glance</w:t>
      </w:r>
    </w:p>
    <w:p>
      <w:pPr>
        <w:spacing w:after="60"/>
      </w:pPr>
      <w:r>
        <w:rPr>
          <w:b w:val="0"/>
          <w:i w:val="0"/>
          <w:color w:val="1A1A1A"/>
          <w:sz w:val="21"/>
        </w:rPr>
        <w:t>Pharma commercial data falls into nine functional categories. Most projects use 3–5 of them. The art is knowing which ones you need, which ones you can skip, and which ones look the same but answer fundamentally different questions.</w:t>
      </w:r>
    </w:p>
    <w:tbl>
      <w:tblPr>
        <w:tblStyle w:val="LightGrid-Accent1"/>
        <w:tblW w:type="auto" w:w="0"/>
        <w:tblLook w:firstColumn="1" w:firstRow="1" w:lastColumn="0" w:lastRow="0" w:noHBand="0" w:noVBand="1" w:val="04A0"/>
      </w:tblPr>
      <w:tblGrid>
        <w:gridCol w:w="3408"/>
        <w:gridCol w:w="3408"/>
        <w:gridCol w:w="3408"/>
      </w:tblGrid>
      <w:tr>
        <w:tc>
          <w:tcPr>
            <w:tcW w:type="dxa" w:w="3408"/>
            <w:shd w:val="clear" w:color="auto" w:fill="0B3D91"/>
          </w:tcPr>
          <w:p>
            <w:r>
              <w:rPr>
                <w:b/>
                <w:color w:val="FFFFFF"/>
                <w:sz w:val="21"/>
              </w:rPr>
              <w:t>Category</w:t>
            </w:r>
          </w:p>
        </w:tc>
        <w:tc>
          <w:tcPr>
            <w:tcW w:type="dxa" w:w="3408"/>
            <w:shd w:val="clear" w:color="auto" w:fill="0B3D91"/>
          </w:tcPr>
          <w:p>
            <w:r>
              <w:rPr>
                <w:b/>
                <w:color w:val="FFFFFF"/>
                <w:sz w:val="21"/>
              </w:rPr>
              <w:t>What it answers</w:t>
            </w:r>
          </w:p>
        </w:tc>
        <w:tc>
          <w:tcPr>
            <w:tcW w:type="dxa" w:w="3408"/>
            <w:shd w:val="clear" w:color="auto" w:fill="0B3D91"/>
          </w:tcPr>
          <w:p>
            <w:r>
              <w:rPr>
                <w:b/>
                <w:color w:val="FFFFFF"/>
                <w:sz w:val="21"/>
              </w:rPr>
              <w:t>Typical owner</w:t>
            </w:r>
          </w:p>
        </w:tc>
      </w:tr>
      <w:tr>
        <w:tc>
          <w:tcPr>
            <w:tcW w:type="dxa" w:w="3408"/>
          </w:tcPr>
          <w:p>
            <w:r>
              <w:rPr>
                <w:sz w:val="20"/>
              </w:rPr>
              <w:t>1. Patient activity (claims, EHR, labs)</w:t>
            </w:r>
          </w:p>
        </w:tc>
        <w:tc>
          <w:tcPr>
            <w:tcW w:type="dxa" w:w="3408"/>
          </w:tcPr>
          <w:p>
            <w:r>
              <w:rPr>
                <w:sz w:val="20"/>
              </w:rPr>
              <w:t>Who is being diagnosed? Treated with what? When do they switch?</w:t>
            </w:r>
          </w:p>
        </w:tc>
        <w:tc>
          <w:tcPr>
            <w:tcW w:type="dxa" w:w="3408"/>
          </w:tcPr>
          <w:p>
            <w:r>
              <w:rPr>
                <w:sz w:val="20"/>
              </w:rPr>
              <w:t>Real-world data team / Brand analytics</w:t>
            </w:r>
          </w:p>
        </w:tc>
      </w:tr>
      <w:tr>
        <w:tc>
          <w:tcPr>
            <w:tcW w:type="dxa" w:w="3408"/>
          </w:tcPr>
          <w:p>
            <w:r>
              <w:rPr>
                <w:sz w:val="20"/>
              </w:rPr>
              <w:t>2. Prescriber &amp; HCO reference</w:t>
            </w:r>
          </w:p>
        </w:tc>
        <w:tc>
          <w:tcPr>
            <w:tcW w:type="dxa" w:w="3408"/>
          </w:tcPr>
          <w:p>
            <w:r>
              <w:rPr>
                <w:sz w:val="20"/>
              </w:rPr>
              <w:t>Who is the HCP? Where do they practice? Who are they affiliated with?</w:t>
            </w:r>
          </w:p>
        </w:tc>
        <w:tc>
          <w:tcPr>
            <w:tcW w:type="dxa" w:w="3408"/>
          </w:tcPr>
          <w:p>
            <w:r>
              <w:rPr>
                <w:sz w:val="20"/>
              </w:rPr>
              <w:t>Master data management</w:t>
            </w:r>
          </w:p>
        </w:tc>
      </w:tr>
      <w:tr>
        <w:tc>
          <w:tcPr>
            <w:tcW w:type="dxa" w:w="3408"/>
          </w:tcPr>
          <w:p>
            <w:r>
              <w:rPr>
                <w:sz w:val="20"/>
              </w:rPr>
              <w:t>3. Promotion &amp; projection (Rx, sales)</w:t>
            </w:r>
          </w:p>
        </w:tc>
        <w:tc>
          <w:tcPr>
            <w:tcW w:type="dxa" w:w="3408"/>
          </w:tcPr>
          <w:p>
            <w:r>
              <w:rPr>
                <w:sz w:val="20"/>
              </w:rPr>
              <w:t>How many Rx are written? By whom? Where?</w:t>
            </w:r>
          </w:p>
        </w:tc>
        <w:tc>
          <w:tcPr>
            <w:tcW w:type="dxa" w:w="3408"/>
          </w:tcPr>
          <w:p>
            <w:r>
              <w:rPr>
                <w:sz w:val="20"/>
              </w:rPr>
              <w:t>Brand analytics</w:t>
            </w:r>
          </w:p>
        </w:tc>
      </w:tr>
      <w:tr>
        <w:tc>
          <w:tcPr>
            <w:tcW w:type="dxa" w:w="3408"/>
          </w:tcPr>
          <w:p>
            <w:r>
              <w:rPr>
                <w:sz w:val="20"/>
              </w:rPr>
              <w:t>4. Payer &amp; access</w:t>
            </w:r>
          </w:p>
        </w:tc>
        <w:tc>
          <w:tcPr>
            <w:tcW w:type="dxa" w:w="3408"/>
          </w:tcPr>
          <w:p>
            <w:r>
              <w:rPr>
                <w:sz w:val="20"/>
              </w:rPr>
              <w:t>What's covered? At what tier? With what restrictions?</w:t>
            </w:r>
          </w:p>
        </w:tc>
        <w:tc>
          <w:tcPr>
            <w:tcW w:type="dxa" w:w="3408"/>
          </w:tcPr>
          <w:p>
            <w:r>
              <w:rPr>
                <w:sz w:val="20"/>
              </w:rPr>
              <w:t>Market access</w:t>
            </w:r>
          </w:p>
        </w:tc>
      </w:tr>
      <w:tr>
        <w:tc>
          <w:tcPr>
            <w:tcW w:type="dxa" w:w="3408"/>
          </w:tcPr>
          <w:p>
            <w:r>
              <w:rPr>
                <w:sz w:val="20"/>
              </w:rPr>
              <w:t>5. Marketing &amp; engagement</w:t>
            </w:r>
          </w:p>
        </w:tc>
        <w:tc>
          <w:tcPr>
            <w:tcW w:type="dxa" w:w="3408"/>
          </w:tcPr>
          <w:p>
            <w:r>
              <w:rPr>
                <w:sz w:val="20"/>
              </w:rPr>
              <w:t>What did we send/show? Who responded?</w:t>
            </w:r>
          </w:p>
        </w:tc>
        <w:tc>
          <w:tcPr>
            <w:tcW w:type="dxa" w:w="3408"/>
          </w:tcPr>
          <w:p>
            <w:r>
              <w:rPr>
                <w:sz w:val="20"/>
              </w:rPr>
              <w:t>Marketing operations / CRM</w:t>
            </w:r>
          </w:p>
        </w:tc>
      </w:tr>
      <w:tr>
        <w:tc>
          <w:tcPr>
            <w:tcW w:type="dxa" w:w="3408"/>
          </w:tcPr>
          <w:p>
            <w:r>
              <w:rPr>
                <w:sz w:val="20"/>
              </w:rPr>
              <w:t>6. Genomics &amp; diagnostics</w:t>
            </w:r>
          </w:p>
        </w:tc>
        <w:tc>
          <w:tcPr>
            <w:tcW w:type="dxa" w:w="3408"/>
          </w:tcPr>
          <w:p>
            <w:r>
              <w:rPr>
                <w:sz w:val="20"/>
              </w:rPr>
              <w:t>Which biomarkers were tested? What are the results?</w:t>
            </w:r>
          </w:p>
        </w:tc>
        <w:tc>
          <w:tcPr>
            <w:tcW w:type="dxa" w:w="3408"/>
          </w:tcPr>
          <w:p>
            <w:r>
              <w:rPr>
                <w:sz w:val="20"/>
              </w:rPr>
              <w:t>Medical / RWE / Precision medicine</w:t>
            </w:r>
          </w:p>
        </w:tc>
      </w:tr>
      <w:tr>
        <w:tc>
          <w:tcPr>
            <w:tcW w:type="dxa" w:w="3408"/>
          </w:tcPr>
          <w:p>
            <w:r>
              <w:rPr>
                <w:sz w:val="20"/>
              </w:rPr>
              <w:t>7. Geography, SDOH, mortality</w:t>
            </w:r>
          </w:p>
        </w:tc>
        <w:tc>
          <w:tcPr>
            <w:tcW w:type="dxa" w:w="3408"/>
          </w:tcPr>
          <w:p>
            <w:r>
              <w:rPr>
                <w:sz w:val="20"/>
              </w:rPr>
              <w:t>Where do patients live? What barriers do they face? Did they survive?</w:t>
            </w:r>
          </w:p>
        </w:tc>
        <w:tc>
          <w:tcPr>
            <w:tcW w:type="dxa" w:w="3408"/>
          </w:tcPr>
          <w:p>
            <w:r>
              <w:rPr>
                <w:sz w:val="20"/>
              </w:rPr>
              <w:t>Insights &amp; RWE</w:t>
            </w:r>
          </w:p>
        </w:tc>
      </w:tr>
      <w:tr>
        <w:tc>
          <w:tcPr>
            <w:tcW w:type="dxa" w:w="3408"/>
          </w:tcPr>
          <w:p>
            <w:r>
              <w:rPr>
                <w:sz w:val="20"/>
              </w:rPr>
              <w:t>8. Internal manufacturer data</w:t>
            </w:r>
          </w:p>
        </w:tc>
        <w:tc>
          <w:tcPr>
            <w:tcW w:type="dxa" w:w="3408"/>
          </w:tcPr>
          <w:p>
            <w:r>
              <w:rPr>
                <w:sz w:val="20"/>
              </w:rPr>
              <w:t>What did we sell, ship, forecast, and book?</w:t>
            </w:r>
          </w:p>
        </w:tc>
        <w:tc>
          <w:tcPr>
            <w:tcW w:type="dxa" w:w="3408"/>
          </w:tcPr>
          <w:p>
            <w:r>
              <w:rPr>
                <w:sz w:val="20"/>
              </w:rPr>
              <w:t>Finance / Sales operations</w:t>
            </w:r>
          </w:p>
        </w:tc>
      </w:tr>
      <w:tr>
        <w:tc>
          <w:tcPr>
            <w:tcW w:type="dxa" w:w="3408"/>
          </w:tcPr>
          <w:p>
            <w:r>
              <w:rPr>
                <w:sz w:val="20"/>
              </w:rPr>
              <w:t>9. External news &amp; content</w:t>
            </w:r>
          </w:p>
        </w:tc>
        <w:tc>
          <w:tcPr>
            <w:tcW w:type="dxa" w:w="3408"/>
          </w:tcPr>
          <w:p>
            <w:r>
              <w:rPr>
                <w:sz w:val="20"/>
              </w:rPr>
              <w:t>What is the medical/competitive narrative?</w:t>
            </w:r>
          </w:p>
        </w:tc>
        <w:tc>
          <w:tcPr>
            <w:tcW w:type="dxa" w:w="3408"/>
          </w:tcPr>
          <w:p>
            <w:r>
              <w:rPr>
                <w:sz w:val="20"/>
              </w:rPr>
              <w:t>Competitive intelligence</w:t>
            </w:r>
          </w:p>
        </w:tc>
      </w:tr>
    </w:tbl>
    <w:p>
      <w:pPr>
        <w:spacing w:before="280" w:after="80"/>
        <w:pBdr>
          <w:bottom w:val="single" w:sz="8" w:space="1" w:color="0B3D91"/>
        </w:pBdr>
      </w:pPr>
      <w:r>
        <w:rPr>
          <w:b/>
          <w:color w:val="0B3D91"/>
          <w:sz w:val="30"/>
        </w:rPr>
        <w:t>1. Patient Activity Data — Claims, EHR, Labs, Specialty Pharmacy</w:t>
      </w:r>
    </w:p>
    <w:p>
      <w:pPr>
        <w:spacing w:after="60"/>
      </w:pPr>
      <w:r>
        <w:rPr>
          <w:b w:val="0"/>
          <w:i w:val="0"/>
          <w:color w:val="1A1A1A"/>
          <w:sz w:val="21"/>
        </w:rPr>
        <w:t>This is the single most-used category in pharma commercial. It answers: who is the patient, what are they being treated for, with what, and what happened next? The same question can be answered by very different datasets — knowing which to pick is the most important judgment call in commercial analytics.</w:t>
      </w:r>
    </w:p>
    <w:p>
      <w:pPr>
        <w:spacing w:before="120" w:after="20"/>
      </w:pPr>
      <w:r>
        <w:rPr>
          <w:b/>
          <w:color w:val="1A1A1A"/>
          <w:sz w:val="23"/>
        </w:rPr>
        <w:t>Medical Claims (Open &amp; Closed)</w:t>
      </w:r>
    </w:p>
    <w:p>
      <w:pPr>
        <w:spacing w:after="20"/>
      </w:pPr>
      <w:r>
        <w:rPr>
          <w:b/>
          <w:sz w:val="21"/>
        </w:rPr>
        <w:t xml:space="preserve">What it is: </w:t>
      </w:r>
      <w:r>
        <w:rPr>
          <w:sz w:val="21"/>
        </w:rPr>
        <w:t>Adjudicated 837P/837I claim records — every billed encounter, procedure, and infused/injected drug. The single richest source of treatment activity in pharma. "Open" claims are sourced from the clearinghouse stream and cover most US commercial+Medicare lives but not all (typically ~70-85% capture for a given drug); "closed" claims are sourced from a payer or PBM directly and have full capture within that population only.</w:t>
      </w:r>
    </w:p>
    <w:p>
      <w:pPr>
        <w:spacing w:after="20"/>
      </w:pPr>
      <w:r>
        <w:rPr>
          <w:b/>
          <w:sz w:val="21"/>
        </w:rPr>
        <w:t xml:space="preserve">Vendors: </w:t>
      </w:r>
      <w:r>
        <w:rPr>
          <w:sz w:val="21"/>
        </w:rPr>
        <w:t>IQVIA PharMetrics Plus / LAAD, Komodo Healthcare Map, HealthVerity, Trio Health (Symphony), Optum Clinformatics (closed), Inovalon MORE2, Marketscan (closed), Truveta, Datavant tokenized claims partners.</w:t>
      </w:r>
    </w:p>
    <w:p>
      <w:pPr>
        <w:spacing w:after="20"/>
      </w:pPr>
      <w:r>
        <w:rPr>
          <w:b/>
          <w:sz w:val="21"/>
        </w:rPr>
        <w:t xml:space="preserve">Granularity: </w:t>
      </w:r>
      <w:r>
        <w:rPr>
          <w:sz w:val="21"/>
        </w:rPr>
        <w:t>Patient × claim line × service date × diagnosis × procedure code (ICD-10, CPT, HCPCS).</w:t>
      </w:r>
    </w:p>
    <w:p>
      <w:pPr>
        <w:spacing w:after="20"/>
      </w:pPr>
      <w:r>
        <w:rPr>
          <w:b/>
          <w:sz w:val="21"/>
        </w:rPr>
        <w:t xml:space="preserve">Latency: </w:t>
      </w:r>
      <w:r>
        <w:rPr>
          <w:sz w:val="21"/>
        </w:rPr>
        <w:t>Open: 30–60 days from service. Closed: 90–180 days. Datavant linked sets: ~90 days.</w:t>
      </w:r>
    </w:p>
    <w:p>
      <w:pPr>
        <w:spacing w:after="20"/>
      </w:pPr>
      <w:r>
        <w:rPr>
          <w:b/>
          <w:sz w:val="21"/>
        </w:rPr>
        <w:t xml:space="preserve">Common use cases: </w:t>
      </w:r>
    </w:p>
    <w:p>
      <w:pPr>
        <w:pStyle w:val="ListBullet"/>
        <w:spacing w:after="20"/>
        <w:ind w:left="360"/>
      </w:pPr>
      <w:r>
        <w:rPr>
          <w:sz w:val="21"/>
        </w:rPr>
        <w:t>Cohort identification by ICD-10 (e.g., DLBCL = C83.30).</w:t>
      </w:r>
    </w:p>
    <w:p>
      <w:pPr>
        <w:pStyle w:val="ListBullet"/>
        <w:spacing w:after="20"/>
        <w:ind w:left="360"/>
      </w:pPr>
      <w:r>
        <w:rPr>
          <w:sz w:val="21"/>
        </w:rPr>
        <w:t>Treatment patterns: regimen, line of therapy (LOT), time-to-next-treatment (TTNT).</w:t>
      </w:r>
    </w:p>
    <w:p>
      <w:pPr>
        <w:pStyle w:val="ListBullet"/>
        <w:spacing w:after="20"/>
        <w:ind w:left="360"/>
      </w:pPr>
      <w:r>
        <w:rPr>
          <w:sz w:val="21"/>
        </w:rPr>
        <w:t>Patient finding: predict which patients are likely to need a brand soon.</w:t>
      </w:r>
    </w:p>
    <w:p>
      <w:pPr>
        <w:pStyle w:val="ListBullet"/>
        <w:spacing w:after="20"/>
        <w:ind w:left="360"/>
      </w:pPr>
      <w:r>
        <w:rPr>
          <w:sz w:val="21"/>
        </w:rPr>
        <w:t>Health economics &amp; outcomes research (HEOR), comparative effectiveness studies.</w:t>
      </w:r>
    </w:p>
    <w:p>
      <w:pPr>
        <w:pStyle w:val="ListBullet"/>
        <w:spacing w:after="20"/>
        <w:ind w:left="360"/>
      </w:pPr>
      <w:r>
        <w:rPr>
          <w:sz w:val="21"/>
        </w:rPr>
        <w:t>Specialty pharmacy network mapping.</w:t>
      </w:r>
    </w:p>
    <w:p>
      <w:pPr>
        <w:spacing w:after="20"/>
      </w:pPr>
      <w:r>
        <w:rPr>
          <w:b/>
          <w:color w:val="C0392B"/>
          <w:sz w:val="21"/>
        </w:rPr>
        <w:t xml:space="preserve">Gotchas: </w:t>
      </w:r>
    </w:p>
    <w:p>
      <w:pPr>
        <w:pStyle w:val="ListBullet"/>
        <w:spacing w:after="20"/>
        <w:ind w:left="360"/>
      </w:pPr>
      <w:r>
        <w:rPr>
          <w:sz w:val="21"/>
        </w:rPr>
        <w:t>Open claims systematically under-count high-cost drugs administered inpatient at academic medical centers — verify capture against manufacturer-reported sales (867 data) before committing to a number.</w:t>
      </w:r>
    </w:p>
    <w:p>
      <w:pPr>
        <w:pStyle w:val="ListBullet"/>
        <w:spacing w:after="20"/>
        <w:ind w:left="360"/>
      </w:pPr>
      <w:r>
        <w:rPr>
          <w:sz w:val="21"/>
        </w:rPr>
        <w:t>ICD-10 specificity varies: oncology codes are usually reliable; psychiatric, autoimmune, and pain codes are not.</w:t>
      </w:r>
    </w:p>
    <w:p>
      <w:pPr>
        <w:pStyle w:val="ListBullet"/>
        <w:spacing w:after="20"/>
        <w:ind w:left="360"/>
      </w:pPr>
      <w:r>
        <w:rPr>
          <w:sz w:val="21"/>
        </w:rPr>
        <w:t>Patient identifiers reset across vendors. Linking claims across two vendors requires a token (e.g., Datavant) and is not free.</w:t>
      </w:r>
    </w:p>
    <w:p>
      <w:pPr>
        <w:pStyle w:val="ListBullet"/>
        <w:spacing w:after="20"/>
        <w:ind w:left="360"/>
      </w:pPr>
      <w:r>
        <w:rPr>
          <w:sz w:val="21"/>
        </w:rPr>
        <w:t>Switch in payer = patient "disappears" from a closed-claims dataset. Use enrollment files to compute denominator-eligible person-time before any incidence/prevalence calculation.</w:t>
      </w:r>
    </w:p>
    <w:p>
      <w:pPr>
        <w:pStyle w:val="ListBullet"/>
        <w:spacing w:after="20"/>
        <w:ind w:left="360"/>
      </w:pPr>
      <w:r>
        <w:rPr>
          <w:sz w:val="21"/>
        </w:rPr>
        <w:t>Inpatient drug administrations are often bundled into DRGs and may not be itemized — costly drugs can be invisible in claims data even though they were given.</w:t>
      </w:r>
    </w:p>
    <w:p>
      <w:pPr>
        <w:spacing w:before="120" w:after="20"/>
      </w:pPr>
      <w:r>
        <w:rPr>
          <w:b/>
          <w:color w:val="1A1A1A"/>
          <w:sz w:val="23"/>
        </w:rPr>
        <w:t>Pharmacy Claims (Rx)</w:t>
      </w:r>
    </w:p>
    <w:p>
      <w:pPr>
        <w:spacing w:after="20"/>
      </w:pPr>
      <w:r>
        <w:rPr>
          <w:b/>
          <w:sz w:val="21"/>
        </w:rPr>
        <w:t xml:space="preserve">What it is: </w:t>
      </w:r>
      <w:r>
        <w:rPr>
          <w:sz w:val="21"/>
        </w:rPr>
        <w:t>NCPDP-format pharmacy adjudication records — every retail and specialty-pharmacy fill. NDC-coded. The complement to medical claims for oral/self-injectable drugs.</w:t>
      </w:r>
    </w:p>
    <w:p>
      <w:pPr>
        <w:spacing w:after="20"/>
      </w:pPr>
      <w:r>
        <w:rPr>
          <w:b/>
          <w:sz w:val="21"/>
        </w:rPr>
        <w:t xml:space="preserve">Vendors: </w:t>
      </w:r>
      <w:r>
        <w:rPr>
          <w:sz w:val="21"/>
        </w:rPr>
        <w:t>IQVIA LRx (Longitudinal Rx — projected), IQVIA Xponent (projected weekly Rx by HCP), Symphony (Trio Health) Pharmaceutical, Komodo, HealthVerity, GoodRx (cash-pay only), Surescripts (Rx history).</w:t>
      </w:r>
    </w:p>
    <w:p>
      <w:pPr>
        <w:spacing w:after="20"/>
      </w:pPr>
      <w:r>
        <w:rPr>
          <w:b/>
          <w:sz w:val="21"/>
        </w:rPr>
        <w:t xml:space="preserve">Granularity: </w:t>
      </w:r>
      <w:r>
        <w:rPr>
          <w:sz w:val="21"/>
        </w:rPr>
        <w:t>Patient × fill × NDC × prescriber NPI × pharmacy ID × payer × days supply × quantity.</w:t>
      </w:r>
    </w:p>
    <w:p>
      <w:pPr>
        <w:spacing w:after="20"/>
      </w:pPr>
      <w:r>
        <w:rPr>
          <w:b/>
          <w:sz w:val="21"/>
        </w:rPr>
        <w:t xml:space="preserve">Latency: </w:t>
      </w:r>
      <w:r>
        <w:rPr>
          <w:sz w:val="21"/>
        </w:rPr>
        <w:t>2–7 days for projected sets (Xponent); 30–60 days for adjudicated panel sets.</w:t>
      </w:r>
    </w:p>
    <w:p>
      <w:pPr>
        <w:spacing w:after="20"/>
      </w:pPr>
      <w:r>
        <w:rPr>
          <w:b/>
          <w:sz w:val="21"/>
        </w:rPr>
        <w:t xml:space="preserve">Common use cases: </w:t>
      </w:r>
    </w:p>
    <w:p>
      <w:pPr>
        <w:pStyle w:val="ListBullet"/>
        <w:spacing w:after="20"/>
        <w:ind w:left="360"/>
      </w:pPr>
      <w:r>
        <w:rPr>
          <w:sz w:val="21"/>
        </w:rPr>
        <w:t>Brand-level Rx tracking and market share by HCP.</w:t>
      </w:r>
    </w:p>
    <w:p>
      <w:pPr>
        <w:pStyle w:val="ListBullet"/>
        <w:spacing w:after="20"/>
        <w:ind w:left="360"/>
      </w:pPr>
      <w:r>
        <w:rPr>
          <w:sz w:val="21"/>
        </w:rPr>
        <w:t>Patient persistence/adherence (medication possession ratio, proportion of days covered).</w:t>
      </w:r>
    </w:p>
    <w:p>
      <w:pPr>
        <w:pStyle w:val="ListBullet"/>
        <w:spacing w:after="20"/>
        <w:ind w:left="360"/>
      </w:pPr>
      <w:r>
        <w:rPr>
          <w:sz w:val="21"/>
        </w:rPr>
        <w:t>Therapy-switching analysis.</w:t>
      </w:r>
    </w:p>
    <w:p>
      <w:pPr>
        <w:pStyle w:val="ListBullet"/>
        <w:spacing w:after="20"/>
        <w:ind w:left="360"/>
      </w:pPr>
      <w:r>
        <w:rPr>
          <w:sz w:val="21"/>
        </w:rPr>
        <w:t>Specialty pharmacy network coverage.</w:t>
      </w:r>
    </w:p>
    <w:p>
      <w:pPr>
        <w:spacing w:after="20"/>
      </w:pPr>
      <w:r>
        <w:rPr>
          <w:b/>
          <w:color w:val="C0392B"/>
          <w:sz w:val="21"/>
        </w:rPr>
        <w:t xml:space="preserve">Gotchas: </w:t>
      </w:r>
    </w:p>
    <w:p>
      <w:pPr>
        <w:pStyle w:val="ListBullet"/>
        <w:spacing w:after="20"/>
        <w:ind w:left="360"/>
      </w:pPr>
      <w:r>
        <w:rPr>
          <w:sz w:val="21"/>
        </w:rPr>
        <w:t>"Rx" can mean new (NRx), total (TRx), or projected — confirm before any chart.</w:t>
      </w:r>
    </w:p>
    <w:p>
      <w:pPr>
        <w:pStyle w:val="ListBullet"/>
        <w:spacing w:after="20"/>
        <w:ind w:left="360"/>
      </w:pPr>
      <w:r>
        <w:rPr>
          <w:sz w:val="21"/>
        </w:rPr>
        <w:t>Cash-pay (GoodRx, manufacturer copay cards bypassing insurance) does not appear in claims-based panels. For some categories (specialty, GLP-1s) this is a meaningful blind spot.</w:t>
      </w:r>
    </w:p>
    <w:p>
      <w:pPr>
        <w:pStyle w:val="ListBullet"/>
        <w:spacing w:after="20"/>
        <w:ind w:left="360"/>
      </w:pPr>
      <w:r>
        <w:rPr>
          <w:sz w:val="21"/>
        </w:rPr>
        <w:t>Days-supply errors are common — a 30-day supply field that says "7" is more often an entry mistake than reality.</w:t>
      </w:r>
    </w:p>
    <w:p>
      <w:pPr>
        <w:pStyle w:val="ListBullet"/>
        <w:spacing w:after="20"/>
        <w:ind w:left="360"/>
      </w:pPr>
      <w:r>
        <w:rPr>
          <w:sz w:val="21"/>
        </w:rPr>
        <w:t>92-day supplies are common (mail-order); cohort denominators must be normalized by days-eligible.</w:t>
      </w:r>
    </w:p>
    <w:p>
      <w:pPr>
        <w:pStyle w:val="ListBullet"/>
        <w:spacing w:after="20"/>
        <w:ind w:left="360"/>
      </w:pPr>
      <w:r>
        <w:rPr>
          <w:sz w:val="21"/>
        </w:rPr>
        <w:t>Prescriber NPI on Rx is the writer, not necessarily the diagnosing physician. For multi-specialist diseases, link to medical claims to confirm decision-maker.</w:t>
      </w:r>
    </w:p>
    <w:p>
      <w:pPr>
        <w:spacing w:before="120" w:after="20"/>
      </w:pPr>
      <w:r>
        <w:rPr>
          <w:b/>
          <w:color w:val="1A1A1A"/>
          <w:sz w:val="23"/>
        </w:rPr>
        <w:t>Electronic Health Records (EHR / EMR)</w:t>
      </w:r>
    </w:p>
    <w:p>
      <w:pPr>
        <w:spacing w:after="20"/>
      </w:pPr>
      <w:r>
        <w:rPr>
          <w:b/>
          <w:sz w:val="21"/>
        </w:rPr>
        <w:t xml:space="preserve">What it is: </w:t>
      </w:r>
      <w:r>
        <w:rPr>
          <w:sz w:val="21"/>
        </w:rPr>
        <w:t>Structured clinical data extracted from hospital and oncology EHR systems — labs, vitals, biomarkers, performance status, oncology-specific structured fields like response and progression. Often paired with abstracted unstructured notes.</w:t>
      </w:r>
    </w:p>
    <w:p>
      <w:pPr>
        <w:spacing w:after="20"/>
      </w:pPr>
      <w:r>
        <w:rPr>
          <w:b/>
          <w:sz w:val="21"/>
        </w:rPr>
        <w:t xml:space="preserve">Vendors: </w:t>
      </w:r>
      <w:r>
        <w:rPr>
          <w:sz w:val="21"/>
        </w:rPr>
        <w:t>Flatiron Health (oncology), ConcertAI (oncology + heme/onc), Tempus (oncology + genomics), Veeva Link / OPEN Health, Datavant Trio, Truveta, Epic Cosmos (Epic-only).</w:t>
      </w:r>
    </w:p>
    <w:p>
      <w:pPr>
        <w:spacing w:after="20"/>
      </w:pPr>
      <w:r>
        <w:rPr>
          <w:b/>
          <w:sz w:val="21"/>
        </w:rPr>
        <w:t xml:space="preserve">Granularity: </w:t>
      </w:r>
      <w:r>
        <w:rPr>
          <w:sz w:val="21"/>
        </w:rPr>
        <w:t>Patient × encounter × structured field. Note abstraction layered on top.</w:t>
      </w:r>
    </w:p>
    <w:p>
      <w:pPr>
        <w:spacing w:after="20"/>
      </w:pPr>
      <w:r>
        <w:rPr>
          <w:b/>
          <w:sz w:val="21"/>
        </w:rPr>
        <w:t xml:space="preserve">Latency: </w:t>
      </w:r>
      <w:r>
        <w:rPr>
          <w:sz w:val="21"/>
        </w:rPr>
        <w:t>Quarterly refresh is typical for oncology RWD products; monthly for specialty programs.</w:t>
      </w:r>
    </w:p>
    <w:p>
      <w:pPr>
        <w:spacing w:after="20"/>
      </w:pPr>
      <w:r>
        <w:rPr>
          <w:b/>
          <w:sz w:val="21"/>
        </w:rPr>
        <w:t xml:space="preserve">Common use cases: </w:t>
      </w:r>
    </w:p>
    <w:p>
      <w:pPr>
        <w:pStyle w:val="ListBullet"/>
        <w:spacing w:after="20"/>
        <w:ind w:left="360"/>
      </w:pPr>
      <w:r>
        <w:rPr>
          <w:sz w:val="21"/>
        </w:rPr>
        <w:t>RWE for FDA submissions and HEOR.</w:t>
      </w:r>
    </w:p>
    <w:p>
      <w:pPr>
        <w:pStyle w:val="ListBullet"/>
        <w:spacing w:after="20"/>
        <w:ind w:left="360"/>
      </w:pPr>
      <w:r>
        <w:rPr>
          <w:sz w:val="21"/>
        </w:rPr>
        <w:t>Precision-medicine cohorts (biomarker-positive patients).</w:t>
      </w:r>
    </w:p>
    <w:p>
      <w:pPr>
        <w:pStyle w:val="ListBullet"/>
        <w:spacing w:after="20"/>
        <w:ind w:left="360"/>
      </w:pPr>
      <w:r>
        <w:rPr>
          <w:sz w:val="21"/>
        </w:rPr>
        <w:t>Outcomes (response rate, PFS, OS) which claims cannot answer.</w:t>
      </w:r>
    </w:p>
    <w:p>
      <w:pPr>
        <w:pStyle w:val="ListBullet"/>
        <w:spacing w:after="20"/>
        <w:ind w:left="360"/>
      </w:pPr>
      <w:r>
        <w:rPr>
          <w:sz w:val="21"/>
        </w:rPr>
        <w:t>Site-of-care and academic vs. community segmentation.</w:t>
      </w:r>
    </w:p>
    <w:p>
      <w:pPr>
        <w:spacing w:after="20"/>
      </w:pPr>
      <w:r>
        <w:rPr>
          <w:b/>
          <w:color w:val="C0392B"/>
          <w:sz w:val="21"/>
        </w:rPr>
        <w:t xml:space="preserve">Gotchas: </w:t>
      </w:r>
    </w:p>
    <w:p>
      <w:pPr>
        <w:pStyle w:val="ListBullet"/>
        <w:spacing w:after="20"/>
        <w:ind w:left="360"/>
      </w:pPr>
      <w:r>
        <w:rPr>
          <w:sz w:val="21"/>
        </w:rPr>
        <w:t>EHR data favors academic/large IDN sites — community oncology is under-represented in oncology RWD products.</w:t>
      </w:r>
    </w:p>
    <w:p>
      <w:pPr>
        <w:pStyle w:val="ListBullet"/>
        <w:spacing w:after="20"/>
        <w:ind w:left="360"/>
      </w:pPr>
      <w:r>
        <w:rPr>
          <w:sz w:val="21"/>
        </w:rPr>
        <w:t>"Date of diagnosis" in EHR rarely matches the first claim date; expect 60–180 day deltas.</w:t>
      </w:r>
    </w:p>
    <w:p>
      <w:pPr>
        <w:pStyle w:val="ListBullet"/>
        <w:spacing w:after="20"/>
        <w:ind w:left="360"/>
      </w:pPr>
      <w:r>
        <w:rPr>
          <w:sz w:val="21"/>
        </w:rPr>
        <w:t>Custom fields that differ across EHR instances cause heterogeneity — even within Flatiron different sites code things differently.</w:t>
      </w:r>
    </w:p>
    <w:p>
      <w:pPr>
        <w:pStyle w:val="ListBullet"/>
        <w:spacing w:after="20"/>
        <w:ind w:left="360"/>
      </w:pPr>
      <w:r>
        <w:rPr>
          <w:sz w:val="21"/>
        </w:rPr>
        <w:t>Cost is meaningful — oncology EHR contracts are routinely 7-figure annual.</w:t>
      </w:r>
    </w:p>
    <w:p>
      <w:pPr>
        <w:spacing w:before="120" w:after="20"/>
      </w:pPr>
      <w:r>
        <w:rPr>
          <w:b/>
          <w:color w:val="1A1A1A"/>
          <w:sz w:val="23"/>
        </w:rPr>
        <w:t>Lab &amp; Diagnostic Data</w:t>
      </w:r>
    </w:p>
    <w:p>
      <w:pPr>
        <w:spacing w:after="20"/>
      </w:pPr>
      <w:r>
        <w:rPr>
          <w:b/>
          <w:sz w:val="21"/>
        </w:rPr>
        <w:t xml:space="preserve">What it is: </w:t>
      </w:r>
      <w:r>
        <w:rPr>
          <w:sz w:val="21"/>
        </w:rPr>
        <w:t>Lab values (hematology, chemistry, biomarkers, pathology) sourced from reference labs. Often more clinically rich than claims for diagnosis confirmation and disease staging.</w:t>
      </w:r>
    </w:p>
    <w:p>
      <w:pPr>
        <w:spacing w:after="20"/>
      </w:pPr>
      <w:r>
        <w:rPr>
          <w:b/>
          <w:sz w:val="21"/>
        </w:rPr>
        <w:t xml:space="preserve">Vendors: </w:t>
      </w:r>
      <w:r>
        <w:rPr>
          <w:sz w:val="21"/>
        </w:rPr>
        <w:t>Quest Diagnostics, LabCorp/Pixel, Tempus, Foundation Medicine, Caris Life Sciences, Trapelo, GenomOncology.</w:t>
      </w:r>
    </w:p>
    <w:p>
      <w:pPr>
        <w:spacing w:after="20"/>
      </w:pPr>
      <w:r>
        <w:rPr>
          <w:b/>
          <w:sz w:val="21"/>
        </w:rPr>
        <w:t xml:space="preserve">Granularity: </w:t>
      </w:r>
      <w:r>
        <w:rPr>
          <w:sz w:val="21"/>
        </w:rPr>
        <w:t>Patient × lab order × test code × result.</w:t>
      </w:r>
    </w:p>
    <w:p>
      <w:pPr>
        <w:spacing w:after="20"/>
      </w:pPr>
      <w:r>
        <w:rPr>
          <w:b/>
          <w:sz w:val="21"/>
        </w:rPr>
        <w:t xml:space="preserve">Latency: </w:t>
      </w:r>
      <w:r>
        <w:rPr>
          <w:sz w:val="21"/>
        </w:rPr>
        <w:t>Days to weeks.</w:t>
      </w:r>
    </w:p>
    <w:p>
      <w:pPr>
        <w:spacing w:after="20"/>
      </w:pPr>
      <w:r>
        <w:rPr>
          <w:b/>
          <w:sz w:val="21"/>
        </w:rPr>
        <w:t xml:space="preserve">Common use cases: </w:t>
      </w:r>
    </w:p>
    <w:p>
      <w:pPr>
        <w:pStyle w:val="ListBullet"/>
        <w:spacing w:after="20"/>
        <w:ind w:left="360"/>
      </w:pPr>
      <w:r>
        <w:rPr>
          <w:sz w:val="21"/>
        </w:rPr>
        <w:t>Confirming a diagnosis suggested by claims (e.g., HbA1c &gt;= 6.5 confirms diabetes).</w:t>
      </w:r>
    </w:p>
    <w:p>
      <w:pPr>
        <w:pStyle w:val="ListBullet"/>
        <w:spacing w:after="20"/>
        <w:ind w:left="360"/>
      </w:pPr>
      <w:r>
        <w:rPr>
          <w:sz w:val="21"/>
        </w:rPr>
        <w:t>Biomarker testing rate and result distribution (NGS, IHC, FISH).</w:t>
      </w:r>
    </w:p>
    <w:p>
      <w:pPr>
        <w:pStyle w:val="ListBullet"/>
        <w:spacing w:after="20"/>
        <w:ind w:left="360"/>
      </w:pPr>
      <w:r>
        <w:rPr>
          <w:sz w:val="21"/>
        </w:rPr>
        <w:t>Patient stratification for precision-medicine launch.</w:t>
      </w:r>
    </w:p>
    <w:p>
      <w:pPr>
        <w:pStyle w:val="ListBullet"/>
        <w:spacing w:after="20"/>
        <w:ind w:left="360"/>
      </w:pPr>
      <w:r>
        <w:rPr>
          <w:sz w:val="21"/>
        </w:rPr>
        <w:t>Test-to-treat funnel analysis.</w:t>
      </w:r>
    </w:p>
    <w:p>
      <w:pPr>
        <w:spacing w:after="20"/>
      </w:pPr>
      <w:r>
        <w:rPr>
          <w:b/>
          <w:color w:val="C0392B"/>
          <w:sz w:val="21"/>
        </w:rPr>
        <w:t xml:space="preserve">Gotchas: </w:t>
      </w:r>
    </w:p>
    <w:p>
      <w:pPr>
        <w:pStyle w:val="ListBullet"/>
        <w:spacing w:after="20"/>
        <w:ind w:left="360"/>
      </w:pPr>
      <w:r>
        <w:rPr>
          <w:sz w:val="21"/>
        </w:rPr>
        <w:t>Labs done in-hospital often do NOT appear in reference-lab feeds.</w:t>
      </w:r>
    </w:p>
    <w:p>
      <w:pPr>
        <w:pStyle w:val="ListBullet"/>
        <w:spacing w:after="20"/>
        <w:ind w:left="360"/>
      </w:pPr>
      <w:r>
        <w:rPr>
          <w:sz w:val="21"/>
        </w:rPr>
        <w:t>Result format varies (text, numeric, qualitative) — normalize before any analysis.</w:t>
      </w:r>
    </w:p>
    <w:p>
      <w:pPr>
        <w:pStyle w:val="ListBullet"/>
        <w:spacing w:after="20"/>
        <w:ind w:left="360"/>
      </w:pPr>
      <w:r>
        <w:rPr>
          <w:sz w:val="21"/>
        </w:rPr>
        <w:t>Lab vendor coverage is geographic and specialty-driven; combine 2–3 labs to triangulate biomarker rates.</w:t>
      </w:r>
    </w:p>
    <w:p>
      <w:pPr>
        <w:spacing w:before="120" w:after="20"/>
      </w:pPr>
      <w:r>
        <w:rPr>
          <w:b/>
          <w:color w:val="1A1A1A"/>
          <w:sz w:val="23"/>
        </w:rPr>
        <w:t>Specialty Pharmacy &amp; Hub Data</w:t>
      </w:r>
    </w:p>
    <w:p>
      <w:pPr>
        <w:spacing w:after="20"/>
      </w:pPr>
      <w:r>
        <w:rPr>
          <w:b/>
          <w:sz w:val="21"/>
        </w:rPr>
        <w:t xml:space="preserve">What it is: </w:t>
      </w:r>
      <w:r>
        <w:rPr>
          <w:sz w:val="21"/>
        </w:rPr>
        <w:t>Specialty pharmacies (SPs) dispense most high-touch specialty drugs (oncology, autoimmune, rare). Hub services manage benefits investigation, patient assistance, and copay support. Both produce rich, drug-specific data — usually only available to the manufacturer of that drug.</w:t>
      </w:r>
    </w:p>
    <w:p>
      <w:pPr>
        <w:spacing w:after="20"/>
      </w:pPr>
      <w:r>
        <w:rPr>
          <w:b/>
          <w:sz w:val="21"/>
        </w:rPr>
        <w:t xml:space="preserve">Vendors: </w:t>
      </w:r>
      <w:r>
        <w:rPr>
          <w:sz w:val="21"/>
        </w:rPr>
        <w:t>AllianceRx Walgreens, Accredo (Express Scripts), CVS Specialty, Optum Specialty, Kroger Specialty, Lash Group (Hub services), TrialCard, Cardinal Sonexus, AssistRx.</w:t>
      </w:r>
    </w:p>
    <w:p>
      <w:pPr>
        <w:spacing w:after="20"/>
      </w:pPr>
      <w:r>
        <w:rPr>
          <w:b/>
          <w:sz w:val="21"/>
        </w:rPr>
        <w:t xml:space="preserve">Granularity: </w:t>
      </w:r>
      <w:r>
        <w:rPr>
          <w:sz w:val="21"/>
        </w:rPr>
        <w:t>Patient × Rx × benefits investigation step × dispense × payment source.</w:t>
      </w:r>
    </w:p>
    <w:p>
      <w:pPr>
        <w:spacing w:after="20"/>
      </w:pPr>
      <w:r>
        <w:rPr>
          <w:b/>
          <w:sz w:val="21"/>
        </w:rPr>
        <w:t xml:space="preserve">Latency: </w:t>
      </w:r>
      <w:r>
        <w:rPr>
          <w:sz w:val="21"/>
        </w:rPr>
        <w:t>Real-time to weekly.</w:t>
      </w:r>
    </w:p>
    <w:p>
      <w:pPr>
        <w:spacing w:after="20"/>
      </w:pPr>
      <w:r>
        <w:rPr>
          <w:b/>
          <w:sz w:val="21"/>
        </w:rPr>
        <w:t xml:space="preserve">Common use cases: </w:t>
      </w:r>
    </w:p>
    <w:p>
      <w:pPr>
        <w:pStyle w:val="ListBullet"/>
        <w:spacing w:after="20"/>
        <w:ind w:left="360"/>
      </w:pPr>
      <w:r>
        <w:rPr>
          <w:sz w:val="21"/>
        </w:rPr>
        <w:t>Time-to-fill (Rx written → drug in patient's hands).</w:t>
      </w:r>
    </w:p>
    <w:p>
      <w:pPr>
        <w:pStyle w:val="ListBullet"/>
        <w:spacing w:after="20"/>
        <w:ind w:left="360"/>
      </w:pPr>
      <w:r>
        <w:rPr>
          <w:sz w:val="21"/>
        </w:rPr>
        <w:t>Reasons for abandonment / never-start.</w:t>
      </w:r>
    </w:p>
    <w:p>
      <w:pPr>
        <w:pStyle w:val="ListBullet"/>
        <w:spacing w:after="20"/>
        <w:ind w:left="360"/>
      </w:pPr>
      <w:r>
        <w:rPr>
          <w:sz w:val="21"/>
        </w:rPr>
        <w:t>Copay assistance utilization and net price realization.</w:t>
      </w:r>
    </w:p>
    <w:p>
      <w:pPr>
        <w:pStyle w:val="ListBullet"/>
        <w:spacing w:after="20"/>
        <w:ind w:left="360"/>
      </w:pPr>
      <w:r>
        <w:rPr>
          <w:sz w:val="21"/>
        </w:rPr>
        <w:t>Specialty pharmacy network optimization (which SPs to designate).</w:t>
      </w:r>
    </w:p>
    <w:p>
      <w:pPr>
        <w:spacing w:after="20"/>
      </w:pPr>
      <w:r>
        <w:rPr>
          <w:b/>
          <w:color w:val="C0392B"/>
          <w:sz w:val="21"/>
        </w:rPr>
        <w:t xml:space="preserve">Gotchas: </w:t>
      </w:r>
    </w:p>
    <w:p>
      <w:pPr>
        <w:pStyle w:val="ListBullet"/>
        <w:spacing w:after="20"/>
        <w:ind w:left="360"/>
      </w:pPr>
      <w:r>
        <w:rPr>
          <w:sz w:val="21"/>
        </w:rPr>
        <w:t>Hub data is brand-specific — only your own brand's data is available, never competitors'.</w:t>
      </w:r>
    </w:p>
    <w:p>
      <w:pPr>
        <w:pStyle w:val="ListBullet"/>
        <w:spacing w:after="20"/>
        <w:ind w:left="360"/>
      </w:pPr>
      <w:r>
        <w:rPr>
          <w:sz w:val="21"/>
        </w:rPr>
        <w:t>Highly proprietary; cannot be shared outside the manufacturer's commercial team without contractual review.</w:t>
      </w:r>
    </w:p>
    <w:p>
      <w:pPr>
        <w:pStyle w:val="ListBullet"/>
        <w:spacing w:after="20"/>
        <w:ind w:left="360"/>
      </w:pPr>
      <w:r>
        <w:rPr>
          <w:sz w:val="21"/>
        </w:rPr>
        <w:t>Free goods and bridge supply programs distort sales numbers when not flagged.</w:t>
      </w:r>
    </w:p>
    <w:p>
      <w:pPr>
        <w:spacing w:before="280" w:after="80"/>
        <w:pBdr>
          <w:bottom w:val="single" w:sz="8" w:space="1" w:color="0B3D91"/>
        </w:pBdr>
      </w:pPr>
      <w:r>
        <w:rPr>
          <w:b/>
          <w:color w:val="0B3D91"/>
          <w:sz w:val="30"/>
        </w:rPr>
        <w:t>2. Prescriber &amp; HCO Reference Data</w:t>
      </w:r>
    </w:p>
    <w:p>
      <w:pPr>
        <w:spacing w:after="60"/>
      </w:pPr>
      <w:r>
        <w:rPr>
          <w:b w:val="0"/>
          <w:i w:val="0"/>
          <w:color w:val="1A1A1A"/>
          <w:sz w:val="21"/>
        </w:rPr>
        <w:t>Reference data — the metadata that turns a string of NPIs into people, places, and affiliations. Quietly the most under-invested-in category in pharma commercial. A bad HCP master file makes every downstream analysis quietly wrong.</w:t>
      </w:r>
    </w:p>
    <w:p>
      <w:pPr>
        <w:spacing w:before="120" w:after="20"/>
      </w:pPr>
      <w:r>
        <w:rPr>
          <w:b/>
          <w:color w:val="1A1A1A"/>
          <w:sz w:val="23"/>
        </w:rPr>
        <w:t>HCP Master (NPI registry + commercial overlay)</w:t>
      </w:r>
    </w:p>
    <w:p>
      <w:pPr>
        <w:spacing w:after="20"/>
      </w:pPr>
      <w:r>
        <w:rPr>
          <w:b/>
          <w:sz w:val="21"/>
        </w:rPr>
        <w:t xml:space="preserve">What it is: </w:t>
      </w:r>
      <w:r>
        <w:rPr>
          <w:sz w:val="21"/>
        </w:rPr>
        <w:t>Authoritative registry of every healthcare professional in the US — name, NPI, specialty, primary practice address, DEA number, affiliations. Built on top of the public NPPES NPI registry, with commercial enrichment for specialty taxonomy, addresses, and engagement permissions.</w:t>
      </w:r>
    </w:p>
    <w:p>
      <w:pPr>
        <w:spacing w:after="20"/>
      </w:pPr>
      <w:r>
        <w:rPr>
          <w:b/>
          <w:sz w:val="21"/>
        </w:rPr>
        <w:t xml:space="preserve">Vendors: </w:t>
      </w:r>
      <w:r>
        <w:rPr>
          <w:sz w:val="21"/>
        </w:rPr>
        <w:t>Definitive Healthcare, IQVIA OneKey, Veeva OpenData, SK&amp;A (now part of IQVIA), Clarivate Cortellis Provider, NPPES (free, public).</w:t>
      </w:r>
    </w:p>
    <w:p>
      <w:pPr>
        <w:spacing w:after="20"/>
      </w:pPr>
      <w:r>
        <w:rPr>
          <w:b/>
          <w:sz w:val="21"/>
        </w:rPr>
        <w:t xml:space="preserve">Granularity: </w:t>
      </w:r>
      <w:r>
        <w:rPr>
          <w:sz w:val="21"/>
        </w:rPr>
        <w:t>One row per HCP × practice location × specialty.</w:t>
      </w:r>
    </w:p>
    <w:p>
      <w:pPr>
        <w:spacing w:after="20"/>
      </w:pPr>
      <w:r>
        <w:rPr>
          <w:b/>
          <w:sz w:val="21"/>
        </w:rPr>
        <w:t xml:space="preserve">Latency: </w:t>
      </w:r>
      <w:r>
        <w:rPr>
          <w:sz w:val="21"/>
        </w:rPr>
        <w:t>Monthly refresh; NPPES is daily but raw.</w:t>
      </w:r>
    </w:p>
    <w:p>
      <w:pPr>
        <w:spacing w:after="20"/>
      </w:pPr>
      <w:r>
        <w:rPr>
          <w:b/>
          <w:sz w:val="21"/>
        </w:rPr>
        <w:t xml:space="preserve">Common use cases: </w:t>
      </w:r>
    </w:p>
    <w:p>
      <w:pPr>
        <w:pStyle w:val="ListBullet"/>
        <w:spacing w:after="20"/>
        <w:ind w:left="360"/>
      </w:pPr>
      <w:r>
        <w:rPr>
          <w:sz w:val="21"/>
        </w:rPr>
        <w:t>Targeting universe definition: who are our reachable prescribers?</w:t>
      </w:r>
    </w:p>
    <w:p>
      <w:pPr>
        <w:pStyle w:val="ListBullet"/>
        <w:spacing w:after="20"/>
        <w:ind w:left="360"/>
      </w:pPr>
      <w:r>
        <w:rPr>
          <w:sz w:val="21"/>
        </w:rPr>
        <w:t>Specialty filters for promotion (e.g., only oncologists for an oncology brand).</w:t>
      </w:r>
    </w:p>
    <w:p>
      <w:pPr>
        <w:pStyle w:val="ListBullet"/>
        <w:spacing w:after="20"/>
        <w:ind w:left="360"/>
      </w:pPr>
      <w:r>
        <w:rPr>
          <w:sz w:val="21"/>
        </w:rPr>
        <w:t>Affiliation crosswalk: which HCPs work at which IDNs/health systems.</w:t>
      </w:r>
    </w:p>
    <w:p>
      <w:pPr>
        <w:spacing w:after="20"/>
      </w:pPr>
      <w:r>
        <w:rPr>
          <w:b/>
          <w:color w:val="C0392B"/>
          <w:sz w:val="21"/>
        </w:rPr>
        <w:t xml:space="preserve">Gotchas: </w:t>
      </w:r>
    </w:p>
    <w:p>
      <w:pPr>
        <w:pStyle w:val="ListBullet"/>
        <w:spacing w:after="20"/>
        <w:ind w:left="360"/>
      </w:pPr>
      <w:r>
        <w:rPr>
          <w:sz w:val="21"/>
        </w:rPr>
        <w:t>Free NPPES is the source of truth for the NPI itself — but its specialty taxonomy is unreliable; commercial vendors clean it.</w:t>
      </w:r>
    </w:p>
    <w:p>
      <w:pPr>
        <w:pStyle w:val="ListBullet"/>
        <w:spacing w:after="20"/>
        <w:ind w:left="360"/>
      </w:pPr>
      <w:r>
        <w:rPr>
          <w:sz w:val="21"/>
        </w:rPr>
        <w:t>An HCP can have 5+ practice addresses; pick a primary deliberately.</w:t>
      </w:r>
    </w:p>
    <w:p>
      <w:pPr>
        <w:pStyle w:val="ListBullet"/>
        <w:spacing w:after="20"/>
        <w:ind w:left="360"/>
      </w:pPr>
      <w:r>
        <w:rPr>
          <w:sz w:val="21"/>
        </w:rPr>
        <w:t>DEA number is required to ID drug prescribers for controlled substances; it is not on NPPES.</w:t>
      </w:r>
    </w:p>
    <w:p>
      <w:pPr>
        <w:pStyle w:val="ListBullet"/>
        <w:spacing w:after="20"/>
        <w:ind w:left="360"/>
      </w:pPr>
      <w:r>
        <w:rPr>
          <w:sz w:val="21"/>
        </w:rPr>
        <w:t>Engagement permissions (do-not-promote flags) live in a separate consent system — do not assume an HCP can be marketed to just because they're in the master.</w:t>
      </w:r>
    </w:p>
    <w:p>
      <w:pPr>
        <w:spacing w:before="120" w:after="20"/>
      </w:pPr>
      <w:r>
        <w:rPr>
          <w:b/>
          <w:color w:val="1A1A1A"/>
          <w:sz w:val="23"/>
        </w:rPr>
        <w:t>HCO Master (Hospitals, IDNs, Group Practices)</w:t>
      </w:r>
    </w:p>
    <w:p>
      <w:pPr>
        <w:spacing w:after="20"/>
      </w:pPr>
      <w:r>
        <w:rPr>
          <w:b/>
          <w:sz w:val="21"/>
        </w:rPr>
        <w:t xml:space="preserve">What it is: </w:t>
      </w:r>
      <w:r>
        <w:rPr>
          <w:sz w:val="21"/>
        </w:rPr>
        <w:t>Reference of every healthcare organization in the US — hospitals, integrated delivery networks, group practices, ASCs. Includes affiliations between HCPs and HCOs and parent-child structures.</w:t>
      </w:r>
    </w:p>
    <w:p>
      <w:pPr>
        <w:spacing w:after="20"/>
      </w:pPr>
      <w:r>
        <w:rPr>
          <w:b/>
          <w:sz w:val="21"/>
        </w:rPr>
        <w:t xml:space="preserve">Vendors: </w:t>
      </w:r>
      <w:r>
        <w:rPr>
          <w:sz w:val="21"/>
        </w:rPr>
        <w:t>Definitive Healthcare DACS, Veeva OpenData HCO, IQVIA OneKey, AHA Annual Survey, ONC Health IT Dashboard.</w:t>
      </w:r>
    </w:p>
    <w:p>
      <w:pPr>
        <w:spacing w:after="20"/>
      </w:pPr>
      <w:r>
        <w:rPr>
          <w:b/>
          <w:sz w:val="21"/>
        </w:rPr>
        <w:t xml:space="preserve">Granularity: </w:t>
      </w:r>
      <w:r>
        <w:rPr>
          <w:sz w:val="21"/>
        </w:rPr>
        <w:t>One row per HCO with parent/child links and HCP-affiliation tables.</w:t>
      </w:r>
    </w:p>
    <w:p>
      <w:pPr>
        <w:spacing w:after="20"/>
      </w:pPr>
      <w:r>
        <w:rPr>
          <w:b/>
          <w:sz w:val="21"/>
        </w:rPr>
        <w:t xml:space="preserve">Latency: </w:t>
      </w:r>
      <w:r>
        <w:rPr>
          <w:sz w:val="21"/>
        </w:rPr>
        <w:t>Monthly to quarterly.</w:t>
      </w:r>
    </w:p>
    <w:p>
      <w:pPr>
        <w:spacing w:after="20"/>
      </w:pPr>
      <w:r>
        <w:rPr>
          <w:b/>
          <w:sz w:val="21"/>
        </w:rPr>
        <w:t xml:space="preserve">Common use cases: </w:t>
      </w:r>
    </w:p>
    <w:p>
      <w:pPr>
        <w:pStyle w:val="ListBullet"/>
        <w:spacing w:after="20"/>
        <w:ind w:left="360"/>
      </w:pPr>
      <w:r>
        <w:rPr>
          <w:sz w:val="21"/>
        </w:rPr>
        <w:t>Account-based commercial models (selling to a 200-physician oncology IDN, not 200 HCPs).</w:t>
      </w:r>
    </w:p>
    <w:p>
      <w:pPr>
        <w:pStyle w:val="ListBullet"/>
        <w:spacing w:after="20"/>
        <w:ind w:left="360"/>
      </w:pPr>
      <w:r>
        <w:rPr>
          <w:sz w:val="21"/>
        </w:rPr>
        <w:t>Site-of-care strategy.</w:t>
      </w:r>
    </w:p>
    <w:p>
      <w:pPr>
        <w:pStyle w:val="ListBullet"/>
        <w:spacing w:after="20"/>
        <w:ind w:left="360"/>
      </w:pPr>
      <w:r>
        <w:rPr>
          <w:sz w:val="21"/>
        </w:rPr>
        <w:t>Pull-through after a P&amp;T committee decision.</w:t>
      </w:r>
    </w:p>
    <w:p>
      <w:pPr>
        <w:spacing w:after="20"/>
      </w:pPr>
      <w:r>
        <w:rPr>
          <w:b/>
          <w:color w:val="C0392B"/>
          <w:sz w:val="21"/>
        </w:rPr>
        <w:t xml:space="preserve">Gotchas: </w:t>
      </w:r>
    </w:p>
    <w:p>
      <w:pPr>
        <w:pStyle w:val="ListBullet"/>
        <w:spacing w:after="20"/>
        <w:ind w:left="360"/>
      </w:pPr>
      <w:r>
        <w:rPr>
          <w:sz w:val="21"/>
        </w:rPr>
        <w:t>M&amp;A in healthcare is constant — affiliation lists are stale on the day they're delivered.</w:t>
      </w:r>
    </w:p>
    <w:p>
      <w:pPr>
        <w:pStyle w:val="ListBullet"/>
        <w:spacing w:after="20"/>
        <w:ind w:left="360"/>
      </w:pPr>
      <w:r>
        <w:rPr>
          <w:sz w:val="21"/>
        </w:rPr>
        <w:t>Definitive and IQVIA disagree on ~10–15% of affiliations; pick one as your truth and document why.</w:t>
      </w:r>
    </w:p>
    <w:p>
      <w:pPr>
        <w:spacing w:before="280" w:after="80"/>
        <w:pBdr>
          <w:bottom w:val="single" w:sz="8" w:space="1" w:color="0B3D91"/>
        </w:pBdr>
      </w:pPr>
      <w:r>
        <w:rPr>
          <w:b/>
          <w:color w:val="0B3D91"/>
          <w:sz w:val="30"/>
        </w:rPr>
        <w:t>3. Promotion, Sales &amp; Projection Data</w:t>
      </w:r>
    </w:p>
    <w:p>
      <w:pPr>
        <w:spacing w:before="120" w:after="20"/>
      </w:pPr>
      <w:r>
        <w:rPr>
          <w:b/>
          <w:color w:val="1A1A1A"/>
          <w:sz w:val="23"/>
        </w:rPr>
        <w:t>Direct Distribution Data (DDD) / Wholesaler Data (852/867)</w:t>
      </w:r>
    </w:p>
    <w:p>
      <w:pPr>
        <w:spacing w:after="20"/>
      </w:pPr>
      <w:r>
        <w:rPr>
          <w:b/>
          <w:sz w:val="21"/>
        </w:rPr>
        <w:t xml:space="preserve">What it is: </w:t>
      </w:r>
      <w:r>
        <w:rPr>
          <w:sz w:val="21"/>
        </w:rPr>
        <w:t>EDI files (852 inventory, 867 sale-out) reported by wholesalers (and increasingly directly by SPs) showing units shipped from wholesaler to dispensing pharmacy or HCO. The closest thing to ground truth on units sold.</w:t>
      </w:r>
    </w:p>
    <w:p>
      <w:pPr>
        <w:spacing w:after="20"/>
      </w:pPr>
      <w:r>
        <w:rPr>
          <w:b/>
          <w:sz w:val="21"/>
        </w:rPr>
        <w:t xml:space="preserve">Vendors: </w:t>
      </w:r>
      <w:r>
        <w:rPr>
          <w:sz w:val="21"/>
        </w:rPr>
        <w:t>ValueCentric, IQVIA Distribution Data, manufacturer-direct from Cardinal/McKesson/AmerisourceBergen.</w:t>
      </w:r>
    </w:p>
    <w:p>
      <w:pPr>
        <w:spacing w:after="20"/>
      </w:pPr>
      <w:r>
        <w:rPr>
          <w:b/>
          <w:sz w:val="21"/>
        </w:rPr>
        <w:t xml:space="preserve">Granularity: </w:t>
      </w:r>
      <w:r>
        <w:rPr>
          <w:sz w:val="21"/>
        </w:rPr>
        <w:t>Customer (3-tier) × NDC × week.</w:t>
      </w:r>
    </w:p>
    <w:p>
      <w:pPr>
        <w:spacing w:after="20"/>
      </w:pPr>
      <w:r>
        <w:rPr>
          <w:b/>
          <w:sz w:val="21"/>
        </w:rPr>
        <w:t xml:space="preserve">Latency: </w:t>
      </w:r>
      <w:r>
        <w:rPr>
          <w:sz w:val="21"/>
        </w:rPr>
        <w:t>Daily to weekly.</w:t>
      </w:r>
    </w:p>
    <w:p>
      <w:pPr>
        <w:spacing w:after="20"/>
      </w:pPr>
      <w:r>
        <w:rPr>
          <w:b/>
          <w:sz w:val="21"/>
        </w:rPr>
        <w:t xml:space="preserve">Common use cases: </w:t>
      </w:r>
    </w:p>
    <w:p>
      <w:pPr>
        <w:pStyle w:val="ListBullet"/>
        <w:spacing w:after="20"/>
        <w:ind w:left="360"/>
      </w:pPr>
      <w:r>
        <w:rPr>
          <w:sz w:val="21"/>
        </w:rPr>
        <w:t>Sales tracking (total units, gross-to-net reconciliation).</w:t>
      </w:r>
    </w:p>
    <w:p>
      <w:pPr>
        <w:pStyle w:val="ListBullet"/>
        <w:spacing w:after="20"/>
        <w:ind w:left="360"/>
      </w:pPr>
      <w:r>
        <w:rPr>
          <w:sz w:val="21"/>
        </w:rPr>
        <w:t>Channel mix (retail vs. mail vs. specialty vs. hospital).</w:t>
      </w:r>
    </w:p>
    <w:p>
      <w:pPr>
        <w:pStyle w:val="ListBullet"/>
        <w:spacing w:after="20"/>
        <w:ind w:left="360"/>
      </w:pPr>
      <w:r>
        <w:rPr>
          <w:sz w:val="21"/>
        </w:rPr>
        <w:t>Market share validation against panel-projected Rx.</w:t>
      </w:r>
    </w:p>
    <w:p>
      <w:pPr>
        <w:spacing w:after="20"/>
      </w:pPr>
      <w:r>
        <w:rPr>
          <w:b/>
          <w:color w:val="C0392B"/>
          <w:sz w:val="21"/>
        </w:rPr>
        <w:t xml:space="preserve">Gotchas: </w:t>
      </w:r>
    </w:p>
    <w:p>
      <w:pPr>
        <w:pStyle w:val="ListBullet"/>
        <w:spacing w:after="20"/>
        <w:ind w:left="360"/>
      </w:pPr>
      <w:r>
        <w:rPr>
          <w:sz w:val="21"/>
        </w:rPr>
        <w:t>867 is sale-out from wholesaler (not from pharmacy); does not equal patient demand in any given week.</w:t>
      </w:r>
    </w:p>
    <w:p>
      <w:pPr>
        <w:pStyle w:val="ListBullet"/>
        <w:spacing w:after="20"/>
        <w:ind w:left="360"/>
      </w:pPr>
      <w:r>
        <w:rPr>
          <w:sz w:val="21"/>
        </w:rPr>
        <w:t>Returns and chargebacks come back later and create messy reconciliation cycles.</w:t>
      </w:r>
    </w:p>
    <w:p>
      <w:pPr>
        <w:pStyle w:val="ListBullet"/>
        <w:spacing w:after="20"/>
        <w:ind w:left="360"/>
      </w:pPr>
      <w:r>
        <w:rPr>
          <w:sz w:val="21"/>
        </w:rPr>
        <w:t>Wholesaler concentration in the US (Big 3 = 90%+) means 1 wholesaler missing equals significant gap.</w:t>
      </w:r>
    </w:p>
    <w:p>
      <w:pPr>
        <w:spacing w:before="120" w:after="20"/>
      </w:pPr>
      <w:r>
        <w:rPr>
          <w:b/>
          <w:color w:val="1A1A1A"/>
          <w:sz w:val="23"/>
        </w:rPr>
        <w:t>Projected Rx Data (Xponent / DDD / NPA)</w:t>
      </w:r>
    </w:p>
    <w:p>
      <w:pPr>
        <w:spacing w:after="20"/>
      </w:pPr>
      <w:r>
        <w:rPr>
          <w:b/>
          <w:sz w:val="21"/>
        </w:rPr>
        <w:t xml:space="preserve">What it is: </w:t>
      </w:r>
      <w:r>
        <w:rPr>
          <w:sz w:val="21"/>
        </w:rPr>
        <w:t>Vendor-projected weekly prescription counts by HCP, drug, geography. Projected from a panel of stores covering ~70-90% of US Rx volume.</w:t>
      </w:r>
    </w:p>
    <w:p>
      <w:pPr>
        <w:spacing w:after="20"/>
      </w:pPr>
      <w:r>
        <w:rPr>
          <w:b/>
          <w:sz w:val="21"/>
        </w:rPr>
        <w:t xml:space="preserve">Vendors: </w:t>
      </w:r>
      <w:r>
        <w:rPr>
          <w:sz w:val="21"/>
        </w:rPr>
        <w:t>IQVIA Xponent / NPA / NSP, Symphony Health Trio, Iqvia DDD.</w:t>
      </w:r>
    </w:p>
    <w:p>
      <w:pPr>
        <w:spacing w:after="20"/>
      </w:pPr>
      <w:r>
        <w:rPr>
          <w:b/>
          <w:sz w:val="21"/>
        </w:rPr>
        <w:t xml:space="preserve">Granularity: </w:t>
      </w:r>
      <w:r>
        <w:rPr>
          <w:sz w:val="21"/>
        </w:rPr>
        <w:t>HCP × drug × week × geography (zip3, MSA, territory).</w:t>
      </w:r>
    </w:p>
    <w:p>
      <w:pPr>
        <w:spacing w:after="20"/>
      </w:pPr>
      <w:r>
        <w:rPr>
          <w:b/>
          <w:sz w:val="21"/>
        </w:rPr>
        <w:t xml:space="preserve">Latency: </w:t>
      </w:r>
      <w:r>
        <w:rPr>
          <w:sz w:val="21"/>
        </w:rPr>
        <w:t>Weekly.</w:t>
      </w:r>
    </w:p>
    <w:p>
      <w:pPr>
        <w:spacing w:after="20"/>
      </w:pPr>
      <w:r>
        <w:rPr>
          <w:b/>
          <w:sz w:val="21"/>
        </w:rPr>
        <w:t xml:space="preserve">Common use cases: </w:t>
      </w:r>
    </w:p>
    <w:p>
      <w:pPr>
        <w:pStyle w:val="ListBullet"/>
        <w:spacing w:after="20"/>
        <w:ind w:left="360"/>
      </w:pPr>
      <w:r>
        <w:rPr>
          <w:sz w:val="21"/>
        </w:rPr>
        <w:t>Sales-force targeting and decile-based call planning.</w:t>
      </w:r>
    </w:p>
    <w:p>
      <w:pPr>
        <w:pStyle w:val="ListBullet"/>
        <w:spacing w:after="20"/>
        <w:ind w:left="360"/>
      </w:pPr>
      <w:r>
        <w:rPr>
          <w:sz w:val="21"/>
        </w:rPr>
        <w:t>Brand-level performance tracking against forecast.</w:t>
      </w:r>
    </w:p>
    <w:p>
      <w:pPr>
        <w:pStyle w:val="ListBullet"/>
        <w:spacing w:after="20"/>
        <w:ind w:left="360"/>
      </w:pPr>
      <w:r>
        <w:rPr>
          <w:sz w:val="21"/>
        </w:rPr>
        <w:t>Competitive intelligence on competitor brand growth.</w:t>
      </w:r>
    </w:p>
    <w:p>
      <w:pPr>
        <w:spacing w:after="20"/>
      </w:pPr>
      <w:r>
        <w:rPr>
          <w:b/>
          <w:color w:val="C0392B"/>
          <w:sz w:val="21"/>
        </w:rPr>
        <w:t xml:space="preserve">Gotchas: </w:t>
      </w:r>
    </w:p>
    <w:p>
      <w:pPr>
        <w:pStyle w:val="ListBullet"/>
        <w:spacing w:after="20"/>
        <w:ind w:left="360"/>
      </w:pPr>
      <w:r>
        <w:rPr>
          <w:sz w:val="21"/>
        </w:rPr>
        <w:t>Projection methodology differs by vendor — same week's TRx will differ by 2–8% across IQVIA and Symphony.</w:t>
      </w:r>
    </w:p>
    <w:p>
      <w:pPr>
        <w:pStyle w:val="ListBullet"/>
        <w:spacing w:after="20"/>
        <w:ind w:left="360"/>
      </w:pPr>
      <w:r>
        <w:rPr>
          <w:sz w:val="21"/>
        </w:rPr>
        <w:t>Long-tail HCPs have noisy projections; thresholds (e.g., minimum 5 Rx/quarter) are needed.</w:t>
      </w:r>
    </w:p>
    <w:p>
      <w:pPr>
        <w:pStyle w:val="ListBullet"/>
        <w:spacing w:after="20"/>
        <w:ind w:left="360"/>
      </w:pPr>
      <w:r>
        <w:rPr>
          <w:sz w:val="21"/>
        </w:rPr>
        <w:t>"Switch" reports are derived heuristics, not observed switches — confirm with longitudinal Rx (LRx).</w:t>
      </w:r>
    </w:p>
    <w:p>
      <w:pPr>
        <w:spacing w:before="280" w:after="80"/>
        <w:pBdr>
          <w:bottom w:val="single" w:sz="8" w:space="1" w:color="0B3D91"/>
        </w:pBdr>
      </w:pPr>
      <w:r>
        <w:rPr>
          <w:b/>
          <w:color w:val="0B3D91"/>
          <w:sz w:val="30"/>
        </w:rPr>
        <w:t>4. Payer &amp; Access Data</w:t>
      </w:r>
    </w:p>
    <w:p>
      <w:pPr>
        <w:spacing w:before="120" w:after="20"/>
      </w:pPr>
      <w:r>
        <w:rPr>
          <w:b/>
          <w:color w:val="1A1A1A"/>
          <w:sz w:val="23"/>
        </w:rPr>
        <w:t>Plan / Formulary Intelligence</w:t>
      </w:r>
    </w:p>
    <w:p>
      <w:pPr>
        <w:spacing w:after="20"/>
      </w:pPr>
      <w:r>
        <w:rPr>
          <w:b/>
          <w:sz w:val="21"/>
        </w:rPr>
        <w:t xml:space="preserve">What it is: </w:t>
      </w:r>
      <w:r>
        <w:rPr>
          <w:sz w:val="21"/>
        </w:rPr>
        <w:t>Payer plan structure, formulary tier placement, utilization management (prior auth, step therapy, quantity limits) by drug. Updated continuously as payers publish formulary changes.</w:t>
      </w:r>
    </w:p>
    <w:p>
      <w:pPr>
        <w:spacing w:after="20"/>
      </w:pPr>
      <w:r>
        <w:rPr>
          <w:b/>
          <w:sz w:val="21"/>
        </w:rPr>
        <w:t xml:space="preserve">Vendors: </w:t>
      </w:r>
      <w:r>
        <w:rPr>
          <w:sz w:val="21"/>
        </w:rPr>
        <w:t>MMIT (Norstella) Analytics — the de facto standard, Clarivate (DRG/CMR), Fingertip Formulary, Policy Reporter, Definitive Healthcare Payer.</w:t>
      </w:r>
    </w:p>
    <w:p>
      <w:pPr>
        <w:spacing w:after="20"/>
      </w:pPr>
      <w:r>
        <w:rPr>
          <w:b/>
          <w:sz w:val="21"/>
        </w:rPr>
        <w:t xml:space="preserve">Granularity: </w:t>
      </w:r>
      <w:r>
        <w:rPr>
          <w:sz w:val="21"/>
        </w:rPr>
        <w:t>Plan × drug × tier × utilization-management restrictions.</w:t>
      </w:r>
    </w:p>
    <w:p>
      <w:pPr>
        <w:spacing w:after="20"/>
      </w:pPr>
      <w:r>
        <w:rPr>
          <w:b/>
          <w:sz w:val="21"/>
        </w:rPr>
        <w:t xml:space="preserve">Latency: </w:t>
      </w:r>
      <w:r>
        <w:rPr>
          <w:sz w:val="21"/>
        </w:rPr>
        <w:t>Daily updates (rolling).</w:t>
      </w:r>
    </w:p>
    <w:p>
      <w:pPr>
        <w:spacing w:after="20"/>
      </w:pPr>
      <w:r>
        <w:rPr>
          <w:b/>
          <w:sz w:val="21"/>
        </w:rPr>
        <w:t xml:space="preserve">Common use cases: </w:t>
      </w:r>
    </w:p>
    <w:p>
      <w:pPr>
        <w:pStyle w:val="ListBullet"/>
        <w:spacing w:after="20"/>
        <w:ind w:left="360"/>
      </w:pPr>
      <w:r>
        <w:rPr>
          <w:sz w:val="21"/>
        </w:rPr>
        <w:t>Access-rate calculation: % of patients with covered, unrestricted access.</w:t>
      </w:r>
    </w:p>
    <w:p>
      <w:pPr>
        <w:pStyle w:val="ListBullet"/>
        <w:spacing w:after="20"/>
        <w:ind w:left="360"/>
      </w:pPr>
      <w:r>
        <w:rPr>
          <w:sz w:val="21"/>
        </w:rPr>
        <w:t>Pull-through analysis after a coverage win.</w:t>
      </w:r>
    </w:p>
    <w:p>
      <w:pPr>
        <w:pStyle w:val="ListBullet"/>
        <w:spacing w:after="20"/>
        <w:ind w:left="360"/>
      </w:pPr>
      <w:r>
        <w:rPr>
          <w:sz w:val="21"/>
        </w:rPr>
        <w:t>Targeting in MMIT-defined geographies based on payer mix.</w:t>
      </w:r>
    </w:p>
    <w:p>
      <w:pPr>
        <w:pStyle w:val="ListBullet"/>
        <w:spacing w:after="20"/>
        <w:ind w:left="360"/>
      </w:pPr>
      <w:r>
        <w:rPr>
          <w:sz w:val="21"/>
        </w:rPr>
        <w:t>Contracting strategy: which plans matter most for a given brand.</w:t>
      </w:r>
    </w:p>
    <w:p>
      <w:pPr>
        <w:spacing w:after="20"/>
      </w:pPr>
      <w:r>
        <w:rPr>
          <w:b/>
          <w:color w:val="C0392B"/>
          <w:sz w:val="21"/>
        </w:rPr>
        <w:t xml:space="preserve">Gotchas: </w:t>
      </w:r>
    </w:p>
    <w:p>
      <w:pPr>
        <w:pStyle w:val="ListBullet"/>
        <w:spacing w:after="20"/>
        <w:ind w:left="360"/>
      </w:pPr>
      <w:r>
        <w:rPr>
          <w:sz w:val="21"/>
        </w:rPr>
        <w:t>Plan ≠ payer ≠ PBM ≠ employer. Get the hierarchy right before any access analysis.</w:t>
      </w:r>
    </w:p>
    <w:p>
      <w:pPr>
        <w:pStyle w:val="ListBullet"/>
        <w:spacing w:after="20"/>
        <w:ind w:left="360"/>
      </w:pPr>
      <w:r>
        <w:rPr>
          <w:sz w:val="21"/>
        </w:rPr>
        <w:t>Medicare Part D has its own structure (formulary, coverage gap, LIS). Commercial logic doesn't apply.</w:t>
      </w:r>
    </w:p>
    <w:p>
      <w:pPr>
        <w:pStyle w:val="ListBullet"/>
        <w:spacing w:after="20"/>
        <w:ind w:left="360"/>
      </w:pPr>
      <w:r>
        <w:rPr>
          <w:sz w:val="21"/>
        </w:rPr>
        <w:t>PBMs publish formulary preferred lists, but the actual employer plan can deviate.</w:t>
      </w:r>
    </w:p>
    <w:p>
      <w:pPr>
        <w:spacing w:before="120" w:after="20"/>
      </w:pPr>
      <w:r>
        <w:rPr>
          <w:b/>
          <w:color w:val="1A1A1A"/>
          <w:sz w:val="23"/>
        </w:rPr>
        <w:t>Linked Plan + Claims Data (APLD)</w:t>
      </w:r>
    </w:p>
    <w:p>
      <w:pPr>
        <w:spacing w:after="20"/>
      </w:pPr>
      <w:r>
        <w:rPr>
          <w:b/>
          <w:sz w:val="21"/>
        </w:rPr>
        <w:t xml:space="preserve">What it is: </w:t>
      </w:r>
      <w:r>
        <w:rPr>
          <w:sz w:val="21"/>
        </w:rPr>
        <w:t>All-Payer Linked Data — claims linked at the plan level, allowing access-vs-utilization analyses for specific plans rather than aggregate market views.</w:t>
      </w:r>
    </w:p>
    <w:p>
      <w:pPr>
        <w:spacing w:after="20"/>
      </w:pPr>
      <w:r>
        <w:rPr>
          <w:b/>
          <w:sz w:val="21"/>
        </w:rPr>
        <w:t xml:space="preserve">Vendors: </w:t>
      </w:r>
      <w:r>
        <w:rPr>
          <w:sz w:val="21"/>
        </w:rPr>
        <w:t>MMIT Analytics + IQVIA, Clarivate, Komodo (with payer overlays).</w:t>
      </w:r>
    </w:p>
    <w:p>
      <w:pPr>
        <w:spacing w:after="20"/>
      </w:pPr>
      <w:r>
        <w:rPr>
          <w:b/>
          <w:sz w:val="21"/>
        </w:rPr>
        <w:t xml:space="preserve">Granularity: </w:t>
      </w:r>
      <w:r>
        <w:rPr>
          <w:sz w:val="21"/>
        </w:rPr>
        <w:t>Plan × patient × claim.</w:t>
      </w:r>
    </w:p>
    <w:p>
      <w:pPr>
        <w:spacing w:after="20"/>
      </w:pPr>
      <w:r>
        <w:rPr>
          <w:b/>
          <w:sz w:val="21"/>
        </w:rPr>
        <w:t xml:space="preserve">Latency: </w:t>
      </w:r>
      <w:r>
        <w:rPr>
          <w:sz w:val="21"/>
        </w:rPr>
        <w:t>Quarterly.</w:t>
      </w:r>
    </w:p>
    <w:p>
      <w:pPr>
        <w:spacing w:after="20"/>
      </w:pPr>
      <w:r>
        <w:rPr>
          <w:b/>
          <w:sz w:val="21"/>
        </w:rPr>
        <w:t xml:space="preserve">Common use cases: </w:t>
      </w:r>
    </w:p>
    <w:p>
      <w:pPr>
        <w:pStyle w:val="ListBullet"/>
        <w:spacing w:after="20"/>
        <w:ind w:left="360"/>
      </w:pPr>
      <w:r>
        <w:rPr>
          <w:sz w:val="21"/>
        </w:rPr>
        <w:t>Quantifying the lift from a coverage win at a specific PBM.</w:t>
      </w:r>
    </w:p>
    <w:p>
      <w:pPr>
        <w:pStyle w:val="ListBullet"/>
        <w:spacing w:after="20"/>
        <w:ind w:left="360"/>
      </w:pPr>
      <w:r>
        <w:rPr>
          <w:sz w:val="21"/>
        </w:rPr>
        <w:t>Diagnosing why coverage didn't translate into volume ("we won the formulary, why isn't the brand growing?").</w:t>
      </w:r>
    </w:p>
    <w:p>
      <w:pPr>
        <w:spacing w:after="20"/>
      </w:pPr>
      <w:r>
        <w:rPr>
          <w:b/>
          <w:color w:val="C0392B"/>
          <w:sz w:val="21"/>
        </w:rPr>
        <w:t xml:space="preserve">Gotchas: </w:t>
      </w:r>
    </w:p>
    <w:p>
      <w:pPr>
        <w:pStyle w:val="ListBullet"/>
        <w:spacing w:after="20"/>
        <w:ind w:left="360"/>
      </w:pPr>
      <w:r>
        <w:rPr>
          <w:sz w:val="21"/>
        </w:rPr>
        <w:t>Plan attribution in claims is imperfect — some patients show up under wrong plans because of intermediary claim handling.</w:t>
      </w:r>
    </w:p>
    <w:p>
      <w:pPr>
        <w:spacing w:before="280" w:after="80"/>
        <w:pBdr>
          <w:bottom w:val="single" w:sz="8" w:space="1" w:color="0B3D91"/>
        </w:pBdr>
      </w:pPr>
      <w:r>
        <w:rPr>
          <w:b/>
          <w:color w:val="0B3D91"/>
          <w:sz w:val="30"/>
        </w:rPr>
        <w:t>5. Marketing &amp; Engagement Data</w:t>
      </w:r>
    </w:p>
    <w:p>
      <w:pPr>
        <w:spacing w:before="120" w:after="20"/>
      </w:pPr>
      <w:r>
        <w:rPr>
          <w:b/>
          <w:color w:val="1A1A1A"/>
          <w:sz w:val="23"/>
        </w:rPr>
        <w:t>CRM / Field Activity Data</w:t>
      </w:r>
    </w:p>
    <w:p>
      <w:pPr>
        <w:spacing w:after="20"/>
      </w:pPr>
      <w:r>
        <w:rPr>
          <w:b/>
          <w:sz w:val="21"/>
        </w:rPr>
        <w:t xml:space="preserve">What it is: </w:t>
      </w:r>
      <w:r>
        <w:rPr>
          <w:sz w:val="21"/>
        </w:rPr>
        <w:t>Every interaction a sales rep has with an HCP — call, sample, lunch-and-learn, KOL meeting. Owned by the manufacturer; lives in the CRM.</w:t>
      </w:r>
    </w:p>
    <w:p>
      <w:pPr>
        <w:spacing w:after="20"/>
      </w:pPr>
      <w:r>
        <w:rPr>
          <w:b/>
          <w:sz w:val="21"/>
        </w:rPr>
        <w:t xml:space="preserve">Vendors: </w:t>
      </w:r>
      <w:r>
        <w:rPr>
          <w:sz w:val="21"/>
        </w:rPr>
        <w:t>Veeva CRM (&gt;70% pharma share), Salesforce Health Cloud, IQVIA OCE, Aktana (intelligence layer on top).</w:t>
      </w:r>
    </w:p>
    <w:p>
      <w:pPr>
        <w:spacing w:after="20"/>
      </w:pPr>
      <w:r>
        <w:rPr>
          <w:b/>
          <w:sz w:val="21"/>
        </w:rPr>
        <w:t xml:space="preserve">Granularity: </w:t>
      </w:r>
      <w:r>
        <w:rPr>
          <w:sz w:val="21"/>
        </w:rPr>
        <w:t>Rep × HCP × interaction × date × details.</w:t>
      </w:r>
    </w:p>
    <w:p>
      <w:pPr>
        <w:spacing w:after="20"/>
      </w:pPr>
      <w:r>
        <w:rPr>
          <w:b/>
          <w:sz w:val="21"/>
        </w:rPr>
        <w:t xml:space="preserve">Latency: </w:t>
      </w:r>
      <w:r>
        <w:rPr>
          <w:sz w:val="21"/>
        </w:rPr>
        <w:t>Real-time to next-day.</w:t>
      </w:r>
    </w:p>
    <w:p>
      <w:pPr>
        <w:spacing w:after="20"/>
      </w:pPr>
      <w:r>
        <w:rPr>
          <w:b/>
          <w:sz w:val="21"/>
        </w:rPr>
        <w:t xml:space="preserve">Common use cases: </w:t>
      </w:r>
    </w:p>
    <w:p>
      <w:pPr>
        <w:pStyle w:val="ListBullet"/>
        <w:spacing w:after="20"/>
        <w:ind w:left="360"/>
      </w:pPr>
      <w:r>
        <w:rPr>
          <w:sz w:val="21"/>
        </w:rPr>
        <w:t>Promotion response modeling: did calls drive Rx?</w:t>
      </w:r>
    </w:p>
    <w:p>
      <w:pPr>
        <w:pStyle w:val="ListBullet"/>
        <w:spacing w:after="20"/>
        <w:ind w:left="360"/>
      </w:pPr>
      <w:r>
        <w:rPr>
          <w:sz w:val="21"/>
        </w:rPr>
        <w:t>Targeting ROI: are we calling on the right HCPs?</w:t>
      </w:r>
    </w:p>
    <w:p>
      <w:pPr>
        <w:pStyle w:val="ListBullet"/>
        <w:spacing w:after="20"/>
        <w:ind w:left="360"/>
      </w:pPr>
      <w:r>
        <w:rPr>
          <w:sz w:val="21"/>
        </w:rPr>
        <w:t>Sample distribution analysis.</w:t>
      </w:r>
    </w:p>
    <w:p>
      <w:pPr>
        <w:pStyle w:val="ListBullet"/>
        <w:spacing w:after="20"/>
        <w:ind w:left="360"/>
      </w:pPr>
      <w:r>
        <w:rPr>
          <w:sz w:val="21"/>
        </w:rPr>
        <w:t>Detail-aid effectiveness.</w:t>
      </w:r>
    </w:p>
    <w:p>
      <w:pPr>
        <w:spacing w:after="20"/>
      </w:pPr>
      <w:r>
        <w:rPr>
          <w:b/>
          <w:color w:val="C0392B"/>
          <w:sz w:val="21"/>
        </w:rPr>
        <w:t xml:space="preserve">Gotchas: </w:t>
      </w:r>
    </w:p>
    <w:p>
      <w:pPr>
        <w:pStyle w:val="ListBullet"/>
        <w:spacing w:after="20"/>
        <w:ind w:left="360"/>
      </w:pPr>
      <w:r>
        <w:rPr>
          <w:sz w:val="21"/>
        </w:rPr>
        <w:t>Self-reported by reps — quality varies wildly. Reps over-report calls in low-performing territories near review time.</w:t>
      </w:r>
    </w:p>
    <w:p>
      <w:pPr>
        <w:pStyle w:val="ListBullet"/>
        <w:spacing w:after="20"/>
        <w:ind w:left="360"/>
      </w:pPr>
      <w:r>
        <w:rPr>
          <w:sz w:val="21"/>
        </w:rPr>
        <w:t>"Call" can mean a 30-second hallway interaction or an hour-long meeting — granularity matters.</w:t>
      </w:r>
    </w:p>
    <w:p>
      <w:pPr>
        <w:pStyle w:val="ListBullet"/>
        <w:spacing w:after="20"/>
        <w:ind w:left="360"/>
      </w:pPr>
      <w:r>
        <w:rPr>
          <w:sz w:val="21"/>
        </w:rPr>
        <w:t>MLR-approved content is metadata-rich; off-label discussions are deliberately not logged. Don't assume the CRM is the truth about what was said.</w:t>
      </w:r>
    </w:p>
    <w:p>
      <w:pPr>
        <w:spacing w:before="120" w:after="20"/>
      </w:pPr>
      <w:r>
        <w:rPr>
          <w:b/>
          <w:color w:val="1A1A1A"/>
          <w:sz w:val="23"/>
        </w:rPr>
        <w:t>Digital Engagement (Email, Web, Banner, Social)</w:t>
      </w:r>
    </w:p>
    <w:p>
      <w:pPr>
        <w:spacing w:after="20"/>
      </w:pPr>
      <w:r>
        <w:rPr>
          <w:b/>
          <w:sz w:val="21"/>
        </w:rPr>
        <w:t xml:space="preserve">What it is: </w:t>
      </w:r>
      <w:r>
        <w:rPr>
          <w:sz w:val="21"/>
        </w:rPr>
        <w:t>Marketing-ops data on every digital touchpoint — email opens/clicks, website visits, banner impressions, paid search clicks, social engagements. Owned by the manufacturer's marketing-tech stack.</w:t>
      </w:r>
    </w:p>
    <w:p>
      <w:pPr>
        <w:spacing w:after="20"/>
      </w:pPr>
      <w:r>
        <w:rPr>
          <w:b/>
          <w:sz w:val="21"/>
        </w:rPr>
        <w:t xml:space="preserve">Vendors: </w:t>
      </w:r>
      <w:r>
        <w:rPr>
          <w:sz w:val="21"/>
        </w:rPr>
        <w:t>Salesforce Marketing Cloud, Adobe Experience Cloud, Veeva Approved Email/Engage, Google Ads / DV360, Meta Ads, LinkedIn Marketing Solutions.</w:t>
      </w:r>
    </w:p>
    <w:p>
      <w:pPr>
        <w:spacing w:after="20"/>
      </w:pPr>
      <w:r>
        <w:rPr>
          <w:b/>
          <w:sz w:val="21"/>
        </w:rPr>
        <w:t xml:space="preserve">Granularity: </w:t>
      </w:r>
      <w:r>
        <w:rPr>
          <w:sz w:val="21"/>
        </w:rPr>
        <w:t>Send × open × click × visit; aggregated up to HCP/patient.</w:t>
      </w:r>
    </w:p>
    <w:p>
      <w:pPr>
        <w:spacing w:after="20"/>
      </w:pPr>
      <w:r>
        <w:rPr>
          <w:b/>
          <w:sz w:val="21"/>
        </w:rPr>
        <w:t xml:space="preserve">Latency: </w:t>
      </w:r>
      <w:r>
        <w:rPr>
          <w:sz w:val="21"/>
        </w:rPr>
        <w:t>Real-time.</w:t>
      </w:r>
    </w:p>
    <w:p>
      <w:pPr>
        <w:spacing w:after="20"/>
      </w:pPr>
      <w:r>
        <w:rPr>
          <w:b/>
          <w:sz w:val="21"/>
        </w:rPr>
        <w:t xml:space="preserve">Common use cases: </w:t>
      </w:r>
    </w:p>
    <w:p>
      <w:pPr>
        <w:pStyle w:val="ListBullet"/>
        <w:spacing w:after="20"/>
        <w:ind w:left="360"/>
      </w:pPr>
      <w:r>
        <w:rPr>
          <w:sz w:val="21"/>
        </w:rPr>
        <w:t>Multi-channel attribution.</w:t>
      </w:r>
    </w:p>
    <w:p>
      <w:pPr>
        <w:pStyle w:val="ListBullet"/>
        <w:spacing w:after="20"/>
        <w:ind w:left="360"/>
      </w:pPr>
      <w:r>
        <w:rPr>
          <w:sz w:val="21"/>
        </w:rPr>
        <w:t>Trigger-based outreach (HCP visited the dosing page → schedule rep call).</w:t>
      </w:r>
    </w:p>
    <w:p>
      <w:pPr>
        <w:pStyle w:val="ListBullet"/>
        <w:spacing w:after="20"/>
        <w:ind w:left="360"/>
      </w:pPr>
      <w:r>
        <w:rPr>
          <w:sz w:val="21"/>
        </w:rPr>
        <w:t>Email frequency / fatigue analysis.</w:t>
      </w:r>
    </w:p>
    <w:p>
      <w:pPr>
        <w:pStyle w:val="ListBullet"/>
        <w:spacing w:after="20"/>
        <w:ind w:left="360"/>
      </w:pPr>
      <w:r>
        <w:rPr>
          <w:sz w:val="21"/>
        </w:rPr>
        <w:t>Programmatic targeting based on first-party engagement.</w:t>
      </w:r>
    </w:p>
    <w:p>
      <w:pPr>
        <w:spacing w:after="20"/>
      </w:pPr>
      <w:r>
        <w:rPr>
          <w:b/>
          <w:color w:val="C0392B"/>
          <w:sz w:val="21"/>
        </w:rPr>
        <w:t xml:space="preserve">Gotchas: </w:t>
      </w:r>
    </w:p>
    <w:p>
      <w:pPr>
        <w:pStyle w:val="ListBullet"/>
        <w:spacing w:after="20"/>
        <w:ind w:left="360"/>
      </w:pPr>
      <w:r>
        <w:rPr>
          <w:sz w:val="21"/>
        </w:rPr>
        <w:t>Cookie deprecation has broken third-party tracking. First-party identifiers (NPI-keyed) are the reliable foundation.</w:t>
      </w:r>
    </w:p>
    <w:p>
      <w:pPr>
        <w:pStyle w:val="ListBullet"/>
        <w:spacing w:after="20"/>
        <w:ind w:left="360"/>
      </w:pPr>
      <w:r>
        <w:rPr>
          <w:sz w:val="21"/>
        </w:rPr>
        <w:t>Privacy regulations (HIPAA, state privacy laws) restrict what can be combined with patient data.</w:t>
      </w:r>
    </w:p>
    <w:p>
      <w:pPr>
        <w:pStyle w:val="ListBullet"/>
        <w:spacing w:after="20"/>
        <w:ind w:left="360"/>
      </w:pPr>
      <w:r>
        <w:rPr>
          <w:sz w:val="21"/>
        </w:rPr>
        <w:t>Bot traffic on banner impressions is endemic — viewability metrics matter.</w:t>
      </w:r>
    </w:p>
    <w:p>
      <w:pPr>
        <w:spacing w:before="280" w:after="80"/>
        <w:pBdr>
          <w:bottom w:val="single" w:sz="8" w:space="1" w:color="0B3D91"/>
        </w:pBdr>
      </w:pPr>
      <w:r>
        <w:rPr>
          <w:b/>
          <w:color w:val="0B3D91"/>
          <w:sz w:val="30"/>
        </w:rPr>
        <w:t>6. Genomics, Diagnostics &amp; Clinical Data</w:t>
      </w:r>
    </w:p>
    <w:p>
      <w:pPr>
        <w:spacing w:before="120" w:after="20"/>
      </w:pPr>
      <w:r>
        <w:rPr>
          <w:b/>
          <w:color w:val="1A1A1A"/>
          <w:sz w:val="23"/>
        </w:rPr>
        <w:t>Next-Generation Sequencing (NGS) &amp; Molecular Profiling</w:t>
      </w:r>
    </w:p>
    <w:p>
      <w:pPr>
        <w:spacing w:after="20"/>
      </w:pPr>
      <w:r>
        <w:rPr>
          <w:b/>
          <w:sz w:val="21"/>
        </w:rPr>
        <w:t xml:space="preserve">What it is: </w:t>
      </w:r>
      <w:r>
        <w:rPr>
          <w:sz w:val="21"/>
        </w:rPr>
        <w:t>Tumor profiling and germline-testing data — variant calls, biomarker status, mutational signatures, PD-L1, MSI, HRD, TMB. Often linked to clinical outcomes.</w:t>
      </w:r>
    </w:p>
    <w:p>
      <w:pPr>
        <w:spacing w:after="20"/>
      </w:pPr>
      <w:r>
        <w:rPr>
          <w:b/>
          <w:sz w:val="21"/>
        </w:rPr>
        <w:t xml:space="preserve">Vendors: </w:t>
      </w:r>
      <w:r>
        <w:rPr>
          <w:sz w:val="21"/>
        </w:rPr>
        <w:t>Foundation Medicine, Tempus, Caris Life Sciences, Guardant Health, Natera, Invitae, GeneDx.</w:t>
      </w:r>
    </w:p>
    <w:p>
      <w:pPr>
        <w:spacing w:after="20"/>
      </w:pPr>
      <w:r>
        <w:rPr>
          <w:b/>
          <w:sz w:val="21"/>
        </w:rPr>
        <w:t xml:space="preserve">Granularity: </w:t>
      </w:r>
      <w:r>
        <w:rPr>
          <w:sz w:val="21"/>
        </w:rPr>
        <w:t>Test × patient × variant × clinical context.</w:t>
      </w:r>
    </w:p>
    <w:p>
      <w:pPr>
        <w:spacing w:after="20"/>
      </w:pPr>
      <w:r>
        <w:rPr>
          <w:b/>
          <w:sz w:val="21"/>
        </w:rPr>
        <w:t xml:space="preserve">Latency: </w:t>
      </w:r>
      <w:r>
        <w:rPr>
          <w:sz w:val="21"/>
        </w:rPr>
        <w:t>Quarterly.</w:t>
      </w:r>
    </w:p>
    <w:p>
      <w:pPr>
        <w:spacing w:after="20"/>
      </w:pPr>
      <w:r>
        <w:rPr>
          <w:b/>
          <w:sz w:val="21"/>
        </w:rPr>
        <w:t xml:space="preserve">Common use cases: </w:t>
      </w:r>
    </w:p>
    <w:p>
      <w:pPr>
        <w:pStyle w:val="ListBullet"/>
        <w:spacing w:after="20"/>
        <w:ind w:left="360"/>
      </w:pPr>
      <w:r>
        <w:rPr>
          <w:sz w:val="21"/>
        </w:rPr>
        <w:t>Biomarker-positive patient sizing for precision medicine launches.</w:t>
      </w:r>
    </w:p>
    <w:p>
      <w:pPr>
        <w:pStyle w:val="ListBullet"/>
        <w:spacing w:after="20"/>
        <w:ind w:left="360"/>
      </w:pPr>
      <w:r>
        <w:rPr>
          <w:sz w:val="21"/>
        </w:rPr>
        <w:t>Test-to-treat funnel: how many tested → how many got the right targeted therapy.</w:t>
      </w:r>
    </w:p>
    <w:p>
      <w:pPr>
        <w:pStyle w:val="ListBullet"/>
        <w:spacing w:after="20"/>
        <w:ind w:left="360"/>
      </w:pPr>
      <w:r>
        <w:rPr>
          <w:sz w:val="21"/>
        </w:rPr>
        <w:t>Clinical-trial recruitment and pre-screening.</w:t>
      </w:r>
    </w:p>
    <w:p>
      <w:pPr>
        <w:spacing w:after="20"/>
      </w:pPr>
      <w:r>
        <w:rPr>
          <w:b/>
          <w:color w:val="C0392B"/>
          <w:sz w:val="21"/>
        </w:rPr>
        <w:t xml:space="preserve">Gotchas: </w:t>
      </w:r>
    </w:p>
    <w:p>
      <w:pPr>
        <w:pStyle w:val="ListBullet"/>
        <w:spacing w:after="20"/>
        <w:ind w:left="360"/>
      </w:pPr>
      <w:r>
        <w:rPr>
          <w:sz w:val="21"/>
        </w:rPr>
        <w:t>Coverage is uneven across geographies and labs — combine multiple sources to size a market.</w:t>
      </w:r>
    </w:p>
    <w:p>
      <w:pPr>
        <w:pStyle w:val="ListBullet"/>
        <w:spacing w:after="20"/>
        <w:ind w:left="360"/>
      </w:pPr>
      <w:r>
        <w:rPr>
          <w:sz w:val="21"/>
        </w:rPr>
        <w:t>Variant interpretation differs across labs; standardize against ClinVar / OncoKB.</w:t>
      </w:r>
    </w:p>
    <w:p>
      <w:pPr>
        <w:pStyle w:val="ListBullet"/>
        <w:spacing w:after="20"/>
        <w:ind w:left="360"/>
      </w:pPr>
      <w:r>
        <w:rPr>
          <w:sz w:val="21"/>
        </w:rPr>
        <w:t>Linkage to claims/EHR via tokens is necessary for outcomes work and is not free.</w:t>
      </w:r>
    </w:p>
    <w:p>
      <w:pPr>
        <w:spacing w:before="280" w:after="80"/>
        <w:pBdr>
          <w:bottom w:val="single" w:sz="8" w:space="1" w:color="0B3D91"/>
        </w:pBdr>
      </w:pPr>
      <w:r>
        <w:rPr>
          <w:b/>
          <w:color w:val="0B3D91"/>
          <w:sz w:val="30"/>
        </w:rPr>
        <w:t>7. Geography, SDOH, and Mortality</w:t>
      </w:r>
    </w:p>
    <w:p>
      <w:pPr>
        <w:spacing w:before="120" w:after="20"/>
      </w:pPr>
      <w:r>
        <w:rPr>
          <w:b/>
          <w:color w:val="1A1A1A"/>
          <w:sz w:val="23"/>
        </w:rPr>
        <w:t>Social Determinants of Health (SDOH)</w:t>
      </w:r>
    </w:p>
    <w:p>
      <w:pPr>
        <w:spacing w:after="20"/>
      </w:pPr>
      <w:r>
        <w:rPr>
          <w:b/>
          <w:sz w:val="21"/>
        </w:rPr>
        <w:t xml:space="preserve">What it is: </w:t>
      </w:r>
      <w:r>
        <w:rPr>
          <w:sz w:val="21"/>
        </w:rPr>
        <w:t>Patient/zip-level data on income, education, transportation, food security, housing — tied to clinical outcomes. Increasingly required for HEOR and equity-focused analyses.</w:t>
      </w:r>
    </w:p>
    <w:p>
      <w:pPr>
        <w:spacing w:after="20"/>
      </w:pPr>
      <w:r>
        <w:rPr>
          <w:b/>
          <w:sz w:val="21"/>
        </w:rPr>
        <w:t xml:space="preserve">Vendors: </w:t>
      </w:r>
      <w:r>
        <w:rPr>
          <w:sz w:val="21"/>
        </w:rPr>
        <w:t>Carrot Health (now Civic Health), Datavant SDOH, LexisNexis Risk Solutions, US Census ACS (free), USDA Food Access Atlas (free).</w:t>
      </w:r>
    </w:p>
    <w:p>
      <w:pPr>
        <w:spacing w:after="20"/>
      </w:pPr>
      <w:r>
        <w:rPr>
          <w:b/>
          <w:sz w:val="21"/>
        </w:rPr>
        <w:t xml:space="preserve">Granularity: </w:t>
      </w:r>
      <w:r>
        <w:rPr>
          <w:sz w:val="21"/>
        </w:rPr>
        <w:t>Patient (where licensed) or zip-9 / block group.</w:t>
      </w:r>
    </w:p>
    <w:p>
      <w:pPr>
        <w:spacing w:after="20"/>
      </w:pPr>
      <w:r>
        <w:rPr>
          <w:b/>
          <w:sz w:val="21"/>
        </w:rPr>
        <w:t xml:space="preserve">Latency: </w:t>
      </w:r>
      <w:r>
        <w:rPr>
          <w:sz w:val="21"/>
        </w:rPr>
        <w:t>Annual.</w:t>
      </w:r>
    </w:p>
    <w:p>
      <w:pPr>
        <w:spacing w:after="20"/>
      </w:pPr>
      <w:r>
        <w:rPr>
          <w:b/>
          <w:sz w:val="21"/>
        </w:rPr>
        <w:t xml:space="preserve">Common use cases: </w:t>
      </w:r>
    </w:p>
    <w:p>
      <w:pPr>
        <w:pStyle w:val="ListBullet"/>
        <w:spacing w:after="20"/>
        <w:ind w:left="360"/>
      </w:pPr>
      <w:r>
        <w:rPr>
          <w:sz w:val="21"/>
        </w:rPr>
        <w:t>Equity-of-access analyses for FDA submissions.</w:t>
      </w:r>
    </w:p>
    <w:p>
      <w:pPr>
        <w:pStyle w:val="ListBullet"/>
        <w:spacing w:after="20"/>
        <w:ind w:left="360"/>
      </w:pPr>
      <w:r>
        <w:rPr>
          <w:sz w:val="21"/>
        </w:rPr>
        <w:t>Patient-support program targeting.</w:t>
      </w:r>
    </w:p>
    <w:p>
      <w:pPr>
        <w:pStyle w:val="ListBullet"/>
        <w:spacing w:after="20"/>
        <w:ind w:left="360"/>
      </w:pPr>
      <w:r>
        <w:rPr>
          <w:sz w:val="21"/>
        </w:rPr>
        <w:t>Identifying barriers in patient journeys.</w:t>
      </w:r>
    </w:p>
    <w:p>
      <w:pPr>
        <w:spacing w:after="20"/>
      </w:pPr>
      <w:r>
        <w:rPr>
          <w:b/>
          <w:color w:val="C0392B"/>
          <w:sz w:val="21"/>
        </w:rPr>
        <w:t xml:space="preserve">Gotchas: </w:t>
      </w:r>
    </w:p>
    <w:p>
      <w:pPr>
        <w:pStyle w:val="ListBullet"/>
        <w:spacing w:after="20"/>
        <w:ind w:left="360"/>
      </w:pPr>
      <w:r>
        <w:rPr>
          <w:sz w:val="21"/>
        </w:rPr>
        <w:t>Most SDOH data is geographic (zip), not individual — be careful with ecological fallacy.</w:t>
      </w:r>
    </w:p>
    <w:p>
      <w:pPr>
        <w:pStyle w:val="ListBullet"/>
        <w:spacing w:after="20"/>
        <w:ind w:left="360"/>
      </w:pPr>
      <w:r>
        <w:rPr>
          <w:sz w:val="21"/>
        </w:rPr>
        <w:t>PHI implications when linked at the patient level — review with privacy/legal.</w:t>
      </w:r>
    </w:p>
    <w:p>
      <w:pPr>
        <w:spacing w:before="120" w:after="20"/>
      </w:pPr>
      <w:r>
        <w:rPr>
          <w:b/>
          <w:color w:val="1A1A1A"/>
          <w:sz w:val="23"/>
        </w:rPr>
        <w:t>Mortality Data</w:t>
      </w:r>
    </w:p>
    <w:p>
      <w:pPr>
        <w:spacing w:after="20"/>
      </w:pPr>
      <w:r>
        <w:rPr>
          <w:b/>
          <w:sz w:val="21"/>
        </w:rPr>
        <w:t xml:space="preserve">What it is: </w:t>
      </w:r>
      <w:r>
        <w:rPr>
          <w:sz w:val="21"/>
        </w:rPr>
        <w:t>Date and (often) cause of death. Critical for survival analyses and to censor cohorts properly.</w:t>
      </w:r>
    </w:p>
    <w:p>
      <w:pPr>
        <w:spacing w:after="20"/>
      </w:pPr>
      <w:r>
        <w:rPr>
          <w:b/>
          <w:sz w:val="21"/>
        </w:rPr>
        <w:t xml:space="preserve">Vendors: </w:t>
      </w:r>
      <w:r>
        <w:rPr>
          <w:sz w:val="21"/>
        </w:rPr>
        <w:t>Datavant Mortality (formerly Veritas), CDC NDI (researchers only), SSA Death Master File (degraded since 2011), state vital records (varying availability).</w:t>
      </w:r>
    </w:p>
    <w:p>
      <w:pPr>
        <w:spacing w:after="20"/>
      </w:pPr>
      <w:r>
        <w:rPr>
          <w:b/>
          <w:sz w:val="21"/>
        </w:rPr>
        <w:t xml:space="preserve">Granularity: </w:t>
      </w:r>
      <w:r>
        <w:rPr>
          <w:sz w:val="21"/>
        </w:rPr>
        <w:t>Patient × date of death × cause (when available).</w:t>
      </w:r>
    </w:p>
    <w:p>
      <w:pPr>
        <w:spacing w:after="20"/>
      </w:pPr>
      <w:r>
        <w:rPr>
          <w:b/>
          <w:sz w:val="21"/>
        </w:rPr>
        <w:t xml:space="preserve">Latency: </w:t>
      </w:r>
      <w:r>
        <w:rPr>
          <w:sz w:val="21"/>
        </w:rPr>
        <w:t>3–6 months for federal sets; longer for state-level.</w:t>
      </w:r>
    </w:p>
    <w:p>
      <w:pPr>
        <w:spacing w:after="20"/>
      </w:pPr>
      <w:r>
        <w:rPr>
          <w:b/>
          <w:sz w:val="21"/>
        </w:rPr>
        <w:t xml:space="preserve">Common use cases: </w:t>
      </w:r>
    </w:p>
    <w:p>
      <w:pPr>
        <w:pStyle w:val="ListBullet"/>
        <w:spacing w:after="20"/>
        <w:ind w:left="360"/>
      </w:pPr>
      <w:r>
        <w:rPr>
          <w:sz w:val="21"/>
        </w:rPr>
        <w:t>Overall survival in oncology RWE studies.</w:t>
      </w:r>
    </w:p>
    <w:p>
      <w:pPr>
        <w:pStyle w:val="ListBullet"/>
        <w:spacing w:after="20"/>
        <w:ind w:left="360"/>
      </w:pPr>
      <w:r>
        <w:rPr>
          <w:sz w:val="21"/>
        </w:rPr>
        <w:t>Censoring patients in TTNT and persistence analyses.</w:t>
      </w:r>
    </w:p>
    <w:p>
      <w:pPr>
        <w:spacing w:after="20"/>
      </w:pPr>
      <w:r>
        <w:rPr>
          <w:b/>
          <w:color w:val="C0392B"/>
          <w:sz w:val="21"/>
        </w:rPr>
        <w:t xml:space="preserve">Gotchas: </w:t>
      </w:r>
    </w:p>
    <w:p>
      <w:pPr>
        <w:pStyle w:val="ListBullet"/>
        <w:spacing w:after="20"/>
        <w:ind w:left="360"/>
      </w:pPr>
      <w:r>
        <w:rPr>
          <w:sz w:val="21"/>
        </w:rPr>
        <w:t>Patients who lose insurance and disappear from claims are NOT necessarily dead — distinguish censored from deceased.</w:t>
      </w:r>
    </w:p>
    <w:p>
      <w:pPr>
        <w:pStyle w:val="ListBullet"/>
        <w:spacing w:after="20"/>
        <w:ind w:left="360"/>
      </w:pPr>
      <w:r>
        <w:rPr>
          <w:sz w:val="21"/>
        </w:rPr>
        <w:t>Death cause is often missing or only ICD-10 chapter-level.</w:t>
      </w:r>
    </w:p>
    <w:p>
      <w:pPr>
        <w:spacing w:before="120" w:after="20"/>
      </w:pPr>
      <w:r>
        <w:rPr>
          <w:b/>
          <w:color w:val="1A1A1A"/>
          <w:sz w:val="23"/>
        </w:rPr>
        <w:t>DTC Media — TV, Digital, Print</w:t>
      </w:r>
    </w:p>
    <w:p>
      <w:pPr>
        <w:spacing w:after="20"/>
      </w:pPr>
      <w:r>
        <w:rPr>
          <w:b/>
          <w:sz w:val="21"/>
        </w:rPr>
        <w:t xml:space="preserve">What it is: </w:t>
      </w:r>
      <w:r>
        <w:rPr>
          <w:sz w:val="21"/>
        </w:rPr>
        <w:t>Direct-to-consumer media impressions and spend, by ad, market, and time. The denominator for any DTC effectiveness analysis.</w:t>
      </w:r>
    </w:p>
    <w:p>
      <w:pPr>
        <w:spacing w:after="20"/>
      </w:pPr>
      <w:r>
        <w:rPr>
          <w:b/>
          <w:sz w:val="21"/>
        </w:rPr>
        <w:t xml:space="preserve">Vendors: </w:t>
      </w:r>
      <w:r>
        <w:rPr>
          <w:sz w:val="21"/>
        </w:rPr>
        <w:t>Nielsen Ad Intel, iSpot.tv, Pathmatics, Comscore, Veeva Crossix DTC.</w:t>
      </w:r>
    </w:p>
    <w:p>
      <w:pPr>
        <w:spacing w:after="20"/>
      </w:pPr>
      <w:r>
        <w:rPr>
          <w:b/>
          <w:sz w:val="21"/>
        </w:rPr>
        <w:t xml:space="preserve">Granularity: </w:t>
      </w:r>
      <w:r>
        <w:rPr>
          <w:sz w:val="21"/>
        </w:rPr>
        <w:t>Spot × geography × demographic.</w:t>
      </w:r>
    </w:p>
    <w:p>
      <w:pPr>
        <w:spacing w:after="20"/>
      </w:pPr>
      <w:r>
        <w:rPr>
          <w:b/>
          <w:sz w:val="21"/>
        </w:rPr>
        <w:t xml:space="preserve">Latency: </w:t>
      </w:r>
      <w:r>
        <w:rPr>
          <w:sz w:val="21"/>
        </w:rPr>
        <w:t>Daily.</w:t>
      </w:r>
    </w:p>
    <w:p>
      <w:pPr>
        <w:spacing w:after="20"/>
      </w:pPr>
      <w:r>
        <w:rPr>
          <w:b/>
          <w:sz w:val="21"/>
        </w:rPr>
        <w:t xml:space="preserve">Common use cases: </w:t>
      </w:r>
    </w:p>
    <w:p>
      <w:pPr>
        <w:pStyle w:val="ListBullet"/>
        <w:spacing w:after="20"/>
        <w:ind w:left="360"/>
      </w:pPr>
      <w:r>
        <w:rPr>
          <w:sz w:val="21"/>
        </w:rPr>
        <w:t>DTC media-mix modeling input.</w:t>
      </w:r>
    </w:p>
    <w:p>
      <w:pPr>
        <w:pStyle w:val="ListBullet"/>
        <w:spacing w:after="20"/>
        <w:ind w:left="360"/>
      </w:pPr>
      <w:r>
        <w:rPr>
          <w:sz w:val="21"/>
        </w:rPr>
        <w:t>Geo-experiment design.</w:t>
      </w:r>
    </w:p>
    <w:p>
      <w:pPr>
        <w:pStyle w:val="ListBullet"/>
        <w:spacing w:after="20"/>
        <w:ind w:left="360"/>
      </w:pPr>
      <w:r>
        <w:rPr>
          <w:sz w:val="21"/>
        </w:rPr>
        <w:t>Competitive ad-tracking.</w:t>
      </w:r>
    </w:p>
    <w:p>
      <w:pPr>
        <w:spacing w:after="20"/>
      </w:pPr>
      <w:r>
        <w:rPr>
          <w:b/>
          <w:color w:val="C0392B"/>
          <w:sz w:val="21"/>
        </w:rPr>
        <w:t xml:space="preserve">Gotchas: </w:t>
      </w:r>
    </w:p>
    <w:p>
      <w:pPr>
        <w:pStyle w:val="ListBullet"/>
        <w:spacing w:after="20"/>
        <w:ind w:left="360"/>
      </w:pPr>
      <w:r>
        <w:rPr>
          <w:sz w:val="21"/>
        </w:rPr>
        <w:t>Linear TV is fragmented and shrinking; CTV/streaming spend now exceeds linear for most pharma DTC.</w:t>
      </w:r>
    </w:p>
    <w:p>
      <w:pPr>
        <w:pStyle w:val="ListBullet"/>
        <w:spacing w:after="20"/>
        <w:ind w:left="360"/>
      </w:pPr>
      <w:r>
        <w:rPr>
          <w:sz w:val="21"/>
        </w:rPr>
        <w:t>Pharma DTC must comply with fair-balance regulations — "impressions" don't equal exposure to risk information.</w:t>
      </w:r>
    </w:p>
    <w:p>
      <w:pPr>
        <w:spacing w:before="280" w:after="80"/>
        <w:pBdr>
          <w:bottom w:val="single" w:sz="8" w:space="1" w:color="0B3D91"/>
        </w:pBdr>
      </w:pPr>
      <w:r>
        <w:rPr>
          <w:b/>
          <w:color w:val="0B3D91"/>
          <w:sz w:val="30"/>
        </w:rPr>
        <w:t>8. Internal Manufacturer Data</w:t>
      </w:r>
    </w:p>
    <w:p>
      <w:pPr>
        <w:spacing w:after="60"/>
      </w:pPr>
      <w:r>
        <w:rPr>
          <w:b w:val="0"/>
          <w:i w:val="0"/>
          <w:color w:val="1A1A1A"/>
          <w:sz w:val="21"/>
        </w:rPr>
        <w:t>Every manufacturer has a constellation of internal datasets that are usually richer than anything purchased — but only for the company's own brands. They live in different IT systems, often with different governance.</w:t>
      </w:r>
    </w:p>
    <w:p>
      <w:pPr>
        <w:pStyle w:val="ListBullet"/>
        <w:spacing w:after="20"/>
        <w:ind w:left="360"/>
      </w:pPr>
      <w:r>
        <w:rPr>
          <w:sz w:val="21"/>
        </w:rPr>
        <w:t>Sales finance: gross sales, gross-to-net (GtN), net revenue by SKU and channel.</w:t>
      </w:r>
    </w:p>
    <w:p>
      <w:pPr>
        <w:pStyle w:val="ListBullet"/>
        <w:spacing w:after="20"/>
        <w:ind w:left="360"/>
      </w:pPr>
      <w:r>
        <w:rPr>
          <w:sz w:val="21"/>
        </w:rPr>
        <w:t>Forecast (consensus / brand): the company's own demand forecast — usually monthly cycle, owned by Finance/CFA.</w:t>
      </w:r>
    </w:p>
    <w:p>
      <w:pPr>
        <w:pStyle w:val="ListBullet"/>
        <w:spacing w:after="20"/>
        <w:ind w:left="360"/>
      </w:pPr>
      <w:r>
        <w:rPr>
          <w:sz w:val="21"/>
        </w:rPr>
        <w:t>Free-goods, samples, copay-card redemption: critical to flag when reconciling units to revenue.</w:t>
      </w:r>
    </w:p>
    <w:p>
      <w:pPr>
        <w:pStyle w:val="ListBullet"/>
        <w:spacing w:after="20"/>
        <w:ind w:left="360"/>
      </w:pPr>
      <w:r>
        <w:rPr>
          <w:sz w:val="21"/>
        </w:rPr>
        <w:t>Patient-services / hub data (per-brand): see Section 1 — internally treated as patient-services data.</w:t>
      </w:r>
    </w:p>
    <w:p>
      <w:pPr>
        <w:pStyle w:val="ListBullet"/>
        <w:spacing w:after="20"/>
        <w:ind w:left="360"/>
      </w:pPr>
      <w:r>
        <w:rPr>
          <w:sz w:val="21"/>
        </w:rPr>
        <w:t>Field force structure &amp; call plan: who reports to whom, what the official targeting plan is, how performance is measured.</w:t>
      </w:r>
    </w:p>
    <w:p>
      <w:pPr>
        <w:pStyle w:val="ListBullet"/>
        <w:spacing w:after="20"/>
        <w:ind w:left="360"/>
      </w:pPr>
      <w:r>
        <w:rPr>
          <w:sz w:val="21"/>
        </w:rPr>
        <w:t>Medical Affairs activity: KOL engagements, scientific exchange, advisory boards.</w:t>
      </w:r>
    </w:p>
    <w:p>
      <w:pPr>
        <w:pStyle w:val="ListBullet"/>
        <w:spacing w:after="20"/>
        <w:ind w:left="360"/>
      </w:pPr>
      <w:r>
        <w:rPr>
          <w:sz w:val="21"/>
        </w:rPr>
        <w:t>Voice of customer: market research, KOL panels, ATU studies, message-testing.</w:t>
      </w:r>
    </w:p>
    <w:p>
      <w:pPr>
        <w:spacing w:before="280" w:after="80"/>
        <w:pBdr>
          <w:bottom w:val="single" w:sz="8" w:space="1" w:color="0B3D91"/>
        </w:pBdr>
      </w:pPr>
      <w:r>
        <w:rPr>
          <w:b/>
          <w:color w:val="0B3D91"/>
          <w:sz w:val="30"/>
        </w:rPr>
        <w:t>9. External News, Literature, and Competitive Content</w:t>
      </w:r>
    </w:p>
    <w:p>
      <w:pPr>
        <w:spacing w:before="120" w:after="20"/>
      </w:pPr>
      <w:r>
        <w:rPr>
          <w:b/>
          <w:color w:val="1A1A1A"/>
          <w:sz w:val="23"/>
        </w:rPr>
        <w:t>Medical Literature &amp; Clinical Trials</w:t>
      </w:r>
    </w:p>
    <w:p>
      <w:pPr>
        <w:spacing w:after="20"/>
      </w:pPr>
      <w:r>
        <w:rPr>
          <w:b/>
          <w:sz w:val="21"/>
        </w:rPr>
        <w:t xml:space="preserve">What it is: </w:t>
      </w:r>
      <w:r>
        <w:rPr>
          <w:sz w:val="21"/>
        </w:rPr>
        <w:t>PubMed, conference abstracts (ASCO, ASH, AHA), and ClinicalTrials.gov as the structured backbone of the medical-affairs landscape.</w:t>
      </w:r>
    </w:p>
    <w:p>
      <w:pPr>
        <w:spacing w:after="20"/>
      </w:pPr>
      <w:r>
        <w:rPr>
          <w:b/>
          <w:sz w:val="21"/>
        </w:rPr>
        <w:t xml:space="preserve">Vendors: </w:t>
      </w:r>
      <w:r>
        <w:rPr>
          <w:sz w:val="21"/>
        </w:rPr>
        <w:t>PubMed (free), ClinicalTrials.gov (free), Citeline / Pharmaprojects (Norstella), GlobalData, Clarivate Cortellis, ScienceIO, Komodo Citation Tracker.</w:t>
      </w:r>
    </w:p>
    <w:p>
      <w:pPr>
        <w:spacing w:after="20"/>
      </w:pPr>
      <w:r>
        <w:rPr>
          <w:b/>
          <w:sz w:val="21"/>
        </w:rPr>
        <w:t xml:space="preserve">Granularity: </w:t>
      </w:r>
      <w:r>
        <w:rPr>
          <w:sz w:val="21"/>
        </w:rPr>
        <w:t>Paper / abstract / trial × HCP authors × institutions × therapy area.</w:t>
      </w:r>
    </w:p>
    <w:p>
      <w:pPr>
        <w:spacing w:after="20"/>
      </w:pPr>
      <w:r>
        <w:rPr>
          <w:b/>
          <w:sz w:val="21"/>
        </w:rPr>
        <w:t xml:space="preserve">Latency: </w:t>
      </w:r>
      <w:r>
        <w:rPr>
          <w:sz w:val="21"/>
        </w:rPr>
        <w:t>Real-time for trials, days–weeks for publications.</w:t>
      </w:r>
    </w:p>
    <w:p>
      <w:pPr>
        <w:spacing w:after="20"/>
      </w:pPr>
      <w:r>
        <w:rPr>
          <w:b/>
          <w:sz w:val="21"/>
        </w:rPr>
        <w:t xml:space="preserve">Common use cases: </w:t>
      </w:r>
    </w:p>
    <w:p>
      <w:pPr>
        <w:pStyle w:val="ListBullet"/>
        <w:spacing w:after="20"/>
        <w:ind w:left="360"/>
      </w:pPr>
      <w:r>
        <w:rPr>
          <w:sz w:val="21"/>
        </w:rPr>
        <w:t>KOL identification and influence mapping.</w:t>
      </w:r>
    </w:p>
    <w:p>
      <w:pPr>
        <w:pStyle w:val="ListBullet"/>
        <w:spacing w:after="20"/>
        <w:ind w:left="360"/>
      </w:pPr>
      <w:r>
        <w:rPr>
          <w:sz w:val="21"/>
        </w:rPr>
        <w:t>Competitive trial monitoring.</w:t>
      </w:r>
    </w:p>
    <w:p>
      <w:pPr>
        <w:pStyle w:val="ListBullet"/>
        <w:spacing w:after="20"/>
        <w:ind w:left="360"/>
      </w:pPr>
      <w:r>
        <w:rPr>
          <w:sz w:val="21"/>
        </w:rPr>
        <w:t>Medical-affairs strategic-content planning.</w:t>
      </w:r>
    </w:p>
    <w:p>
      <w:pPr>
        <w:spacing w:after="20"/>
      </w:pPr>
      <w:r>
        <w:rPr>
          <w:b/>
          <w:color w:val="C0392B"/>
          <w:sz w:val="21"/>
        </w:rPr>
        <w:t xml:space="preserve">Gotchas: </w:t>
      </w:r>
    </w:p>
    <w:p>
      <w:pPr>
        <w:pStyle w:val="ListBullet"/>
        <w:spacing w:after="20"/>
        <w:ind w:left="360"/>
      </w:pPr>
      <w:r>
        <w:rPr>
          <w:sz w:val="21"/>
        </w:rPr>
        <w:t>Author attribution is messy — name disambiguation is its own discipline (ORCID helps but is not universal).</w:t>
      </w:r>
    </w:p>
    <w:p>
      <w:pPr>
        <w:pStyle w:val="ListBullet"/>
        <w:spacing w:after="20"/>
        <w:ind w:left="360"/>
      </w:pPr>
      <w:r>
        <w:rPr>
          <w:sz w:val="21"/>
        </w:rPr>
        <w:t>Conference abstracts often outpace publication; don't wait for PubMed to learn what was presented at ASCO.</w:t>
      </w:r>
    </w:p>
    <w:p>
      <w:pPr>
        <w:spacing w:before="120" w:after="20"/>
      </w:pPr>
      <w:r>
        <w:rPr>
          <w:b/>
          <w:color w:val="1A1A1A"/>
          <w:sz w:val="23"/>
        </w:rPr>
        <w:t>Social Media / Patient Voice</w:t>
      </w:r>
    </w:p>
    <w:p>
      <w:pPr>
        <w:spacing w:after="20"/>
      </w:pPr>
      <w:r>
        <w:rPr>
          <w:b/>
          <w:sz w:val="21"/>
        </w:rPr>
        <w:t xml:space="preserve">What it is: </w:t>
      </w:r>
      <w:r>
        <w:rPr>
          <w:sz w:val="21"/>
        </w:rPr>
        <w:t>Public posts on patient communities, social platforms, review sites — used (carefully) for early signals on side effects, perception, and unmet need.</w:t>
      </w:r>
    </w:p>
    <w:p>
      <w:pPr>
        <w:spacing w:after="20"/>
      </w:pPr>
      <w:r>
        <w:rPr>
          <w:b/>
          <w:sz w:val="21"/>
        </w:rPr>
        <w:t xml:space="preserve">Vendors: </w:t>
      </w:r>
      <w:r>
        <w:rPr>
          <w:sz w:val="21"/>
        </w:rPr>
        <w:t>Brandwatch, Talkwalker, Sprinklr, Treato (defunct but archived), Inspire (patient communities).</w:t>
      </w:r>
    </w:p>
    <w:p>
      <w:pPr>
        <w:spacing w:after="20"/>
      </w:pPr>
      <w:r>
        <w:rPr>
          <w:b/>
          <w:sz w:val="21"/>
        </w:rPr>
        <w:t xml:space="preserve">Granularity: </w:t>
      </w:r>
      <w:r>
        <w:rPr>
          <w:sz w:val="21"/>
        </w:rPr>
        <w:t>Post × platform × time × extracted entity.</w:t>
      </w:r>
    </w:p>
    <w:p>
      <w:pPr>
        <w:spacing w:after="20"/>
      </w:pPr>
      <w:r>
        <w:rPr>
          <w:b/>
          <w:sz w:val="21"/>
        </w:rPr>
        <w:t xml:space="preserve">Latency: </w:t>
      </w:r>
      <w:r>
        <w:rPr>
          <w:sz w:val="21"/>
        </w:rPr>
        <w:t>Real-time.</w:t>
      </w:r>
    </w:p>
    <w:p>
      <w:pPr>
        <w:spacing w:after="20"/>
      </w:pPr>
      <w:r>
        <w:rPr>
          <w:b/>
          <w:sz w:val="21"/>
        </w:rPr>
        <w:t xml:space="preserve">Common use cases: </w:t>
      </w:r>
    </w:p>
    <w:p>
      <w:pPr>
        <w:pStyle w:val="ListBullet"/>
        <w:spacing w:after="20"/>
        <w:ind w:left="360"/>
      </w:pPr>
      <w:r>
        <w:rPr>
          <w:sz w:val="21"/>
        </w:rPr>
        <w:t>Brand sentiment tracking.</w:t>
      </w:r>
    </w:p>
    <w:p>
      <w:pPr>
        <w:pStyle w:val="ListBullet"/>
        <w:spacing w:after="20"/>
        <w:ind w:left="360"/>
      </w:pPr>
      <w:r>
        <w:rPr>
          <w:sz w:val="21"/>
        </w:rPr>
        <w:t>Adverse-event surveillance signal generation (NOT formal pharmacovigilance).</w:t>
      </w:r>
    </w:p>
    <w:p>
      <w:pPr>
        <w:pStyle w:val="ListBullet"/>
        <w:spacing w:after="20"/>
        <w:ind w:left="360"/>
      </w:pPr>
      <w:r>
        <w:rPr>
          <w:sz w:val="21"/>
        </w:rPr>
        <w:t>Pre-launch unmet-need mapping.</w:t>
      </w:r>
    </w:p>
    <w:p>
      <w:pPr>
        <w:spacing w:after="20"/>
      </w:pPr>
      <w:r>
        <w:rPr>
          <w:b/>
          <w:color w:val="C0392B"/>
          <w:sz w:val="21"/>
        </w:rPr>
        <w:t xml:space="preserve">Gotchas: </w:t>
      </w:r>
    </w:p>
    <w:p>
      <w:pPr>
        <w:pStyle w:val="ListBullet"/>
        <w:spacing w:after="20"/>
        <w:ind w:left="360"/>
      </w:pPr>
      <w:r>
        <w:rPr>
          <w:sz w:val="21"/>
        </w:rPr>
        <w:t>Pharmacovigilance obligation: any post that meets the regulatory definition of an AE must be reported. Get legal/PV sign-off on any social-listening pipeline.</w:t>
      </w:r>
    </w:p>
    <w:p>
      <w:pPr>
        <w:pStyle w:val="ListBullet"/>
        <w:spacing w:after="20"/>
        <w:ind w:left="360"/>
      </w:pPr>
      <w:r>
        <w:rPr>
          <w:sz w:val="21"/>
        </w:rPr>
        <w:t>Bots and astroturfing distort signal — use established platforms with provenance scoring.</w:t>
      </w:r>
    </w:p>
    <w:p>
      <w:pPr>
        <w:spacing w:before="280" w:after="80"/>
        <w:pBdr>
          <w:bottom w:val="single" w:sz="8" w:space="1" w:color="0B3D91"/>
        </w:pBdr>
      </w:pPr>
      <w:r>
        <w:rPr>
          <w:b/>
          <w:color w:val="0B3D91"/>
          <w:sz w:val="30"/>
        </w:rPr>
        <w:t>Choosing the Right Dataset — A Five-Question Triage</w:t>
      </w:r>
    </w:p>
    <w:p>
      <w:pPr>
        <w:spacing w:after="60"/>
      </w:pPr>
      <w:r>
        <w:rPr>
          <w:b w:val="0"/>
          <w:i w:val="0"/>
          <w:color w:val="1A1A1A"/>
          <w:sz w:val="21"/>
        </w:rPr>
        <w:t>Before requesting data, run any analysis through these five questions:</w:t>
      </w:r>
    </w:p>
    <w:p>
      <w:pPr>
        <w:pStyle w:val="ListBullet"/>
        <w:spacing w:after="20"/>
        <w:ind w:left="360"/>
      </w:pPr>
      <w:r>
        <w:rPr>
          <w:sz w:val="21"/>
        </w:rPr>
        <w:t>Question. What decision does this analysis inform? Brand strategy, targeting, market access, medical, or executive narrative?</w:t>
      </w:r>
    </w:p>
    <w:p>
      <w:pPr>
        <w:pStyle w:val="ListBullet"/>
        <w:spacing w:after="20"/>
        <w:ind w:left="360"/>
      </w:pPr>
      <w:r>
        <w:rPr>
          <w:sz w:val="21"/>
        </w:rPr>
        <w:t>Population. Are we sizing the universe (need projected) or measuring outcomes within a defined cohort (need observed)?</w:t>
      </w:r>
    </w:p>
    <w:p>
      <w:pPr>
        <w:pStyle w:val="ListBullet"/>
        <w:spacing w:after="20"/>
        <w:ind w:left="360"/>
      </w:pPr>
      <w:r>
        <w:rPr>
          <w:sz w:val="21"/>
        </w:rPr>
        <w:t>Granularity. Patient-level (claims/EHR), HCP-level (Xponent/CRM), HCO-level (DDD), or geo-level (Nielsen)?</w:t>
      </w:r>
    </w:p>
    <w:p>
      <w:pPr>
        <w:pStyle w:val="ListBullet"/>
        <w:spacing w:after="20"/>
        <w:ind w:left="360"/>
      </w:pPr>
      <w:r>
        <w:rPr>
          <w:sz w:val="21"/>
        </w:rPr>
        <w:t>Time. Real-time decisioning (CRM, digital, 867), monthly tracking (Xponent), or longitudinal RWE (claims/EHR)?</w:t>
      </w:r>
    </w:p>
    <w:p>
      <w:pPr>
        <w:pStyle w:val="ListBullet"/>
        <w:spacing w:after="20"/>
        <w:ind w:left="360"/>
      </w:pPr>
      <w:r>
        <w:rPr>
          <w:sz w:val="21"/>
        </w:rPr>
        <w:t>Cost. Many of the best datasets are 7-figure annual contracts. Can a free or already-licensed source answer the question "good enough"?</w:t>
      </w:r>
    </w:p>
    <w:p>
      <w:pPr>
        <w:spacing w:after="60"/>
      </w:pPr>
      <w:r>
        <w:rPr>
          <w:b w:val="0"/>
          <w:i/>
          <w:color w:val="1A1A1A"/>
          <w:sz w:val="21"/>
        </w:rPr>
        <w:t>Answering these five questions in order will reduce the typical "can we get more data?" reflex, and focus the work on the dataset that's actually fit for purpose.</w:t>
      </w:r>
    </w:p>
    <w:p>
      <w:pPr>
        <w:spacing w:before="280" w:after="80"/>
        <w:pBdr>
          <w:bottom w:val="single" w:sz="8" w:space="1" w:color="0B3D91"/>
        </w:pBdr>
      </w:pPr>
      <w:r>
        <w:rPr>
          <w:b/>
          <w:color w:val="0B3D91"/>
          <w:sz w:val="30"/>
        </w:rPr>
        <w:t>Cross-Cutting Gotchas</w:t>
      </w:r>
    </w:p>
    <w:p>
      <w:pPr>
        <w:spacing w:after="60"/>
      </w:pPr>
      <w:r>
        <w:rPr>
          <w:b w:val="0"/>
          <w:i w:val="0"/>
          <w:color w:val="1A1A1A"/>
          <w:sz w:val="21"/>
        </w:rPr>
        <w:t>These show up in nearly every commercial analytics project regardless of dataset.</w:t>
      </w:r>
    </w:p>
    <w:p>
      <w:pPr>
        <w:pStyle w:val="ListBullet"/>
        <w:spacing w:after="20"/>
        <w:ind w:left="360"/>
      </w:pPr>
      <w:r>
        <w:rPr>
          <w:sz w:val="21"/>
        </w:rPr>
        <w:t>Open vs. closed claims have very different completeness profiles. Don't mix without understanding both.</w:t>
      </w:r>
    </w:p>
    <w:p>
      <w:pPr>
        <w:pStyle w:val="ListBullet"/>
        <w:spacing w:after="20"/>
        <w:ind w:left="360"/>
      </w:pPr>
      <w:r>
        <w:rPr>
          <w:sz w:val="21"/>
        </w:rPr>
        <w:t>Latency lies. "Available daily" and "reflecting reality from yesterday" are different statements; many vendors conflate them.</w:t>
      </w:r>
    </w:p>
    <w:p>
      <w:pPr>
        <w:pStyle w:val="ListBullet"/>
        <w:spacing w:after="20"/>
        <w:ind w:left="360"/>
      </w:pPr>
      <w:r>
        <w:rPr>
          <w:sz w:val="21"/>
        </w:rPr>
        <w:t>Identifier resolution. Patient-, HCP-, and HCO-level keys do not match across vendors. Tokens, NPIs, and TINs all break differently.</w:t>
      </w:r>
    </w:p>
    <w:p>
      <w:pPr>
        <w:pStyle w:val="ListBullet"/>
        <w:spacing w:after="20"/>
        <w:ind w:left="360"/>
      </w:pPr>
      <w:r>
        <w:rPr>
          <w:sz w:val="21"/>
        </w:rPr>
        <w:t>Specialty taxonomy. NPPES self-reported specialty is unreliable. Always use a vendor-cleaned specialty taxonomy.</w:t>
      </w:r>
    </w:p>
    <w:p>
      <w:pPr>
        <w:pStyle w:val="ListBullet"/>
        <w:spacing w:after="20"/>
        <w:ind w:left="360"/>
      </w:pPr>
      <w:r>
        <w:rPr>
          <w:sz w:val="21"/>
        </w:rPr>
        <w:t>Regulatory. HIPAA, state privacy laws (CA, IL, TX), and FDA promotional regulations apply to almost every dataset. Get a compliance review on day 0, not at presentation time.</w:t>
      </w:r>
    </w:p>
    <w:p>
      <w:pPr>
        <w:pStyle w:val="ListBullet"/>
        <w:spacing w:after="20"/>
        <w:ind w:left="360"/>
      </w:pPr>
      <w:r>
        <w:rPr>
          <w:sz w:val="21"/>
        </w:rPr>
        <w:t>Provenance. Every chart leaves the analytics team with a number on it. The number must be traceable to the dataset, version, query, and methodology that produced it. "Provenance" is not optional.</w:t>
      </w:r>
    </w:p>
    <w:p>
      <w:pPr>
        <w:pStyle w:val="ListBullet"/>
        <w:spacing w:after="20"/>
        <w:ind w:left="360"/>
      </w:pPr>
      <w:r>
        <w:rPr>
          <w:sz w:val="21"/>
        </w:rPr>
        <w:t>Sales attribution. "Did marketing drive this?" is a causal question. Observational data alone cannot answer it — pair every analysis with experimental design or established causal methods.</w:t>
      </w:r>
    </w:p>
    <w:p>
      <w:pPr>
        <w:spacing w:before="280" w:after="80"/>
        <w:pBdr>
          <w:bottom w:val="single" w:sz="8" w:space="1" w:color="0B3D91"/>
        </w:pBdr>
      </w:pPr>
      <w:r>
        <w:rPr>
          <w:b/>
          <w:color w:val="0B3D91"/>
          <w:sz w:val="30"/>
        </w:rPr>
        <w:t>Recommended Further Reading</w:t>
      </w:r>
    </w:p>
    <w:p>
      <w:pPr>
        <w:pStyle w:val="ListBullet"/>
        <w:spacing w:after="20"/>
        <w:ind w:left="360"/>
      </w:pPr>
      <w:r>
        <w:rPr>
          <w:sz w:val="21"/>
        </w:rPr>
        <w:t>PMSA Webinar — "Patient Data Applications Across Product Lifecycle." https://pmsa.org/webinars/past-webinars/item/patient-data-applications-across-product-lifecycle</w:t>
      </w:r>
    </w:p>
    <w:p>
      <w:pPr>
        <w:pStyle w:val="ListBullet"/>
        <w:spacing w:after="20"/>
        <w:ind w:left="360"/>
      </w:pPr>
      <w:r>
        <w:rPr>
          <w:sz w:val="21"/>
        </w:rPr>
        <w:t>PMSA Webinar — "Improving Completeness and Accuracy of Real World Data." https://www.pmsa.org/webinars/webinar-archive/item/improving-completeness-and-accuracy-of-real-world-data</w:t>
      </w:r>
    </w:p>
    <w:p>
      <w:pPr>
        <w:pStyle w:val="ListBullet"/>
        <w:spacing w:after="20"/>
        <w:ind w:left="360"/>
      </w:pPr>
      <w:r>
        <w:rPr>
          <w:sz w:val="21"/>
        </w:rPr>
        <w:t>PMSA Webinar — "Combine Advanced Analytics and Real-World Data to Accurately Identify Treatment Drivers." https://pmsa.org/webinars/past-webinars/item/combine-advanced-analytics-and-real-world-data-to-accurately-identify-treatment-drivers</w:t>
      </w:r>
    </w:p>
    <w:p>
      <w:pPr>
        <w:pStyle w:val="ListBullet"/>
        <w:spacing w:after="20"/>
        <w:ind w:left="360"/>
      </w:pPr>
      <w:r>
        <w:rPr>
          <w:sz w:val="21"/>
        </w:rPr>
        <w:t>JPMSA Article — "Enhancing Patient Classification and Staging in RWD Using Machine Learning" (ZS Associates). https://pmsa.org/resources/pmsa-journal</w:t>
      </w:r>
    </w:p>
    <w:p>
      <w:pPr>
        <w:pStyle w:val="ListBullet"/>
        <w:spacing w:after="20"/>
        <w:ind w:left="360"/>
      </w:pPr>
      <w:r>
        <w:rPr>
          <w:sz w:val="21"/>
        </w:rPr>
        <w:t>IQVIA Institute — "The Use of Medicines in the U.S." (annual report).</w:t>
      </w:r>
    </w:p>
    <w:p>
      <w:pPr>
        <w:pStyle w:val="ListBullet"/>
        <w:spacing w:after="20"/>
        <w:ind w:left="360"/>
      </w:pPr>
      <w:r>
        <w:rPr>
          <w:sz w:val="21"/>
        </w:rPr>
        <w:t>Komodo / IQVIA / HealthVerity public technical primers on claims data structure.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