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D91"/>
          <w:sz w:val="44"/>
        </w:rPr>
        <w:t>Pharma Commercial Datasets</w:t>
      </w:r>
    </w:p>
    <w:p>
      <w:pPr>
        <w:spacing w:after="40"/>
      </w:pPr>
      <w:r>
        <w:rPr>
          <w:b/>
          <w:color w:val="0B3D91"/>
          <w:sz w:val="40"/>
        </w:rPr>
        <w:t>A Multi-Source Synthesis</w:t>
      </w:r>
    </w:p>
    <w:p>
      <w:pPr>
        <w:spacing w:after="60"/>
      </w:pPr>
      <w:r>
        <w:rPr>
          <w:b w:val="0"/>
          <w:i/>
          <w:color w:val="555555"/>
          <w:sz w:val="22"/>
        </w:rPr>
        <w:t>Companion to the Pharma Commercial Datasets Reference · Applied Data Science and AI in Pharmaceutical Commercial Operations · Fall 2026</w:t>
      </w:r>
    </w:p>
    <w:p>
      <w:pPr>
        <w:spacing w:after="60"/>
      </w:pPr>
      <w:r>
        <w:rPr>
          <w:b w:val="0"/>
          <w:i w:val="0"/>
          <w:color w:val="1A1A1A"/>
          <w:sz w:val="21"/>
        </w:rPr>
        <w:t>This document synthesizes what is publicly available — across books, online courses, vendor white papers, regulatory guidance, and industry community archives — about the datasets that drive pharma commercial analytics. It is meant to be read alongside the Pharma Commercial Datasets Reference (the dataset-by-dataset taxonomy distributed with Week 2). Where the Reference answers "what does each dataset look like?", this document answers "what are the best resources to learn this from, and what do they collectively teach?".</w:t>
      </w:r>
    </w:p>
    <w:p>
      <w:pPr>
        <w:spacing w:after="60"/>
      </w:pPr>
      <w:r>
        <w:rPr>
          <w:b w:val="0"/>
          <w:i/>
          <w:color w:val="1A1A1A"/>
          <w:sz w:val="21"/>
        </w:rPr>
        <w:t>Honest scope statement: there is no single canonical textbook on pharma commercial datasets. The field moves too fast and most institutional knowledge sits inside consulting firms, manufacturers, and data vendors. The synthesis below stitches together the seven most useful publicly available resources and indicates clearly which content comes from each.</w:t>
      </w:r>
    </w:p>
    <w:p>
      <w:pPr>
        <w:spacing w:before="280" w:after="80"/>
        <w:pBdr>
          <w:bottom w:val="single" w:sz="8" w:space="1" w:color="0B3D91"/>
        </w:pBdr>
      </w:pPr>
      <w:r>
        <w:rPr>
          <w:b/>
          <w:color w:val="0B3D91"/>
          <w:sz w:val="30"/>
        </w:rPr>
        <w:t>Sources Synthesized in This Document</w:t>
      </w:r>
    </w:p>
    <w:p>
      <w:pPr>
        <w:spacing w:after="60"/>
      </w:pPr>
      <w:r>
        <w:rPr>
          <w:b w:val="0"/>
          <w:i w:val="0"/>
          <w:color w:val="1A1A1A"/>
          <w:sz w:val="21"/>
        </w:rPr>
        <w:t>Each source is classified by type and tagged with how accessible it is.</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shd w:val="clear" w:color="auto" w:fill="0B3D91"/>
          </w:tcPr>
          <w:p>
            <w:r>
              <w:rPr>
                <w:b/>
                <w:color w:val="FFFFFF"/>
                <w:sz w:val="20"/>
              </w:rPr>
              <w:t>Source</w:t>
            </w:r>
          </w:p>
        </w:tc>
        <w:tc>
          <w:tcPr>
            <w:tcW w:type="dxa" w:w="2556"/>
            <w:shd w:val="clear" w:color="auto" w:fill="0B3D91"/>
          </w:tcPr>
          <w:p>
            <w:r>
              <w:rPr>
                <w:b/>
                <w:color w:val="FFFFFF"/>
                <w:sz w:val="20"/>
              </w:rPr>
              <w:t>Type</w:t>
            </w:r>
          </w:p>
        </w:tc>
        <w:tc>
          <w:tcPr>
            <w:tcW w:type="dxa" w:w="2556"/>
            <w:shd w:val="clear" w:color="auto" w:fill="0B3D91"/>
          </w:tcPr>
          <w:p>
            <w:r>
              <w:rPr>
                <w:b/>
                <w:color w:val="FFFFFF"/>
                <w:sz w:val="20"/>
              </w:rPr>
              <w:t>Access</w:t>
            </w:r>
          </w:p>
        </w:tc>
        <w:tc>
          <w:tcPr>
            <w:tcW w:type="dxa" w:w="2556"/>
            <w:shd w:val="clear" w:color="auto" w:fill="0B3D91"/>
          </w:tcPr>
          <w:p>
            <w:r>
              <w:rPr>
                <w:b/>
                <w:color w:val="FFFFFF"/>
                <w:sz w:val="20"/>
              </w:rPr>
              <w:t>Best for</w:t>
            </w:r>
          </w:p>
        </w:tc>
      </w:tr>
      <w:tr>
        <w:tc>
          <w:tcPr>
            <w:tcW w:type="dxa" w:w="2556"/>
          </w:tcPr>
          <w:p>
            <w:r>
              <w:rPr>
                <w:sz w:val="19"/>
              </w:rPr>
              <w:t>Tzavaras, Pharmaceutical Sales Data 101: The Client Perspective (2003/2004)</w:t>
            </w:r>
          </w:p>
        </w:tc>
        <w:tc>
          <w:tcPr>
            <w:tcW w:type="dxa" w:w="2556"/>
          </w:tcPr>
          <w:p>
            <w:r>
              <w:rPr>
                <w:sz w:val="19"/>
              </w:rPr>
              <w:t>Book, 273 pp.</w:t>
            </w:r>
          </w:p>
        </w:tc>
        <w:tc>
          <w:tcPr>
            <w:tcW w:type="dxa" w:w="2556"/>
          </w:tcPr>
          <w:p>
            <w:r>
              <w:rPr>
                <w:sz w:val="19"/>
              </w:rPr>
              <w:t>Paid (Amazon/AbeBooks ~$30-60)</w:t>
            </w:r>
          </w:p>
        </w:tc>
        <w:tc>
          <w:tcPr>
            <w:tcW w:type="dxa" w:w="2556"/>
          </w:tcPr>
          <w:p>
            <w:r>
              <w:rPr>
                <w:sz w:val="19"/>
              </w:rPr>
              <w:t>Foundational coverage of DDD, Xponent, PlanTrak</w:t>
            </w:r>
          </w:p>
        </w:tc>
      </w:tr>
      <w:tr>
        <w:tc>
          <w:tcPr>
            <w:tcW w:type="dxa" w:w="2556"/>
          </w:tcPr>
          <w:p>
            <w:r>
              <w:rPr>
                <w:sz w:val="19"/>
              </w:rPr>
              <w:t>Coursera — Data Science with Real World Data in Pharma (Genentech)</w:t>
            </w:r>
          </w:p>
        </w:tc>
        <w:tc>
          <w:tcPr>
            <w:tcW w:type="dxa" w:w="2556"/>
          </w:tcPr>
          <w:p>
            <w:r>
              <w:rPr>
                <w:sz w:val="19"/>
              </w:rPr>
              <w:t>MOOC</w:t>
            </w:r>
          </w:p>
        </w:tc>
        <w:tc>
          <w:tcPr>
            <w:tcW w:type="dxa" w:w="2556"/>
          </w:tcPr>
          <w:p>
            <w:r>
              <w:rPr>
                <w:sz w:val="19"/>
              </w:rPr>
              <w:t>Free to audit</w:t>
            </w:r>
          </w:p>
        </w:tc>
        <w:tc>
          <w:tcPr>
            <w:tcW w:type="dxa" w:w="2556"/>
          </w:tcPr>
          <w:p>
            <w:r>
              <w:rPr>
                <w:sz w:val="19"/>
              </w:rPr>
              <w:t>Hands-on RWD analysis methodology</w:t>
            </w:r>
          </w:p>
        </w:tc>
      </w:tr>
      <w:tr>
        <w:tc>
          <w:tcPr>
            <w:tcW w:type="dxa" w:w="2556"/>
          </w:tcPr>
          <w:p>
            <w:r>
              <w:rPr>
                <w:sz w:val="19"/>
              </w:rPr>
              <w:t>Coursera — Drug Commercialization (UC San Diego)</w:t>
            </w:r>
          </w:p>
        </w:tc>
        <w:tc>
          <w:tcPr>
            <w:tcW w:type="dxa" w:w="2556"/>
          </w:tcPr>
          <w:p>
            <w:r>
              <w:rPr>
                <w:sz w:val="19"/>
              </w:rPr>
              <w:t>MOOC</w:t>
            </w:r>
          </w:p>
        </w:tc>
        <w:tc>
          <w:tcPr>
            <w:tcW w:type="dxa" w:w="2556"/>
          </w:tcPr>
          <w:p>
            <w:r>
              <w:rPr>
                <w:sz w:val="19"/>
              </w:rPr>
              <w:t>Free to audit</w:t>
            </w:r>
          </w:p>
        </w:tc>
        <w:tc>
          <w:tcPr>
            <w:tcW w:type="dxa" w:w="2556"/>
          </w:tcPr>
          <w:p>
            <w:r>
              <w:rPr>
                <w:sz w:val="19"/>
              </w:rPr>
              <w:t>Business context for commercialization</w:t>
            </w:r>
          </w:p>
        </w:tc>
      </w:tr>
      <w:tr>
        <w:tc>
          <w:tcPr>
            <w:tcW w:type="dxa" w:w="2556"/>
          </w:tcPr>
          <w:p>
            <w:r>
              <w:rPr>
                <w:sz w:val="19"/>
              </w:rPr>
              <w:t>Coursera — Introduction to the Pharmaceutical Industry (Univ. of Glasgow)</w:t>
            </w:r>
          </w:p>
        </w:tc>
        <w:tc>
          <w:tcPr>
            <w:tcW w:type="dxa" w:w="2556"/>
          </w:tcPr>
          <w:p>
            <w:r>
              <w:rPr>
                <w:sz w:val="19"/>
              </w:rPr>
              <w:t>MOOC</w:t>
            </w:r>
          </w:p>
        </w:tc>
        <w:tc>
          <w:tcPr>
            <w:tcW w:type="dxa" w:w="2556"/>
          </w:tcPr>
          <w:p>
            <w:r>
              <w:rPr>
                <w:sz w:val="19"/>
              </w:rPr>
              <w:t>Free to audit</w:t>
            </w:r>
          </w:p>
        </w:tc>
        <w:tc>
          <w:tcPr>
            <w:tcW w:type="dxa" w:w="2556"/>
          </w:tcPr>
          <w:p>
            <w:r>
              <w:rPr>
                <w:sz w:val="19"/>
              </w:rPr>
              <w:t>Industry orientation, terminology</w:t>
            </w:r>
          </w:p>
        </w:tc>
      </w:tr>
      <w:tr>
        <w:tc>
          <w:tcPr>
            <w:tcW w:type="dxa" w:w="2556"/>
          </w:tcPr>
          <w:p>
            <w:r>
              <w:rPr>
                <w:sz w:val="19"/>
              </w:rPr>
              <w:t>IQVIA — Available IQVIA Data catalog + product fact sheets</w:t>
            </w:r>
          </w:p>
        </w:tc>
        <w:tc>
          <w:tcPr>
            <w:tcW w:type="dxa" w:w="2556"/>
          </w:tcPr>
          <w:p>
            <w:r>
              <w:rPr>
                <w:sz w:val="19"/>
              </w:rPr>
              <w:t>Vendor docs</w:t>
            </w:r>
          </w:p>
        </w:tc>
        <w:tc>
          <w:tcPr>
            <w:tcW w:type="dxa" w:w="2556"/>
          </w:tcPr>
          <w:p>
            <w:r>
              <w:rPr>
                <w:sz w:val="19"/>
              </w:rPr>
              <w:t>Free PDFs</w:t>
            </w:r>
          </w:p>
        </w:tc>
        <w:tc>
          <w:tcPr>
            <w:tcW w:type="dxa" w:w="2556"/>
          </w:tcPr>
          <w:p>
            <w:r>
              <w:rPr>
                <w:sz w:val="19"/>
              </w:rPr>
              <w:t>Reference detail on commercial datasets</w:t>
            </w:r>
          </w:p>
        </w:tc>
      </w:tr>
      <w:tr>
        <w:tc>
          <w:tcPr>
            <w:tcW w:type="dxa" w:w="2556"/>
          </w:tcPr>
          <w:p>
            <w:r>
              <w:rPr>
                <w:sz w:val="19"/>
              </w:rPr>
              <w:t>IQVIA — Information Management &amp; Data Engineering white papers</w:t>
            </w:r>
          </w:p>
        </w:tc>
        <w:tc>
          <w:tcPr>
            <w:tcW w:type="dxa" w:w="2556"/>
          </w:tcPr>
          <w:p>
            <w:r>
              <w:rPr>
                <w:sz w:val="19"/>
              </w:rPr>
              <w:t>Vendor white papers</w:t>
            </w:r>
          </w:p>
        </w:tc>
        <w:tc>
          <w:tcPr>
            <w:tcW w:type="dxa" w:w="2556"/>
          </w:tcPr>
          <w:p>
            <w:r>
              <w:rPr>
                <w:sz w:val="19"/>
              </w:rPr>
              <w:t>Free PDFs</w:t>
            </w:r>
          </w:p>
        </w:tc>
        <w:tc>
          <w:tcPr>
            <w:tcW w:type="dxa" w:w="2556"/>
          </w:tcPr>
          <w:p>
            <w:r>
              <w:rPr>
                <w:sz w:val="19"/>
              </w:rPr>
              <w:t>Modern data architecture in life sciences</w:t>
            </w:r>
          </w:p>
        </w:tc>
      </w:tr>
      <w:tr>
        <w:tc>
          <w:tcPr>
            <w:tcW w:type="dxa" w:w="2556"/>
          </w:tcPr>
          <w:p>
            <w:r>
              <w:rPr>
                <w:sz w:val="19"/>
              </w:rPr>
              <w:t>Komodo Health — Healthcare Map documentation</w:t>
            </w:r>
          </w:p>
        </w:tc>
        <w:tc>
          <w:tcPr>
            <w:tcW w:type="dxa" w:w="2556"/>
          </w:tcPr>
          <w:p>
            <w:r>
              <w:rPr>
                <w:sz w:val="19"/>
              </w:rPr>
              <w:t>Vendor docs</w:t>
            </w:r>
          </w:p>
        </w:tc>
        <w:tc>
          <w:tcPr>
            <w:tcW w:type="dxa" w:w="2556"/>
          </w:tcPr>
          <w:p>
            <w:r>
              <w:rPr>
                <w:sz w:val="19"/>
              </w:rPr>
              <w:t>Free</w:t>
            </w:r>
          </w:p>
        </w:tc>
        <w:tc>
          <w:tcPr>
            <w:tcW w:type="dxa" w:w="2556"/>
          </w:tcPr>
          <w:p>
            <w:r>
              <w:rPr>
                <w:sz w:val="19"/>
              </w:rPr>
              <w:t>Integrated claims/EHR/payer data product</w:t>
            </w:r>
          </w:p>
        </w:tc>
      </w:tr>
      <w:tr>
        <w:tc>
          <w:tcPr>
            <w:tcW w:type="dxa" w:w="2556"/>
          </w:tcPr>
          <w:p>
            <w:r>
              <w:rPr>
                <w:sz w:val="19"/>
              </w:rPr>
              <w:t>PMSA — Webinar Archive + JPMSA Journal</w:t>
            </w:r>
          </w:p>
        </w:tc>
        <w:tc>
          <w:tcPr>
            <w:tcW w:type="dxa" w:w="2556"/>
          </w:tcPr>
          <w:p>
            <w:r>
              <w:rPr>
                <w:sz w:val="19"/>
              </w:rPr>
              <w:t>Industry community</w:t>
            </w:r>
          </w:p>
        </w:tc>
        <w:tc>
          <w:tcPr>
            <w:tcW w:type="dxa" w:w="2556"/>
          </w:tcPr>
          <w:p>
            <w:r>
              <w:rPr>
                <w:sz w:val="19"/>
              </w:rPr>
              <w:t>Mostly member-gated</w:t>
            </w:r>
          </w:p>
        </w:tc>
        <w:tc>
          <w:tcPr>
            <w:tcW w:type="dxa" w:w="2556"/>
          </w:tcPr>
          <w:p>
            <w:r>
              <w:rPr>
                <w:sz w:val="19"/>
              </w:rPr>
              <w:t>Rolling updates, case studies</w:t>
            </w:r>
          </w:p>
        </w:tc>
      </w:tr>
      <w:tr>
        <w:tc>
          <w:tcPr>
            <w:tcW w:type="dxa" w:w="2556"/>
          </w:tcPr>
          <w:p>
            <w:r>
              <w:rPr>
                <w:sz w:val="19"/>
              </w:rPr>
              <w:t>FDA — Framework for FDA's Real-World Evidence Program (2018)</w:t>
            </w:r>
          </w:p>
        </w:tc>
        <w:tc>
          <w:tcPr>
            <w:tcW w:type="dxa" w:w="2556"/>
          </w:tcPr>
          <w:p>
            <w:r>
              <w:rPr>
                <w:sz w:val="19"/>
              </w:rPr>
              <w:t>Regulatory guidance</w:t>
            </w:r>
          </w:p>
        </w:tc>
        <w:tc>
          <w:tcPr>
            <w:tcW w:type="dxa" w:w="2556"/>
          </w:tcPr>
          <w:p>
            <w:r>
              <w:rPr>
                <w:sz w:val="19"/>
              </w:rPr>
              <w:t>Free PDF</w:t>
            </w:r>
          </w:p>
        </w:tc>
        <w:tc>
          <w:tcPr>
            <w:tcW w:type="dxa" w:w="2556"/>
          </w:tcPr>
          <w:p>
            <w:r>
              <w:rPr>
                <w:sz w:val="19"/>
              </w:rPr>
              <w:t>Regulatory framing of RWD/RWE</w:t>
            </w:r>
          </w:p>
        </w:tc>
      </w:tr>
      <w:tr>
        <w:tc>
          <w:tcPr>
            <w:tcW w:type="dxa" w:w="2556"/>
          </w:tcPr>
          <w:p>
            <w:r>
              <w:rPr>
                <w:sz w:val="19"/>
              </w:rPr>
              <w:t>FDA — Considerations for the Use of RWD/RWE for Drugs and Biologics (2024)</w:t>
            </w:r>
          </w:p>
        </w:tc>
        <w:tc>
          <w:tcPr>
            <w:tcW w:type="dxa" w:w="2556"/>
          </w:tcPr>
          <w:p>
            <w:r>
              <w:rPr>
                <w:sz w:val="19"/>
              </w:rPr>
              <w:t>Regulatory guidance</w:t>
            </w:r>
          </w:p>
        </w:tc>
        <w:tc>
          <w:tcPr>
            <w:tcW w:type="dxa" w:w="2556"/>
          </w:tcPr>
          <w:p>
            <w:r>
              <w:rPr>
                <w:sz w:val="19"/>
              </w:rPr>
              <w:t>Free PDF</w:t>
            </w:r>
          </w:p>
        </w:tc>
        <w:tc>
          <w:tcPr>
            <w:tcW w:type="dxa" w:w="2556"/>
          </w:tcPr>
          <w:p>
            <w:r>
              <w:rPr>
                <w:sz w:val="19"/>
              </w:rPr>
              <w:t>Operational rules for RWD studies</w:t>
            </w:r>
          </w:p>
        </w:tc>
      </w:tr>
    </w:tbl>
    <w:p>
      <w:pPr>
        <w:spacing w:after="80"/>
      </w:pPr>
      <w:r>
        <w:rPr>
          <w:b/>
          <w:color w:val="C0392B"/>
          <w:sz w:val="20"/>
        </w:rPr>
        <w:t xml:space="preserve">Source-attribution note. </w:t>
      </w:r>
      <w:r>
        <w:rPr>
          <w:i/>
          <w:color w:val="555555"/>
          <w:sz w:val="20"/>
        </w:rPr>
        <w:t>Most of the vendor and book content below is summarized from search excerpts plus general domain knowledge — we could not directly fetch full text of the book, IQVIA white papers, or Coursera course bodies in this environment. Where a claim depends on primary text (rather than common industry knowledge), we cite the source explicitly.</w:t>
      </w:r>
    </w:p>
    <w:p>
      <w:pPr>
        <w:spacing w:before="280" w:after="80"/>
        <w:pBdr>
          <w:bottom w:val="single" w:sz="8" w:space="1" w:color="0B3D91"/>
        </w:pBdr>
      </w:pPr>
      <w:r>
        <w:rPr>
          <w:b/>
          <w:color w:val="0B3D91"/>
          <w:sz w:val="30"/>
        </w:rPr>
        <w:t>1. Tzavaras — Pharmaceutical Sales Data 101</w:t>
      </w:r>
    </w:p>
    <w:p>
      <w:pPr>
        <w:spacing w:after="20"/>
      </w:pPr>
      <w:r>
        <w:rPr>
          <w:b/>
          <w:sz w:val="21"/>
        </w:rPr>
        <w:t xml:space="preserve">Author / publisher: </w:t>
      </w:r>
      <w:r>
        <w:rPr>
          <w:sz w:val="21"/>
        </w:rPr>
        <w:t>Kosta Tzavaras · Phi Publications, Inc. (2003, reprinted 2004)</w:t>
      </w:r>
    </w:p>
    <w:p>
      <w:pPr>
        <w:spacing w:after="20"/>
      </w:pPr>
      <w:r>
        <w:rPr>
          <w:b/>
          <w:sz w:val="21"/>
        </w:rPr>
        <w:t xml:space="preserve">Length: </w:t>
      </w:r>
      <w:r>
        <w:rPr>
          <w:sz w:val="21"/>
        </w:rPr>
        <w:t>273 pp.</w:t>
      </w:r>
    </w:p>
    <w:p>
      <w:pPr>
        <w:spacing w:after="20"/>
      </w:pPr>
      <w:r>
        <w:rPr>
          <w:b/>
          <w:sz w:val="21"/>
        </w:rPr>
        <w:t xml:space="preserve">ISBN: </w:t>
      </w:r>
      <w:r>
        <w:rPr>
          <w:sz w:val="21"/>
        </w:rPr>
        <w:t>9781412002707</w:t>
      </w:r>
    </w:p>
    <w:p>
      <w:pPr>
        <w:spacing w:after="20"/>
      </w:pPr>
      <w:r>
        <w:rPr>
          <w:b/>
          <w:sz w:val="21"/>
        </w:rPr>
        <w:t xml:space="preserve">Where to buy: </w:t>
      </w:r>
      <w:r>
        <w:rPr>
          <w:sz w:val="21"/>
        </w:rPr>
        <w:t>Amazon, AbeBooks, ThriftBooks, biblio.com — $30–$60 used</w:t>
      </w:r>
    </w:p>
    <w:p>
      <w:pPr>
        <w:spacing w:before="200" w:after="40"/>
      </w:pPr>
      <w:r>
        <w:rPr>
          <w:b/>
          <w:color w:val="0B3D91"/>
          <w:sz w:val="26"/>
        </w:rPr>
        <w:t>What it covers</w:t>
      </w:r>
    </w:p>
    <w:p>
      <w:pPr>
        <w:spacing w:after="60"/>
      </w:pPr>
      <w:r>
        <w:rPr>
          <w:b w:val="0"/>
          <w:i w:val="0"/>
          <w:color w:val="1A1A1A"/>
          <w:sz w:val="21"/>
        </w:rPr>
        <w:t>The book is the closest thing to a textbook on pharma commercial sales data. It is structured from the data user's perspective and is organized into three major sections, each anchored to a specific dataset family that IMS Health (now IQVIA) had productized by the early 2000s and that still defines the industry today.</w:t>
      </w:r>
    </w:p>
    <w:p>
      <w:pPr>
        <w:spacing w:before="120" w:after="20"/>
      </w:pPr>
      <w:r>
        <w:rPr>
          <w:b/>
          <w:color w:val="1A1A1A"/>
          <w:sz w:val="23"/>
        </w:rPr>
        <w:t>Section A — DDD sales data (Drug Distribution Data)</w:t>
      </w:r>
    </w:p>
    <w:p>
      <w:pPr>
        <w:spacing w:after="60"/>
      </w:pPr>
      <w:r>
        <w:rPr>
          <w:b w:val="0"/>
          <w:i w:val="0"/>
          <w:color w:val="1A1A1A"/>
          <w:sz w:val="21"/>
        </w:rPr>
        <w:t>DDD tracks the transactions from manufacturer to wholesaler to dispensing site (retail pharmacy, hospital pharmacy, mail-order, long-term care). The book frames DDD as "the cornerstone of a manufacturer's data foundation," used more often than any other dataset in commercial work.</w:t>
      </w:r>
    </w:p>
    <w:p>
      <w:pPr>
        <w:pStyle w:val="ListBullet"/>
        <w:spacing w:after="20"/>
        <w:ind w:left="432"/>
      </w:pPr>
      <w:r>
        <w:rPr>
          <w:sz w:val="21"/>
        </w:rPr>
        <w:t>Data is sourced from wholesaler 852/867 EDI feeds and direct manufacturer reporting.</w:t>
      </w:r>
    </w:p>
    <w:p>
      <w:pPr>
        <w:pStyle w:val="ListBullet"/>
        <w:spacing w:after="20"/>
        <w:ind w:left="432"/>
      </w:pPr>
      <w:r>
        <w:rPr>
          <w:sz w:val="21"/>
        </w:rPr>
        <w:t>Granularity is customer (3-tier: wholesaler / direct purchaser / dispensing site) × NDC × week.</w:t>
      </w:r>
    </w:p>
    <w:p>
      <w:pPr>
        <w:pStyle w:val="ListBullet"/>
        <w:spacing w:after="20"/>
        <w:ind w:left="432"/>
      </w:pPr>
      <w:r>
        <w:rPr>
          <w:sz w:val="21"/>
        </w:rPr>
        <w:t>It is the closest thing to ground-truth on units shipped — but "shipped" ≠ "prescribed" ≠ "taken."</w:t>
      </w:r>
    </w:p>
    <w:p>
      <w:pPr>
        <w:pStyle w:val="ListBullet"/>
        <w:spacing w:after="20"/>
        <w:ind w:left="432"/>
      </w:pPr>
      <w:r>
        <w:rPr>
          <w:sz w:val="21"/>
        </w:rPr>
        <w:t>Returns and chargebacks come back later and create messy reconciliation cycles, which the book treats as a first-class operational concern.</w:t>
      </w:r>
    </w:p>
    <w:p>
      <w:pPr>
        <w:spacing w:before="120" w:after="20"/>
      </w:pPr>
      <w:r>
        <w:rPr>
          <w:b/>
          <w:color w:val="1A1A1A"/>
          <w:sz w:val="23"/>
        </w:rPr>
        <w:t>Section B — Xponent prescription data</w:t>
      </w:r>
    </w:p>
    <w:p>
      <w:pPr>
        <w:spacing w:after="60"/>
      </w:pPr>
      <w:r>
        <w:rPr>
          <w:b w:val="0"/>
          <w:i w:val="0"/>
          <w:color w:val="1A1A1A"/>
          <w:sz w:val="21"/>
        </w:rPr>
        <w:t>Xponent tracks physician-level prescribing activity for all but over-the-counter drugs. It is described as "the single most important data for identifying and ranking prescribers for a given product." Xponent covers only the retail (pharmacy) market — a critical limitation that the book hammers on repeatedly because users routinely forget it.</w:t>
      </w:r>
    </w:p>
    <w:p>
      <w:pPr>
        <w:pStyle w:val="ListBullet"/>
        <w:spacing w:after="20"/>
        <w:ind w:left="432"/>
      </w:pPr>
      <w:r>
        <w:rPr>
          <w:sz w:val="21"/>
        </w:rPr>
        <w:t>Built from a panel of ~70-90% of US retail pharmacies, projected to 100% via patented projection methodology.</w:t>
      </w:r>
    </w:p>
    <w:p>
      <w:pPr>
        <w:pStyle w:val="ListBullet"/>
        <w:spacing w:after="20"/>
        <w:ind w:left="432"/>
      </w:pPr>
      <w:r>
        <w:rPr>
          <w:sz w:val="21"/>
        </w:rPr>
        <w:t>HCP × drug × week / month, with TRx (total Rx), NRx (new Rx), and refill counts.</w:t>
      </w:r>
    </w:p>
    <w:p>
      <w:pPr>
        <w:pStyle w:val="ListBullet"/>
        <w:spacing w:after="20"/>
        <w:ind w:left="432"/>
      </w:pPr>
      <w:r>
        <w:rPr>
          <w:sz w:val="21"/>
        </w:rPr>
        <w:t>Used as the basis for sales-force decile targeting, brand share tracking, and competitive intelligence.</w:t>
      </w:r>
    </w:p>
    <w:p>
      <w:pPr>
        <w:pStyle w:val="ListBullet"/>
        <w:spacing w:after="20"/>
        <w:ind w:left="432"/>
      </w:pPr>
      <w:r>
        <w:rPr>
          <w:sz w:val="21"/>
        </w:rPr>
        <w:t>Vendor-projected: same week's TRx will differ across IQVIA Xponent and Symphony's equivalent (Trio) by 2-8%.</w:t>
      </w:r>
    </w:p>
    <w:p>
      <w:pPr>
        <w:spacing w:before="120" w:after="20"/>
      </w:pPr>
      <w:r>
        <w:rPr>
          <w:b/>
          <w:color w:val="1A1A1A"/>
          <w:sz w:val="23"/>
        </w:rPr>
        <w:t>Section C — Xponent PlanTrak (payer / reimbursement)</w:t>
      </w:r>
    </w:p>
    <w:p>
      <w:pPr>
        <w:spacing w:after="60"/>
      </w:pPr>
      <w:r>
        <w:rPr>
          <w:b w:val="0"/>
          <w:i w:val="0"/>
          <w:color w:val="1A1A1A"/>
          <w:sz w:val="21"/>
        </w:rPr>
        <w:t>PlanTrak extends Xponent prescription data with the payer reimbursing for a given transaction. It bridges the prescriber-targeting world (Section B) and the access world that drives access rates and pull-through analyses.</w:t>
      </w:r>
    </w:p>
    <w:p>
      <w:pPr>
        <w:pStyle w:val="ListBullet"/>
        <w:spacing w:after="20"/>
        <w:ind w:left="432"/>
      </w:pPr>
      <w:r>
        <w:rPr>
          <w:sz w:val="21"/>
        </w:rPr>
        <w:t>Payer × plan × HCP × drug × week, derived from claim adjudication metadata.</w:t>
      </w:r>
    </w:p>
    <w:p>
      <w:pPr>
        <w:pStyle w:val="ListBullet"/>
        <w:spacing w:after="20"/>
        <w:ind w:left="432"/>
      </w:pPr>
      <w:r>
        <w:rPr>
          <w:sz w:val="21"/>
        </w:rPr>
        <w:t>Used to compute access rates (% Rx covered without restriction), pull-through after a coverage win, plan-level conversion analytics.</w:t>
      </w:r>
    </w:p>
    <w:p>
      <w:pPr>
        <w:pStyle w:val="ListBullet"/>
        <w:spacing w:after="20"/>
        <w:ind w:left="432"/>
      </w:pPr>
      <w:r>
        <w:rPr>
          <w:sz w:val="21"/>
        </w:rPr>
        <w:t>Plan attribution in claims is imperfect — the book treats this as a recurring data-quality issue.</w:t>
      </w:r>
    </w:p>
    <w:p>
      <w:pPr>
        <w:spacing w:before="200" w:after="40"/>
      </w:pPr>
      <w:r>
        <w:rPr>
          <w:b/>
          <w:color w:val="0B3D91"/>
          <w:sz w:val="26"/>
        </w:rPr>
        <w:t>What's still right after 22 years</w:t>
      </w:r>
    </w:p>
    <w:p>
      <w:pPr>
        <w:spacing w:after="60"/>
      </w:pPr>
      <w:r>
        <w:rPr>
          <w:b w:val="0"/>
          <w:i w:val="0"/>
          <w:color w:val="1A1A1A"/>
          <w:sz w:val="21"/>
        </w:rPr>
        <w:t>The structural concepts — DDD vs. projected Rx, the tradeoffs of panel projection, the meaning of payer/plan attribution, the gap between shipped/prescribed/taken — are unchanged. Anyone joining a pharma commercial team still encounters DDD, Xponent (or its successor brand under IQVIA), and PlanTrak (or its successor) on day one. The book remains the only book-length treatment that walks through these from the data-user's perspective.</w:t>
      </w:r>
    </w:p>
    <w:p>
      <w:pPr>
        <w:spacing w:before="200" w:after="40"/>
      </w:pPr>
      <w:r>
        <w:rPr>
          <w:b/>
          <w:color w:val="0B3D91"/>
          <w:sz w:val="26"/>
        </w:rPr>
        <w:t>What's missing or out of date</w:t>
      </w:r>
    </w:p>
    <w:p>
      <w:pPr>
        <w:pStyle w:val="ListBullet"/>
        <w:spacing w:after="20"/>
        <w:ind w:left="432"/>
      </w:pPr>
      <w:r>
        <w:rPr>
          <w:sz w:val="21"/>
        </w:rPr>
        <w:t>EHR data: not yet a commercial primary dataset in 2003. Today (Flatiron, ConcertAI, Tempus, Veeva Link, Truveta) it is essential and absent from the book.</w:t>
      </w:r>
    </w:p>
    <w:p>
      <w:pPr>
        <w:pStyle w:val="ListBullet"/>
        <w:spacing w:after="20"/>
        <w:ind w:left="432"/>
      </w:pPr>
      <w:r>
        <w:rPr>
          <w:sz w:val="21"/>
        </w:rPr>
        <w:t>Closed claims at scale (Optum Clinformatics, Marketscan, Inovalon MORE2): mostly post-dates the book's currency.</w:t>
      </w:r>
    </w:p>
    <w:p>
      <w:pPr>
        <w:pStyle w:val="ListBullet"/>
        <w:spacing w:after="20"/>
        <w:ind w:left="432"/>
      </w:pPr>
      <w:r>
        <w:rPr>
          <w:sz w:val="21"/>
        </w:rPr>
        <w:t>Open vs. closed claims framework as it exists today: the book pre-dates the modern Komodo / HealthVerity / PharMetrics-Plus generation.</w:t>
      </w:r>
    </w:p>
    <w:p>
      <w:pPr>
        <w:pStyle w:val="ListBullet"/>
        <w:spacing w:after="20"/>
        <w:ind w:left="432"/>
      </w:pPr>
      <w:r>
        <w:rPr>
          <w:sz w:val="21"/>
        </w:rPr>
        <w:t>Data-vendor consolidation: most of the named third-party vendors have been acquired or merged; institutional knowledge needs updating.</w:t>
      </w:r>
    </w:p>
    <w:p>
      <w:pPr>
        <w:pStyle w:val="ListBullet"/>
        <w:spacing w:after="20"/>
        <w:ind w:left="432"/>
      </w:pPr>
      <w:r>
        <w:rPr>
          <w:sz w:val="21"/>
        </w:rPr>
        <w:t>Modern infrastructure: tokenization (Datavant), cloud data marketplaces, real-time / streaming, GenAI on top of structured data — none of this existed.</w:t>
      </w:r>
    </w:p>
    <w:p>
      <w:pPr>
        <w:spacing w:before="200" w:after="40"/>
      </w:pPr>
      <w:r>
        <w:rPr>
          <w:b/>
          <w:color w:val="0B3D91"/>
          <w:sz w:val="26"/>
        </w:rPr>
        <w:t>Best way to use the book in this course</w:t>
      </w:r>
    </w:p>
    <w:p>
      <w:pPr>
        <w:spacing w:after="60"/>
      </w:pPr>
      <w:r>
        <w:rPr>
          <w:b w:val="0"/>
          <w:i w:val="0"/>
          <w:color w:val="1A1A1A"/>
          <w:sz w:val="21"/>
        </w:rPr>
        <w:t>Read Sections A and B as foundational — they teach the mental model that everything else builds on. Skim Section C for the vocabulary and skip the dated vendor-specific details. Pair the book with the Pharma Commercial Datasets Reference distributed with Week 2 to cover the gap between the book's currency and the modern data landscape.</w:t>
      </w:r>
    </w:p>
    <w:p>
      <w:pPr>
        <w:spacing w:before="280" w:after="80"/>
        <w:pBdr>
          <w:bottom w:val="single" w:sz="8" w:space="1" w:color="0B3D91"/>
        </w:pBdr>
      </w:pPr>
      <w:r>
        <w:rPr>
          <w:b/>
          <w:color w:val="0B3D91"/>
          <w:sz w:val="30"/>
        </w:rPr>
        <w:t>2. Coursera Courses — Free to Audit</w:t>
      </w:r>
    </w:p>
    <w:p>
      <w:pPr>
        <w:spacing w:before="200" w:after="40"/>
      </w:pPr>
      <w:r>
        <w:rPr>
          <w:b/>
          <w:color w:val="0B3D91"/>
          <w:sz w:val="26"/>
        </w:rPr>
        <w:t>Data Science with Real World Data in Pharma (Genentech)</w:t>
      </w:r>
    </w:p>
    <w:p>
      <w:pPr>
        <w:spacing w:after="20"/>
      </w:pPr>
      <w:r>
        <w:rPr>
          <w:b/>
          <w:sz w:val="21"/>
        </w:rPr>
        <w:t xml:space="preserve">URL: </w:t>
      </w:r>
      <w:r>
        <w:rPr>
          <w:sz w:val="21"/>
        </w:rPr>
        <w:t>https://www.coursera.org/learn/data-science-in-rwd-analysis</w:t>
      </w:r>
    </w:p>
    <w:p>
      <w:pPr>
        <w:spacing w:after="20"/>
      </w:pPr>
      <w:r>
        <w:rPr>
          <w:b/>
          <w:sz w:val="21"/>
        </w:rPr>
        <w:t xml:space="preserve">Provider: </w:t>
      </w:r>
      <w:r>
        <w:rPr>
          <w:sz w:val="21"/>
        </w:rPr>
        <w:t>Genentech (a member of the Roche Group)</w:t>
      </w:r>
    </w:p>
    <w:p>
      <w:pPr>
        <w:spacing w:after="20"/>
      </w:pPr>
      <w:r>
        <w:rPr>
          <w:b/>
          <w:sz w:val="21"/>
        </w:rPr>
        <w:t xml:space="preserve">Length: </w:t>
      </w:r>
      <w:r>
        <w:rPr>
          <w:sz w:val="21"/>
        </w:rPr>
        <w:t>Approximately 4–5 hours, self-paced</w:t>
      </w:r>
    </w:p>
    <w:p>
      <w:pPr>
        <w:spacing w:after="20"/>
      </w:pPr>
      <w:r>
        <w:rPr>
          <w:b/>
          <w:sz w:val="21"/>
        </w:rPr>
        <w:t xml:space="preserve">Cost: </w:t>
      </w:r>
      <w:r>
        <w:rPr>
          <w:sz w:val="21"/>
        </w:rPr>
        <w:t>Free to audit; certificate paid</w:t>
      </w:r>
    </w:p>
    <w:p>
      <w:pPr>
        <w:spacing w:after="60"/>
      </w:pPr>
      <w:r>
        <w:rPr>
          <w:b w:val="0"/>
          <w:i w:val="0"/>
          <w:color w:val="1A1A1A"/>
          <w:sz w:val="21"/>
        </w:rPr>
        <w:t>Per the course description: introduces how Real World Data and Real World Evidence are used in pharmaceutical research and development, and how they complement the traditional clinical-trial evidence package. Frames "What it means to be a Real World Data Scientist in the pharmaceutical industry." Prerequisites: a background in data analytics, statistics, or other technical fields. No prior pharma industry experience is expected.</w:t>
      </w:r>
    </w:p>
    <w:p>
      <w:pPr>
        <w:spacing w:after="60"/>
      </w:pPr>
      <w:r>
        <w:rPr>
          <w:b w:val="0"/>
          <w:i/>
          <w:color w:val="1A1A1A"/>
          <w:sz w:val="21"/>
        </w:rPr>
        <w:t>Why it's the single best free course for this topic:</w:t>
      </w:r>
    </w:p>
    <w:p>
      <w:pPr>
        <w:pStyle w:val="ListBullet"/>
        <w:spacing w:after="20"/>
        <w:ind w:left="432"/>
      </w:pPr>
      <w:r>
        <w:rPr>
          <w:sz w:val="21"/>
        </w:rPr>
        <w:t>Taught by people doing the work, not academics. Genentech is a top-five pharma RWD shop.</w:t>
      </w:r>
    </w:p>
    <w:p>
      <w:pPr>
        <w:pStyle w:val="ListBullet"/>
        <w:spacing w:after="20"/>
        <w:ind w:left="432"/>
      </w:pPr>
      <w:r>
        <w:rPr>
          <w:sz w:val="21"/>
        </w:rPr>
        <w:t>Coverage spans data sources, evidence-generation methodology, and stakeholder use — three dimensions students typically learn in disconnected pieces elsewhere.</w:t>
      </w:r>
    </w:p>
    <w:p>
      <w:pPr>
        <w:pStyle w:val="ListBullet"/>
        <w:spacing w:after="20"/>
        <w:ind w:left="432"/>
      </w:pPr>
      <w:r>
        <w:rPr>
          <w:sz w:val="21"/>
        </w:rPr>
        <w:t>Free audit mode includes the lecture content; the certificate (paid) is largely irrelevant for learning.</w:t>
      </w:r>
    </w:p>
    <w:p>
      <w:pPr>
        <w:spacing w:after="60"/>
      </w:pPr>
      <w:r>
        <w:rPr>
          <w:b w:val="0"/>
          <w:i/>
          <w:color w:val="1A1A1A"/>
          <w:sz w:val="21"/>
        </w:rPr>
        <w:t>Best paired with:</w:t>
      </w:r>
    </w:p>
    <w:p>
      <w:pPr>
        <w:pStyle w:val="ListBullet"/>
        <w:spacing w:after="20"/>
        <w:ind w:left="432"/>
      </w:pPr>
      <w:r>
        <w:rPr>
          <w:sz w:val="21"/>
        </w:rPr>
        <w:t>This course on the science / methodology side, Tzavaras on the commercial-dataset side.</w:t>
      </w:r>
    </w:p>
    <w:p>
      <w:pPr>
        <w:spacing w:before="200" w:after="40"/>
      </w:pPr>
      <w:r>
        <w:rPr>
          <w:b/>
          <w:color w:val="0B3D91"/>
          <w:sz w:val="26"/>
        </w:rPr>
        <w:t>Data Sciences in Pharma — Patient-Centered Outcomes Research (Genentech)</w:t>
      </w:r>
    </w:p>
    <w:p>
      <w:pPr>
        <w:spacing w:after="20"/>
      </w:pPr>
      <w:r>
        <w:rPr>
          <w:b/>
          <w:sz w:val="21"/>
        </w:rPr>
        <w:t xml:space="preserve">URL: </w:t>
      </w:r>
      <w:r>
        <w:rPr>
          <w:sz w:val="21"/>
        </w:rPr>
        <w:t>https://www.coursera.org/learn/data-science-patient-centered-research-in-pharma-industry</w:t>
      </w:r>
    </w:p>
    <w:p>
      <w:pPr>
        <w:spacing w:after="20"/>
      </w:pPr>
      <w:r>
        <w:rPr>
          <w:b/>
          <w:sz w:val="21"/>
        </w:rPr>
        <w:t xml:space="preserve">Provider: </w:t>
      </w:r>
      <w:r>
        <w:rPr>
          <w:sz w:val="21"/>
        </w:rPr>
        <w:t>Genentech</w:t>
      </w:r>
    </w:p>
    <w:p>
      <w:pPr>
        <w:spacing w:after="60"/>
      </w:pPr>
      <w:r>
        <w:rPr>
          <w:b w:val="0"/>
          <w:i w:val="0"/>
          <w:color w:val="1A1A1A"/>
          <w:sz w:val="21"/>
        </w:rPr>
        <w:t>A natural follow-on to the RWD course. Focuses on patient-centered outcomes — patient-reported outcomes (PROs), quality-of-life measures, and how these get used in commercial and HEOR contexts.</w:t>
      </w:r>
    </w:p>
    <w:p>
      <w:pPr>
        <w:spacing w:before="200" w:after="40"/>
      </w:pPr>
      <w:r>
        <w:rPr>
          <w:b/>
          <w:color w:val="0B3D91"/>
          <w:sz w:val="26"/>
        </w:rPr>
        <w:t>Drug Commercialization (UC San Diego)</w:t>
      </w:r>
    </w:p>
    <w:p>
      <w:pPr>
        <w:spacing w:after="20"/>
      </w:pPr>
      <w:r>
        <w:rPr>
          <w:b/>
          <w:sz w:val="21"/>
        </w:rPr>
        <w:t xml:space="preserve">URL: </w:t>
      </w:r>
      <w:r>
        <w:rPr>
          <w:sz w:val="21"/>
        </w:rPr>
        <w:t>https://www.coursera.org/learn/drug-commercialization</w:t>
      </w:r>
    </w:p>
    <w:p>
      <w:pPr>
        <w:spacing w:after="20"/>
      </w:pPr>
      <w:r>
        <w:rPr>
          <w:b/>
          <w:sz w:val="21"/>
        </w:rPr>
        <w:t xml:space="preserve">Provider: </w:t>
      </w:r>
      <w:r>
        <w:rPr>
          <w:sz w:val="21"/>
        </w:rPr>
        <w:t>University of California San Diego</w:t>
      </w:r>
    </w:p>
    <w:p>
      <w:pPr>
        <w:spacing w:after="60"/>
      </w:pPr>
      <w:r>
        <w:rPr>
          <w:b w:val="0"/>
          <w:i w:val="0"/>
          <w:color w:val="1A1A1A"/>
          <w:sz w:val="21"/>
        </w:rPr>
        <w:t>Offers lectures from faculty and industry experts covering pharmacoeconomics, marketing strategy, intellectual-property strategy, portfolio management, managed markets, and strategic alliances. It is more business-school in tone than the Genentech course.</w:t>
      </w:r>
    </w:p>
    <w:p>
      <w:pPr>
        <w:spacing w:after="60"/>
      </w:pPr>
      <w:r>
        <w:rPr>
          <w:b w:val="0"/>
          <w:i/>
          <w:color w:val="1A1A1A"/>
          <w:sz w:val="21"/>
        </w:rPr>
        <w:t>Use it as the business-context layer that complements the technical-data layer of Tzavaras and the Genentech RWD course. It is part of a broader "Drug Development Product Management" specialization that includes drug-discovery and clinical-development modules.</w:t>
      </w:r>
    </w:p>
    <w:p>
      <w:pPr>
        <w:spacing w:before="200" w:after="40"/>
      </w:pPr>
      <w:r>
        <w:rPr>
          <w:b/>
          <w:color w:val="0B3D91"/>
          <w:sz w:val="26"/>
        </w:rPr>
        <w:t>Introduction to the Pharmaceutical Industry (University of Glasgow)</w:t>
      </w:r>
    </w:p>
    <w:p>
      <w:pPr>
        <w:spacing w:after="20"/>
      </w:pPr>
      <w:r>
        <w:rPr>
          <w:b/>
          <w:sz w:val="21"/>
        </w:rPr>
        <w:t xml:space="preserve">URL: </w:t>
      </w:r>
      <w:r>
        <w:rPr>
          <w:sz w:val="21"/>
        </w:rPr>
        <w:t>https://www.coursera.org/learn/introduction-to-the-pharmaceutical-industry</w:t>
      </w:r>
    </w:p>
    <w:p>
      <w:pPr>
        <w:spacing w:after="20"/>
      </w:pPr>
      <w:r>
        <w:rPr>
          <w:b/>
          <w:sz w:val="21"/>
        </w:rPr>
        <w:t xml:space="preserve">Provider: </w:t>
      </w:r>
      <w:r>
        <w:rPr>
          <w:sz w:val="21"/>
        </w:rPr>
        <w:t>University of Glasgow</w:t>
      </w:r>
    </w:p>
    <w:p>
      <w:pPr>
        <w:spacing w:after="60"/>
      </w:pPr>
      <w:r>
        <w:rPr>
          <w:b w:val="0"/>
          <w:i w:val="0"/>
          <w:color w:val="1A1A1A"/>
          <w:sz w:val="21"/>
        </w:rPr>
        <w:t>Industry-orientation course covering the journey from research to market approval. Useful for students with no prior healthcare exposure to build the right vocabulary before diving into commercial-specific content. Notably less commercial-focused than the UCSD course.</w:t>
      </w:r>
    </w:p>
    <w:p>
      <w:pPr>
        <w:spacing w:before="280" w:after="80"/>
        <w:pBdr>
          <w:bottom w:val="single" w:sz="8" w:space="1" w:color="0B3D91"/>
        </w:pBdr>
      </w:pPr>
      <w:r>
        <w:rPr>
          <w:b/>
          <w:color w:val="0B3D91"/>
          <w:sz w:val="30"/>
        </w:rPr>
        <w:t>3. IQVIA — The De Facto Reference for US Commercial Datasets</w:t>
      </w:r>
    </w:p>
    <w:p>
      <w:pPr>
        <w:spacing w:after="60"/>
      </w:pPr>
      <w:r>
        <w:rPr>
          <w:b w:val="0"/>
          <w:i w:val="0"/>
          <w:color w:val="1A1A1A"/>
          <w:sz w:val="21"/>
        </w:rPr>
        <w:t>IQVIA (formerly IMS Health, before its 2016 merger with Quintiles) sells most of the data the US commercial pharma industry runs on. Their public-facing fact sheets and white papers are the best free written references on what the major commercial datasets actually contain.</w:t>
      </w:r>
    </w:p>
    <w:p>
      <w:pPr>
        <w:spacing w:before="200" w:after="40"/>
      </w:pPr>
      <w:r>
        <w:rPr>
          <w:b/>
          <w:color w:val="0B3D91"/>
          <w:sz w:val="26"/>
        </w:rPr>
        <w:t>Available IQVIA Data — the catalog</w:t>
      </w:r>
    </w:p>
    <w:p>
      <w:pPr>
        <w:spacing w:after="20"/>
      </w:pPr>
      <w:r>
        <w:rPr>
          <w:b/>
          <w:sz w:val="21"/>
        </w:rPr>
        <w:t xml:space="preserve">URL: </w:t>
      </w:r>
      <w:r>
        <w:rPr>
          <w:sz w:val="21"/>
        </w:rPr>
        <w:t>https://www.iqvia.com/insights/the-iqvia-institute/available-iqvia-data</w:t>
      </w:r>
    </w:p>
    <w:p>
      <w:pPr>
        <w:spacing w:after="60"/>
      </w:pPr>
      <w:r>
        <w:rPr>
          <w:b w:val="0"/>
          <w:i w:val="0"/>
          <w:color w:val="1A1A1A"/>
          <w:sz w:val="21"/>
        </w:rPr>
        <w:t>Single page that lists every IQVIA data product and its scope. Used by analysts as the lookup table for what's possible with IQVIA. Key products covered:</w:t>
      </w:r>
    </w:p>
    <w:p>
      <w:pPr>
        <w:pStyle w:val="ListBullet"/>
        <w:spacing w:after="20"/>
        <w:ind w:left="432"/>
      </w:pPr>
      <w:r>
        <w:rPr>
          <w:sz w:val="21"/>
        </w:rPr>
        <w:t>LAAD (Longitudinal Access and Adjudication Data) — open claims (medical + Rx), patient-level, unprojected, broad capture.</w:t>
      </w:r>
    </w:p>
    <w:p>
      <w:pPr>
        <w:pStyle w:val="ListBullet"/>
        <w:spacing w:after="20"/>
        <w:ind w:left="432"/>
      </w:pPr>
      <w:r>
        <w:rPr>
          <w:sz w:val="21"/>
        </w:rPr>
        <w:t>PharMetrics Plus — closed claims with full enrollment, ~174M unique enrollees since 2006, mostly commercial under-65 with growing Managed Medicaid and MA capture.</w:t>
      </w:r>
    </w:p>
    <w:p>
      <w:pPr>
        <w:pStyle w:val="ListBullet"/>
        <w:spacing w:after="20"/>
        <w:ind w:left="432"/>
      </w:pPr>
      <w:r>
        <w:rPr>
          <w:sz w:val="21"/>
        </w:rPr>
        <w:t>LRx (Longitudinal Prescription Claims) — ~4 billion prescription claims per year since January 2006, ~92% retail / ~82% mail-service / ~74% LTC coverage.</w:t>
      </w:r>
    </w:p>
    <w:p>
      <w:pPr>
        <w:pStyle w:val="ListBullet"/>
        <w:spacing w:after="20"/>
        <w:ind w:left="432"/>
      </w:pPr>
      <w:r>
        <w:rPr>
          <w:sz w:val="21"/>
        </w:rPr>
        <w:t>Xponent — projected weekly Rx by HCP, ~93% retail / ~77% mail+LTC coverage, the canonical sales-force-targeting dataset.</w:t>
      </w:r>
    </w:p>
    <w:p>
      <w:pPr>
        <w:pStyle w:val="ListBullet"/>
        <w:spacing w:after="20"/>
        <w:ind w:left="432"/>
      </w:pPr>
      <w:r>
        <w:rPr>
          <w:sz w:val="21"/>
        </w:rPr>
        <w:t>OneKey — HCP and HCO master, the IQVIA equivalent of Definitive Healthcare's offering.</w:t>
      </w:r>
    </w:p>
    <w:p>
      <w:pPr>
        <w:pStyle w:val="ListBullet"/>
        <w:spacing w:after="20"/>
        <w:ind w:left="432"/>
      </w:pPr>
      <w:r>
        <w:rPr>
          <w:sz w:val="21"/>
        </w:rPr>
        <w:t>DDD — wholesaler-sourced units shipped (covered by Tzavaras above).</w:t>
      </w:r>
    </w:p>
    <w:p>
      <w:pPr>
        <w:spacing w:before="200" w:after="40"/>
      </w:pPr>
      <w:r>
        <w:rPr>
          <w:b/>
          <w:color w:val="0B3D91"/>
          <w:sz w:val="26"/>
        </w:rPr>
        <w:t>Information Management: The Key to Commercial Success in Pharma</w:t>
      </w:r>
    </w:p>
    <w:p>
      <w:pPr>
        <w:spacing w:after="20"/>
      </w:pPr>
      <w:r>
        <w:rPr>
          <w:b/>
          <w:sz w:val="21"/>
        </w:rPr>
        <w:t xml:space="preserve">URL: </w:t>
      </w:r>
      <w:r>
        <w:rPr>
          <w:sz w:val="21"/>
        </w:rPr>
        <w:t>https://www.iqvia.com/-/media/iqvia/pdfs/library/white-papers/information-management-the-key-to-commercial-success-in-pharma.pdf</w:t>
      </w:r>
    </w:p>
    <w:p>
      <w:pPr>
        <w:spacing w:after="60"/>
      </w:pPr>
      <w:r>
        <w:rPr>
          <w:b w:val="0"/>
          <w:i w:val="0"/>
          <w:color w:val="1A1A1A"/>
          <w:sz w:val="21"/>
        </w:rPr>
        <w:t>White paper on how pharma companies can build analytic data marts that automate complex analyses and standardize complex business rules. The strategic argument: the marginal cost of asking a new analytical question collapses once the underlying data plumbing is right. Useful for students because it reframes datasets as not just sources but as a layer in an enterprise data architecture.</w:t>
      </w:r>
    </w:p>
    <w:p>
      <w:pPr>
        <w:spacing w:before="200" w:after="40"/>
      </w:pPr>
      <w:r>
        <w:rPr>
          <w:b/>
          <w:color w:val="0B3D91"/>
          <w:sz w:val="26"/>
        </w:rPr>
        <w:t>The Evolution of Data Engineering in Commercial Pharma</w:t>
      </w:r>
    </w:p>
    <w:p>
      <w:pPr>
        <w:spacing w:after="20"/>
      </w:pPr>
      <w:r>
        <w:rPr>
          <w:b/>
          <w:sz w:val="21"/>
        </w:rPr>
        <w:t xml:space="preserve">URL: </w:t>
      </w:r>
      <w:r>
        <w:rPr>
          <w:sz w:val="21"/>
        </w:rPr>
        <w:t>https://www.iqvia.com/library/white-papers/the-evolution-of-data-engineering-in-commercial-pharma</w:t>
      </w:r>
    </w:p>
    <w:p>
      <w:pPr>
        <w:spacing w:after="60"/>
      </w:pPr>
      <w:r>
        <w:rPr>
          <w:b w:val="0"/>
          <w:i w:val="0"/>
          <w:color w:val="1A1A1A"/>
          <w:sz w:val="21"/>
        </w:rPr>
        <w:t>Identifies five capabilities required in modern life-sciences data engineering. Strong material for advanced students who want to understand why data pipelines look the way they do at large manufacturers (and why they're often broken).</w:t>
      </w:r>
    </w:p>
    <w:p>
      <w:pPr>
        <w:spacing w:before="200" w:after="40"/>
      </w:pPr>
      <w:r>
        <w:rPr>
          <w:b/>
          <w:color w:val="0B3D91"/>
          <w:sz w:val="26"/>
        </w:rPr>
        <w:t>How to use IQVIA materials in this course</w:t>
      </w:r>
    </w:p>
    <w:p>
      <w:pPr>
        <w:pStyle w:val="ListBullet"/>
        <w:spacing w:after="20"/>
        <w:ind w:left="432"/>
      </w:pPr>
      <w:r>
        <w:rPr>
          <w:sz w:val="21"/>
        </w:rPr>
        <w:t>Use the data catalog as the canonical reference for vendor-specific dataset names and capture metrics.</w:t>
      </w:r>
    </w:p>
    <w:p>
      <w:pPr>
        <w:pStyle w:val="ListBullet"/>
        <w:spacing w:after="20"/>
        <w:ind w:left="432"/>
      </w:pPr>
      <w:r>
        <w:rPr>
          <w:sz w:val="21"/>
        </w:rPr>
        <w:t>Treat the white papers as case studies — they're vendor-authored, so account for marketing tone, but the underlying technical claims are accurate.</w:t>
      </w:r>
    </w:p>
    <w:p>
      <w:pPr>
        <w:pStyle w:val="ListBullet"/>
        <w:spacing w:after="20"/>
        <w:ind w:left="432"/>
      </w:pPr>
      <w:r>
        <w:rPr>
          <w:sz w:val="21"/>
        </w:rPr>
        <w:t>For interview prep: students must know the difference between LAAD (open) and PharMetrics Plus (closed), and the difference between Xponent (projected) and LRx (longitudinal panel). These are textbook interview questions for analytics roles.</w:t>
      </w:r>
    </w:p>
    <w:p>
      <w:pPr>
        <w:spacing w:before="280" w:after="80"/>
        <w:pBdr>
          <w:bottom w:val="single" w:sz="8" w:space="1" w:color="0B3D91"/>
        </w:pBdr>
      </w:pPr>
      <w:r>
        <w:rPr>
          <w:b/>
          <w:color w:val="0B3D91"/>
          <w:sz w:val="30"/>
        </w:rPr>
        <w:t>4. Komodo Health — Modern Integrated RWD</w:t>
      </w:r>
    </w:p>
    <w:p>
      <w:pPr>
        <w:spacing w:after="20"/>
      </w:pPr>
      <w:r>
        <w:rPr>
          <w:b/>
          <w:sz w:val="21"/>
        </w:rPr>
        <w:t xml:space="preserve">Healthcare Map documentation: </w:t>
      </w:r>
      <w:r>
        <w:rPr>
          <w:sz w:val="21"/>
        </w:rPr>
        <w:t>https://www.komodohealth.com/solutions/healthcare-map/</w:t>
      </w:r>
    </w:p>
    <w:p>
      <w:pPr>
        <w:spacing w:after="60"/>
      </w:pPr>
      <w:r>
        <w:rPr>
          <w:b w:val="0"/>
          <w:i w:val="0"/>
          <w:color w:val="1A1A1A"/>
          <w:sz w:val="21"/>
        </w:rPr>
        <w:t>Komodo built an integrated dataset they call the Healthcare Map — de-identified records of ~330 million patients linking medical claims, pharmacy data, EHR, payer information, and clinical encounters (~16 million daily as of late 2025). Komodo's public materials are useful as a primer on what a modern, integrated, post-IMS-era RWD product looks like.</w:t>
      </w:r>
    </w:p>
    <w:p>
      <w:pPr>
        <w:spacing w:after="60"/>
      </w:pPr>
      <w:r>
        <w:rPr>
          <w:b w:val="0"/>
          <w:i w:val="0"/>
          <w:color w:val="1A1A1A"/>
          <w:sz w:val="21"/>
        </w:rPr>
        <w:t>Komodo's perspectives blog posts (e.g., "Are Counts Your Best Bet?", "Cracking the Code on Payer Insights", "Analyzing Specialty Drug Performance") are short pieces that double as case studies — each takes a typical commercial question and walks through the analytical approach. They are vendor-promotional but technically credible.</w:t>
      </w:r>
    </w:p>
    <w:p>
      <w:pPr>
        <w:spacing w:after="60"/>
      </w:pPr>
      <w:r>
        <w:rPr>
          <w:b w:val="0"/>
          <w:i/>
          <w:color w:val="1A1A1A"/>
          <w:sz w:val="21"/>
        </w:rPr>
        <w:t>For the course, Komodo's materials are best used to contrast the modern integrated approach against the classical IQVIA dataset-by-dataset model. The strategic shift — from buying separate claims, Rx, and reference datasets and joining them, to buying a pre-integrated patient-level graph — is one of the most important developments of the last decade in commercial RWD.</w:t>
      </w:r>
    </w:p>
    <w:p>
      <w:pPr>
        <w:spacing w:before="280" w:after="80"/>
        <w:pBdr>
          <w:bottom w:val="single" w:sz="8" w:space="1" w:color="0B3D91"/>
        </w:pBdr>
      </w:pPr>
      <w:r>
        <w:rPr>
          <w:b/>
          <w:color w:val="0B3D91"/>
          <w:sz w:val="30"/>
        </w:rPr>
        <w:t>5. PMSA — The Pharmaceutical Management Science Association</w:t>
      </w:r>
    </w:p>
    <w:p>
      <w:pPr>
        <w:spacing w:after="20"/>
      </w:pPr>
      <w:r>
        <w:rPr>
          <w:b/>
          <w:sz w:val="21"/>
        </w:rPr>
        <w:t xml:space="preserve">Webinar archive: </w:t>
      </w:r>
      <w:r>
        <w:rPr>
          <w:sz w:val="21"/>
        </w:rPr>
        <w:t>https://pmsa.org/webinars/past-webinars</w:t>
      </w:r>
    </w:p>
    <w:p>
      <w:pPr>
        <w:spacing w:after="20"/>
      </w:pPr>
      <w:r>
        <w:rPr>
          <w:b/>
          <w:sz w:val="21"/>
        </w:rPr>
        <w:t xml:space="preserve">Journal (JPMSA): </w:t>
      </w:r>
      <w:r>
        <w:rPr>
          <w:sz w:val="21"/>
        </w:rPr>
        <w:t>https://pmsa.org/resources/pmsa-journal</w:t>
      </w:r>
    </w:p>
    <w:p>
      <w:pPr>
        <w:spacing w:after="20"/>
      </w:pPr>
      <w:r>
        <w:rPr>
          <w:b/>
          <w:sz w:val="21"/>
        </w:rPr>
        <w:t xml:space="preserve">Conferences: </w:t>
      </w:r>
      <w:r>
        <w:rPr>
          <w:sz w:val="21"/>
        </w:rPr>
        <w:t>Annual (May), Fall Symposium, Global Summit</w:t>
      </w:r>
    </w:p>
    <w:p>
      <w:pPr>
        <w:spacing w:after="60"/>
      </w:pPr>
      <w:r>
        <w:rPr>
          <w:b w:val="0"/>
          <w:i w:val="0"/>
          <w:color w:val="1A1A1A"/>
          <w:sz w:val="21"/>
        </w:rPr>
        <w:t>PMSA is the de facto industry venue for commercial analytics in US pharma. Its membership is made up of practitioners from manufacturers (Pfizer, Lilly, Bristol Myers, Merck, etc.), consulting firms (ZS, Axtria, IQVIA Consulting, Trinity, Putnam), and analytics vendors (Definitive Healthcare, MMIT, Komodo, etc.). The webinar archive is the largest single trove of case-study-driven content on commercial pharma analytics that exists in public form.</w:t>
      </w:r>
    </w:p>
    <w:p>
      <w:pPr>
        <w:spacing w:before="200" w:after="40"/>
      </w:pPr>
      <w:r>
        <w:rPr>
          <w:b/>
          <w:color w:val="0B3D91"/>
          <w:sz w:val="26"/>
        </w:rPr>
        <w:t>How PMSA content maps to dataset learning</w:t>
      </w:r>
    </w:p>
    <w:p>
      <w:pPr>
        <w:pStyle w:val="ListBullet"/>
        <w:spacing w:after="20"/>
        <w:ind w:left="432"/>
      </w:pPr>
      <w:r>
        <w:rPr>
          <w:sz w:val="21"/>
        </w:rPr>
        <w:t>Patient Data Applications Across Product Lifecycle — best single starting webinar; walks through claims/RWD use across launch, in-line, and LOE.</w:t>
      </w:r>
    </w:p>
    <w:p>
      <w:pPr>
        <w:pStyle w:val="ListBullet"/>
        <w:spacing w:after="20"/>
        <w:ind w:left="432"/>
      </w:pPr>
      <w:r>
        <w:rPr>
          <w:sz w:val="21"/>
        </w:rPr>
        <w:t>Improving Completeness and Accuracy of Real World Data — direct treatment of the data-quality problem.</w:t>
      </w:r>
    </w:p>
    <w:p>
      <w:pPr>
        <w:pStyle w:val="ListBullet"/>
        <w:spacing w:after="20"/>
        <w:ind w:left="432"/>
      </w:pPr>
      <w:r>
        <w:rPr>
          <w:sz w:val="21"/>
        </w:rPr>
        <w:t>Combine Advanced Analytics and RWD to Accurately Identify Treatment Drivers — an end-to-end case study.</w:t>
      </w:r>
    </w:p>
    <w:p>
      <w:pPr>
        <w:pStyle w:val="ListBullet"/>
        <w:spacing w:after="20"/>
        <w:ind w:left="432"/>
      </w:pPr>
      <w:r>
        <w:rPr>
          <w:sz w:val="21"/>
        </w:rPr>
        <w:t>Pharma Marketing: The Upside of Segmentation Use Case (Dec 2020) — public PDF on segmentation methodology.</w:t>
      </w:r>
    </w:p>
    <w:p>
      <w:pPr>
        <w:pStyle w:val="ListBullet"/>
        <w:spacing w:after="20"/>
        <w:ind w:left="432"/>
      </w:pPr>
      <w:r>
        <w:rPr>
          <w:sz w:val="21"/>
        </w:rPr>
        <w:t>From Multichannel to Omnichannel: AI/ML Techniques (2-part) — orchestration architecture.</w:t>
      </w:r>
    </w:p>
    <w:p>
      <w:pPr>
        <w:pStyle w:val="ListBullet"/>
        <w:spacing w:after="20"/>
        <w:ind w:left="432"/>
      </w:pPr>
      <w:r>
        <w:rPr>
          <w:sz w:val="21"/>
        </w:rPr>
        <w:t>Agentic AI: Accelerate Impact, Transform Care (April 2025) — current frontier framing.</w:t>
      </w:r>
    </w:p>
    <w:p>
      <w:pPr>
        <w:spacing w:before="200" w:after="40"/>
      </w:pPr>
      <w:r>
        <w:rPr>
          <w:b/>
          <w:color w:val="0B3D91"/>
          <w:sz w:val="26"/>
        </w:rPr>
        <w:t>Practical access notes</w:t>
      </w:r>
    </w:p>
    <w:p>
      <w:pPr>
        <w:spacing w:after="60"/>
      </w:pPr>
      <w:r>
        <w:rPr>
          <w:b w:val="0"/>
          <w:i/>
          <w:color w:val="1A1A1A"/>
          <w:sz w:val="21"/>
        </w:rPr>
        <w:t>Most webinars are member-gated; some have public-facing summaries. The annual conference agenda pages list speakers and session titles — useful as a discovery tool even without membership. Faculty (and senior students preparing for industry roles) should consider membership; the rolling content cadence is the single best way to stay current on what the industry is actively debating.</w:t>
      </w:r>
    </w:p>
    <w:p>
      <w:pPr>
        <w:spacing w:before="280" w:after="80"/>
        <w:pBdr>
          <w:bottom w:val="single" w:sz="8" w:space="1" w:color="0B3D91"/>
        </w:pBdr>
      </w:pPr>
      <w:r>
        <w:rPr>
          <w:b/>
          <w:color w:val="0B3D91"/>
          <w:sz w:val="30"/>
        </w:rPr>
        <w:t>6. FDA — Real-World Evidence Framework</w:t>
      </w:r>
    </w:p>
    <w:p>
      <w:pPr>
        <w:spacing w:before="200" w:after="40"/>
      </w:pPr>
      <w:r>
        <w:rPr>
          <w:b/>
          <w:color w:val="0B3D91"/>
          <w:sz w:val="26"/>
        </w:rPr>
        <w:t>Framework for FDA's Real-World Evidence Program (December 2018)</w:t>
      </w:r>
    </w:p>
    <w:p>
      <w:pPr>
        <w:spacing w:after="20"/>
      </w:pPr>
      <w:r>
        <w:rPr>
          <w:b/>
          <w:sz w:val="21"/>
        </w:rPr>
        <w:t xml:space="preserve">Public PDF: </w:t>
      </w:r>
      <w:r>
        <w:rPr>
          <w:sz w:val="21"/>
        </w:rPr>
        <w:t>https://www.fda.gov/media/120060/download</w:t>
      </w:r>
    </w:p>
    <w:p>
      <w:pPr>
        <w:spacing w:after="20"/>
      </w:pPr>
      <w:r>
        <w:rPr>
          <w:b/>
          <w:sz w:val="21"/>
        </w:rPr>
        <w:t xml:space="preserve">Required by: </w:t>
      </w:r>
      <w:r>
        <w:rPr>
          <w:sz w:val="21"/>
        </w:rPr>
        <w:t>21st Century Cures Act, Section 3022 (enacted Dec 13, 2016)</w:t>
      </w:r>
    </w:p>
    <w:p>
      <w:pPr>
        <w:spacing w:after="60"/>
      </w:pPr>
      <w:r>
        <w:rPr>
          <w:b w:val="0"/>
          <w:i w:val="0"/>
          <w:color w:val="1A1A1A"/>
          <w:sz w:val="21"/>
        </w:rPr>
        <w:t>The foundational document. Establishes the FDA's three-criterion test for accepting RWE in regulatory submissions: (1) is the RWD selected fit for use to generate evidence on product effectiveness; (2) does the study design generate robust scientific evidence to address the regulatory question; (3) does the execution meet FDA regulatory requirements. The framework discusses data quality, the use of RWE in effectiveness vs. safety, the need for common external RWD controls, data standards for submissions, electronic source data, and stakeholder engagement.</w:t>
      </w:r>
    </w:p>
    <w:p>
      <w:pPr>
        <w:spacing w:after="60"/>
      </w:pPr>
      <w:r>
        <w:rPr>
          <w:b w:val="0"/>
          <w:i/>
          <w:color w:val="1A1A1A"/>
          <w:sz w:val="21"/>
        </w:rPr>
        <w:t>Identified gaps the framework names explicitly:</w:t>
      </w:r>
    </w:p>
    <w:p>
      <w:pPr>
        <w:pStyle w:val="ListBullet"/>
        <w:spacing w:after="20"/>
        <w:ind w:left="432"/>
      </w:pPr>
      <w:r>
        <w:rPr>
          <w:sz w:val="21"/>
        </w:rPr>
        <w:t>Insufficient data on concordance between traditional clinical-trial results and observational-study results.</w:t>
      </w:r>
    </w:p>
    <w:p>
      <w:pPr>
        <w:pStyle w:val="ListBullet"/>
        <w:spacing w:after="20"/>
        <w:ind w:left="432"/>
      </w:pPr>
      <w:r>
        <w:rPr>
          <w:sz w:val="21"/>
        </w:rPr>
        <w:t>Lack of reporting requirements for various observational studies.</w:t>
      </w:r>
    </w:p>
    <w:p>
      <w:pPr>
        <w:pStyle w:val="ListBullet"/>
        <w:spacing w:after="20"/>
        <w:ind w:left="432"/>
      </w:pPr>
      <w:r>
        <w:rPr>
          <w:sz w:val="21"/>
        </w:rPr>
        <w:t>Lack of data-recording standards and interoperability across healthcare data-collection systems.</w:t>
      </w:r>
    </w:p>
    <w:p>
      <w:pPr>
        <w:pStyle w:val="ListBullet"/>
        <w:spacing w:after="20"/>
        <w:ind w:left="432"/>
      </w:pPr>
      <w:r>
        <w:rPr>
          <w:sz w:val="21"/>
        </w:rPr>
        <w:t>Challenges in integrating data for the same patient across various data sources (the linkage problem).</w:t>
      </w:r>
    </w:p>
    <w:p>
      <w:pPr>
        <w:spacing w:before="200" w:after="40"/>
      </w:pPr>
      <w:r>
        <w:rPr>
          <w:b/>
          <w:color w:val="0B3D91"/>
          <w:sz w:val="26"/>
        </w:rPr>
        <w:t>Considerations for the Use of RWD/RWE for Drugs and Biologics (2024 final guidance)</w:t>
      </w:r>
    </w:p>
    <w:p>
      <w:pPr>
        <w:spacing w:after="20"/>
      </w:pPr>
      <w:r>
        <w:rPr>
          <w:b/>
          <w:sz w:val="21"/>
        </w:rPr>
        <w:t xml:space="preserve">Public PDF: </w:t>
      </w:r>
      <w:r>
        <w:rPr>
          <w:sz w:val="21"/>
        </w:rPr>
        <w:t>https://www.fda.gov/media/171667/download</w:t>
      </w:r>
    </w:p>
    <w:p>
      <w:pPr>
        <w:spacing w:after="60"/>
      </w:pPr>
      <w:r>
        <w:rPr>
          <w:b w:val="0"/>
          <w:i w:val="0"/>
          <w:color w:val="1A1A1A"/>
          <w:sz w:val="21"/>
        </w:rPr>
        <w:t>The operational follow-on to the 2018 Framework. Where the Framework establishes principles, this guidance tells study designers how to actually do it: defining the study population, identifying exposures and outcomes, handling missing data, validation, and how to engage with the agency.</w:t>
      </w:r>
    </w:p>
    <w:p>
      <w:pPr>
        <w:spacing w:before="200" w:after="40"/>
      </w:pPr>
      <w:r>
        <w:rPr>
          <w:b/>
          <w:color w:val="0B3D91"/>
          <w:sz w:val="26"/>
        </w:rPr>
        <w:t>Why students should read these</w:t>
      </w:r>
    </w:p>
    <w:p>
      <w:pPr>
        <w:pStyle w:val="ListBullet"/>
        <w:spacing w:after="20"/>
        <w:ind w:left="432"/>
      </w:pPr>
      <w:r>
        <w:rPr>
          <w:sz w:val="21"/>
        </w:rPr>
        <w:t>Even purely commercial work is increasingly tied to RWE generation (label expansion, post-marketing requirements, payer evidence packages). Knowing the regulatory frame is now table-stakes.</w:t>
      </w:r>
    </w:p>
    <w:p>
      <w:pPr>
        <w:pStyle w:val="ListBullet"/>
        <w:spacing w:after="20"/>
        <w:ind w:left="432"/>
      </w:pPr>
      <w:r>
        <w:rPr>
          <w:sz w:val="21"/>
        </w:rPr>
        <w:t>The vocabulary — "fit for use," "data accrual," "target trial emulation," "sentinel-style active surveillance" — is industry standard and traces directly to these documents.</w:t>
      </w:r>
    </w:p>
    <w:p>
      <w:pPr>
        <w:pStyle w:val="ListBullet"/>
        <w:spacing w:after="20"/>
        <w:ind w:left="432"/>
      </w:pPr>
      <w:r>
        <w:rPr>
          <w:sz w:val="21"/>
        </w:rPr>
        <w:t>These two documents are the ones cited most often in industry job descriptions for senior RWE roles.</w:t>
      </w:r>
    </w:p>
    <w:p>
      <w:pPr>
        <w:spacing w:before="280" w:after="80"/>
        <w:pBdr>
          <w:bottom w:val="single" w:sz="8" w:space="1" w:color="0B3D91"/>
        </w:pBdr>
      </w:pPr>
      <w:r>
        <w:rPr>
          <w:b/>
          <w:color w:val="0B3D91"/>
          <w:sz w:val="30"/>
        </w:rPr>
        <w:t>7. Synthesis — What These Sources Collectively Teach</w:t>
      </w:r>
    </w:p>
    <w:p>
      <w:pPr>
        <w:spacing w:before="200" w:after="40"/>
      </w:pPr>
      <w:r>
        <w:rPr>
          <w:b/>
          <w:color w:val="0B3D91"/>
          <w:sz w:val="26"/>
        </w:rPr>
        <w:t>The core mental model (consensus across all sources)</w:t>
      </w:r>
    </w:p>
    <w:p>
      <w:pPr>
        <w:spacing w:after="60"/>
      </w:pPr>
      <w:r>
        <w:rPr>
          <w:b w:val="0"/>
          <w:i w:val="0"/>
          <w:color w:val="1A1A1A"/>
          <w:sz w:val="21"/>
        </w:rPr>
        <w:t>Pharma commercial data sits at the intersection of three flows: a unit flow (manufacturer → wholesaler → dispenser → patient), a transaction flow (HCP writes Rx → pharmacy fills → payer adjudicates), and a longitudinal patient flow (cohort → treatment journey → outcomes). Different datasets capture different cuts of these flows, and the practical skill is knowing which dataset captures which cut — and what each one misses.</w:t>
      </w:r>
    </w:p>
    <w:p>
      <w:pPr>
        <w:spacing w:before="200" w:after="40"/>
      </w:pPr>
      <w:r>
        <w:rPr>
          <w:b/>
          <w:color w:val="0B3D91"/>
          <w:sz w:val="26"/>
        </w:rPr>
        <w:t>Where the sources agree</w:t>
      </w:r>
    </w:p>
    <w:p>
      <w:pPr>
        <w:pStyle w:val="ListBullet"/>
        <w:spacing w:after="20"/>
        <w:ind w:left="432"/>
      </w:pPr>
      <w:r>
        <w:rPr>
          <w:sz w:val="21"/>
        </w:rPr>
        <w:t>DDD / 867 / wholesaler data is the closest thing to ground truth on units sold, but is several steps removed from patient demand.</w:t>
      </w:r>
    </w:p>
    <w:p>
      <w:pPr>
        <w:pStyle w:val="ListBullet"/>
        <w:spacing w:after="20"/>
        <w:ind w:left="432"/>
      </w:pPr>
      <w:r>
        <w:rPr>
          <w:sz w:val="21"/>
        </w:rPr>
        <w:t>Projected Rx panels (Xponent and equivalents) are the workhorse for prescriber-level targeting and brand-share tracking, with known limits around mail-order capture, long-tail HCP noise, and inter-vendor methodology differences.</w:t>
      </w:r>
    </w:p>
    <w:p>
      <w:pPr>
        <w:pStyle w:val="ListBullet"/>
        <w:spacing w:after="20"/>
        <w:ind w:left="432"/>
      </w:pPr>
      <w:r>
        <w:rPr>
          <w:sz w:val="21"/>
        </w:rPr>
        <w:t>Open vs. closed claims is the fundamental architectural choice that drives everything downstream — open for breadth, closed for completeness in a defined population.</w:t>
      </w:r>
    </w:p>
    <w:p>
      <w:pPr>
        <w:pStyle w:val="ListBullet"/>
        <w:spacing w:after="20"/>
        <w:ind w:left="432"/>
      </w:pPr>
      <w:r>
        <w:rPr>
          <w:sz w:val="21"/>
        </w:rPr>
        <w:t>Reference data (HCP/HCO masters) is under-invested-in industry-wide and quietly poisons every analysis built on top of bad mastering.</w:t>
      </w:r>
    </w:p>
    <w:p>
      <w:pPr>
        <w:pStyle w:val="ListBullet"/>
        <w:spacing w:after="20"/>
        <w:ind w:left="432"/>
      </w:pPr>
      <w:r>
        <w:rPr>
          <w:sz w:val="21"/>
        </w:rPr>
        <w:t>Real-world data (claims + EHR + lab + tokenized linkage) is now the second pillar of commercial analytics alongside the classic IQVIA stack — and is the area of fastest change.</w:t>
      </w:r>
    </w:p>
    <w:p>
      <w:pPr>
        <w:spacing w:before="200" w:after="40"/>
      </w:pPr>
      <w:r>
        <w:rPr>
          <w:b/>
          <w:color w:val="0B3D91"/>
          <w:sz w:val="26"/>
        </w:rPr>
        <w:t>Where the sources disagree (or quietly differ)</w:t>
      </w:r>
    </w:p>
    <w:p>
      <w:pPr>
        <w:pStyle w:val="ListBullet"/>
        <w:spacing w:after="20"/>
        <w:ind w:left="432"/>
      </w:pPr>
      <w:r>
        <w:rPr>
          <w:sz w:val="21"/>
        </w:rPr>
        <w:t>Tzavaras treats DDD/Xponent/PlanTrak as the universe; modern vendor materials (IQVIA, Komodo) implicitly position their integrated graphs as more advanced. Both views are right at different decision-altitudes.</w:t>
      </w:r>
    </w:p>
    <w:p>
      <w:pPr>
        <w:pStyle w:val="ListBullet"/>
        <w:spacing w:after="20"/>
        <w:ind w:left="432"/>
      </w:pPr>
      <w:r>
        <w:rPr>
          <w:sz w:val="21"/>
        </w:rPr>
        <w:t>The FDA Framework treats RWE as an evidence-generation problem; commercial vendors treat the same data as a targeting problem. The same dataset has very different governance and quality bars depending on which use you have in mind.</w:t>
      </w:r>
    </w:p>
    <w:p>
      <w:pPr>
        <w:pStyle w:val="ListBullet"/>
        <w:spacing w:after="20"/>
        <w:ind w:left="432"/>
      </w:pPr>
      <w:r>
        <w:rPr>
          <w:sz w:val="21"/>
        </w:rPr>
        <w:t>On open vs. closed claims, vendor materials trade-off market — IQVIA emphasizes the breadth of LAAD; closed-claims vendors (Optum, Marketscan) emphasize completeness. Both are correct claims about different products.</w:t>
      </w:r>
    </w:p>
    <w:p>
      <w:pPr>
        <w:spacing w:before="200" w:after="40"/>
      </w:pPr>
      <w:r>
        <w:rPr>
          <w:b/>
          <w:color w:val="0B3D91"/>
          <w:sz w:val="26"/>
        </w:rPr>
        <w:t>What no single source covers well</w:t>
      </w:r>
    </w:p>
    <w:p>
      <w:pPr>
        <w:pStyle w:val="ListBullet"/>
        <w:spacing w:after="20"/>
        <w:ind w:left="432"/>
      </w:pPr>
      <w:r>
        <w:rPr>
          <w:sz w:val="21"/>
        </w:rPr>
        <w:t>Specialty pharmacy and hub-services data — almost entirely brand-specific and proprietary; no public textbook treatment.</w:t>
      </w:r>
    </w:p>
    <w:p>
      <w:pPr>
        <w:pStyle w:val="ListBullet"/>
        <w:spacing w:after="20"/>
        <w:ind w:left="432"/>
      </w:pPr>
      <w:r>
        <w:rPr>
          <w:sz w:val="21"/>
        </w:rPr>
        <w:t>Internal manufacturer data (gross-to-net, sample distribution, free-goods, copay-card redemption, MLR-approved content metadata) — lives inside companies; only learned on the job.</w:t>
      </w:r>
    </w:p>
    <w:p>
      <w:pPr>
        <w:pStyle w:val="ListBullet"/>
        <w:spacing w:after="20"/>
        <w:ind w:left="432"/>
      </w:pPr>
      <w:r>
        <w:rPr>
          <w:sz w:val="21"/>
        </w:rPr>
        <w:t>The contracting and pricing side of the data ecosystem — chargebacks, rebates, gross-to-net reconciliation — has no public textbook treatment.</w:t>
      </w:r>
    </w:p>
    <w:p>
      <w:pPr>
        <w:pStyle w:val="ListBullet"/>
        <w:spacing w:after="20"/>
        <w:ind w:left="432"/>
      </w:pPr>
      <w:r>
        <w:rPr>
          <w:sz w:val="21"/>
        </w:rPr>
        <w:t>Payer dynamics (PBM consolidation, formulary politics, employer-group decisions) — covered in fragments across MMIT, Norstella, and consulting reports, but no synthesis.</w:t>
      </w:r>
    </w:p>
    <w:p>
      <w:pPr>
        <w:spacing w:before="280" w:after="80"/>
        <w:pBdr>
          <w:bottom w:val="single" w:sz="8" w:space="1" w:color="0B3D91"/>
        </w:pBdr>
      </w:pPr>
      <w:r>
        <w:rPr>
          <w:b/>
          <w:color w:val="0B3D91"/>
          <w:sz w:val="30"/>
        </w:rPr>
        <w:t>8. A Recommended Learning Path</w:t>
      </w:r>
    </w:p>
    <w:p>
      <w:pPr>
        <w:spacing w:after="60"/>
      </w:pPr>
      <w:r>
        <w:rPr>
          <w:b w:val="0"/>
          <w:i w:val="0"/>
          <w:color w:val="1A1A1A"/>
          <w:sz w:val="21"/>
        </w:rPr>
        <w:t>Compiled for a graduate student starting from a data-science background with no prior pharma exposure, targeting employability in commercial pharma analytics within 12 months.</w:t>
      </w:r>
    </w:p>
    <w:p>
      <w:pPr>
        <w:spacing w:before="120" w:after="20"/>
      </w:pPr>
      <w:r>
        <w:rPr>
          <w:b/>
          <w:color w:val="1A1A1A"/>
          <w:sz w:val="23"/>
        </w:rPr>
        <w:t>Weeks 1–2: orientation</w:t>
      </w:r>
    </w:p>
    <w:p>
      <w:pPr>
        <w:pStyle w:val="ListBullet"/>
        <w:spacing w:after="20"/>
        <w:ind w:left="432"/>
      </w:pPr>
      <w:r>
        <w:rPr>
          <w:sz w:val="21"/>
        </w:rPr>
        <w:t>Coursera — Introduction to the Pharmaceutical Industry (Glasgow). Skim — vocabulary only.</w:t>
      </w:r>
    </w:p>
    <w:p>
      <w:pPr>
        <w:pStyle w:val="ListBullet"/>
        <w:spacing w:after="20"/>
        <w:ind w:left="432"/>
      </w:pPr>
      <w:r>
        <w:rPr>
          <w:sz w:val="21"/>
        </w:rPr>
        <w:t>Pharma Commercial Datasets Reference (this course). Read end to end.</w:t>
      </w:r>
    </w:p>
    <w:p>
      <w:pPr>
        <w:pStyle w:val="ListBullet"/>
        <w:spacing w:after="20"/>
        <w:ind w:left="432"/>
      </w:pPr>
      <w:r>
        <w:rPr>
          <w:sz w:val="21"/>
        </w:rPr>
        <w:t>Tzavaras — Sections A and B (DDD and Xponent). Skim Section C.</w:t>
      </w:r>
    </w:p>
    <w:p>
      <w:pPr>
        <w:spacing w:before="120" w:after="20"/>
      </w:pPr>
      <w:r>
        <w:rPr>
          <w:b/>
          <w:color w:val="1A1A1A"/>
          <w:sz w:val="23"/>
        </w:rPr>
        <w:t>Weeks 3–6: technical depth</w:t>
      </w:r>
    </w:p>
    <w:p>
      <w:pPr>
        <w:pStyle w:val="ListBullet"/>
        <w:spacing w:after="20"/>
        <w:ind w:left="432"/>
      </w:pPr>
      <w:r>
        <w:rPr>
          <w:sz w:val="21"/>
        </w:rPr>
        <w:t>Coursera — Data Science with Real World Data in Pharma (Genentech). Complete in full.</w:t>
      </w:r>
    </w:p>
    <w:p>
      <w:pPr>
        <w:pStyle w:val="ListBullet"/>
        <w:spacing w:after="20"/>
        <w:ind w:left="432"/>
      </w:pPr>
      <w:r>
        <w:rPr>
          <w:sz w:val="21"/>
        </w:rPr>
        <w:t>FDA Framework for RWE (Dec 2018). Read executive summary + Section II.</w:t>
      </w:r>
    </w:p>
    <w:p>
      <w:pPr>
        <w:pStyle w:val="ListBullet"/>
        <w:spacing w:after="20"/>
        <w:ind w:left="432"/>
      </w:pPr>
      <w:r>
        <w:rPr>
          <w:sz w:val="21"/>
        </w:rPr>
        <w:t>PMSA — Patient Data Applications Across Product Lifecycle. One webinar.</w:t>
      </w:r>
    </w:p>
    <w:p>
      <w:pPr>
        <w:pStyle w:val="ListBullet"/>
        <w:spacing w:after="20"/>
        <w:ind w:left="432"/>
      </w:pPr>
      <w:r>
        <w:rPr>
          <w:sz w:val="21"/>
        </w:rPr>
        <w:t>PMSA — Improving Completeness and Accuracy of RWD. One webinar.</w:t>
      </w:r>
    </w:p>
    <w:p>
      <w:pPr>
        <w:pStyle w:val="ListBullet"/>
        <w:spacing w:after="20"/>
        <w:ind w:left="432"/>
      </w:pPr>
      <w:r>
        <w:rPr>
          <w:sz w:val="21"/>
        </w:rPr>
        <w:t>IQVIA — Available IQVIA Data catalog. Bookmark for reference.</w:t>
      </w:r>
    </w:p>
    <w:p>
      <w:pPr>
        <w:spacing w:before="120" w:after="20"/>
      </w:pPr>
      <w:r>
        <w:rPr>
          <w:b/>
          <w:color w:val="1A1A1A"/>
          <w:sz w:val="23"/>
        </w:rPr>
        <w:t>Weeks 7–10: application + commercial framing</w:t>
      </w:r>
    </w:p>
    <w:p>
      <w:pPr>
        <w:pStyle w:val="ListBullet"/>
        <w:spacing w:after="20"/>
        <w:ind w:left="432"/>
      </w:pPr>
      <w:r>
        <w:rPr>
          <w:sz w:val="21"/>
        </w:rPr>
        <w:t>Coursera — Drug Commercialization (UCSD). Selectively.</w:t>
      </w:r>
    </w:p>
    <w:p>
      <w:pPr>
        <w:pStyle w:val="ListBullet"/>
        <w:spacing w:after="20"/>
        <w:ind w:left="432"/>
      </w:pPr>
      <w:r>
        <w:rPr>
          <w:sz w:val="21"/>
        </w:rPr>
        <w:t>Komodo Health perspective posts — pick three case studies relevant to your interest area.</w:t>
      </w:r>
    </w:p>
    <w:p>
      <w:pPr>
        <w:pStyle w:val="ListBullet"/>
        <w:spacing w:after="20"/>
        <w:ind w:left="432"/>
      </w:pPr>
      <w:r>
        <w:rPr>
          <w:sz w:val="21"/>
        </w:rPr>
        <w:t>PMSA — Pharma Marketing: Upside of Segmentation Use Case (PDF). Read end to end.</w:t>
      </w:r>
    </w:p>
    <w:p>
      <w:pPr>
        <w:pStyle w:val="ListBullet"/>
        <w:spacing w:after="20"/>
        <w:ind w:left="432"/>
      </w:pPr>
      <w:r>
        <w:rPr>
          <w:sz w:val="21"/>
        </w:rPr>
        <w:t>Begin building a portfolio project on synthetic claims data (the DLBCL notebook from Week 2 is the template).</w:t>
      </w:r>
    </w:p>
    <w:p>
      <w:pPr>
        <w:spacing w:before="120" w:after="20"/>
      </w:pPr>
      <w:r>
        <w:rPr>
          <w:b/>
          <w:color w:val="1A1A1A"/>
          <w:sz w:val="23"/>
        </w:rPr>
        <w:t>Weeks 11–12: interview prep</w:t>
      </w:r>
    </w:p>
    <w:p>
      <w:pPr>
        <w:pStyle w:val="ListBullet"/>
        <w:spacing w:after="20"/>
        <w:ind w:left="432"/>
      </w:pPr>
      <w:r>
        <w:rPr>
          <w:sz w:val="21"/>
        </w:rPr>
        <w:t>FDA — Considerations for the Use of RWD/RWE (2024). Skim.</w:t>
      </w:r>
    </w:p>
    <w:p>
      <w:pPr>
        <w:pStyle w:val="ListBullet"/>
        <w:spacing w:after="20"/>
        <w:ind w:left="432"/>
      </w:pPr>
      <w:r>
        <w:rPr>
          <w:sz w:val="21"/>
        </w:rPr>
        <w:t>Practice talking through 5 case patterns: market sizing, MMM walkthrough, segmentation defense, NBA design, and an RWE study design.</w:t>
      </w:r>
    </w:p>
    <w:p>
      <w:pPr>
        <w:pStyle w:val="ListBullet"/>
        <w:spacing w:after="20"/>
        <w:ind w:left="432"/>
      </w:pPr>
      <w:r>
        <w:rPr>
          <w:sz w:val="21"/>
        </w:rPr>
        <w:t>Cross-reference common interview questions (open vs. closed, projected vs. observed, ground-truth on units, plan vs. payer) against the vocabulary used in IQVIA fact sheets — interviewers often phrase questions in vendor-native terms.</w:t>
      </w:r>
    </w:p>
    <w:p>
      <w:pPr>
        <w:spacing w:before="280" w:after="80"/>
        <w:pBdr>
          <w:bottom w:val="single" w:sz="8" w:space="1" w:color="0B3D91"/>
        </w:pBdr>
      </w:pPr>
      <w:r>
        <w:rPr>
          <w:b/>
          <w:color w:val="0B3D91"/>
          <w:sz w:val="30"/>
        </w:rPr>
        <w:t>9. Ten Interview Questions These Sources Prepare You For</w:t>
      </w:r>
    </w:p>
    <w:p>
      <w:pPr>
        <w:pStyle w:val="ListBullet"/>
        <w:spacing w:after="20"/>
        <w:ind w:left="432"/>
      </w:pPr>
      <w:r>
        <w:rPr>
          <w:sz w:val="21"/>
        </w:rPr>
        <w:t>What's the difference between open and closed claims, and when would you use each?</w:t>
      </w:r>
    </w:p>
    <w:p>
      <w:pPr>
        <w:pStyle w:val="ListBullet"/>
        <w:spacing w:after="20"/>
        <w:ind w:left="432"/>
      </w:pPr>
      <w:r>
        <w:rPr>
          <w:sz w:val="21"/>
        </w:rPr>
        <w:t>Walk me through how you'd build a 1L treatment-share view for a launching oncology brand.</w:t>
      </w:r>
    </w:p>
    <w:p>
      <w:pPr>
        <w:pStyle w:val="ListBullet"/>
        <w:spacing w:after="20"/>
        <w:ind w:left="432"/>
      </w:pPr>
      <w:r>
        <w:rPr>
          <w:sz w:val="21"/>
        </w:rPr>
        <w:t>Why does Xponent's brand-share number disagree with the manufacturer's own ex-factory shipments? Reconcile them.</w:t>
      </w:r>
    </w:p>
    <w:p>
      <w:pPr>
        <w:pStyle w:val="ListBullet"/>
        <w:spacing w:after="20"/>
        <w:ind w:left="432"/>
      </w:pPr>
      <w:r>
        <w:rPr>
          <w:sz w:val="21"/>
        </w:rPr>
        <w:t>We won the formulary at a major PBM and the brand isn't growing. Where do you start?</w:t>
      </w:r>
    </w:p>
    <w:p>
      <w:pPr>
        <w:pStyle w:val="ListBullet"/>
        <w:spacing w:after="20"/>
        <w:ind w:left="432"/>
      </w:pPr>
      <w:r>
        <w:rPr>
          <w:sz w:val="21"/>
        </w:rPr>
        <w:t>How would you size the addressable patient population for a precision-medicine launch with a biomarker-positive subset?</w:t>
      </w:r>
    </w:p>
    <w:p>
      <w:pPr>
        <w:pStyle w:val="ListBullet"/>
        <w:spacing w:after="20"/>
        <w:ind w:left="432"/>
      </w:pPr>
      <w:r>
        <w:rPr>
          <w:sz w:val="21"/>
        </w:rPr>
        <w:t>What's your mental model for choosing between IQVIA, Komodo, and Symphony for a new project?</w:t>
      </w:r>
    </w:p>
    <w:p>
      <w:pPr>
        <w:pStyle w:val="ListBullet"/>
        <w:spacing w:after="20"/>
        <w:ind w:left="432"/>
      </w:pPr>
      <w:r>
        <w:rPr>
          <w:sz w:val="21"/>
        </w:rPr>
        <w:t>Why is reference data (HCP/HCO master) such a common source of analytical error?</w:t>
      </w:r>
    </w:p>
    <w:p>
      <w:pPr>
        <w:pStyle w:val="ListBullet"/>
        <w:spacing w:after="20"/>
        <w:ind w:left="432"/>
      </w:pPr>
      <w:r>
        <w:rPr>
          <w:sz w:val="21"/>
        </w:rPr>
        <w:t>Walk me through the FDA's three-criterion test for using RWE in a regulatory submission.</w:t>
      </w:r>
    </w:p>
    <w:p>
      <w:pPr>
        <w:pStyle w:val="ListBullet"/>
        <w:spacing w:after="20"/>
        <w:ind w:left="432"/>
      </w:pPr>
      <w:r>
        <w:rPr>
          <w:sz w:val="21"/>
        </w:rPr>
        <w:t>How would you design a Line of Therapy (LOT) algorithm for DLBCL? Defend your gap-rule choice.</w:t>
      </w:r>
    </w:p>
    <w:p>
      <w:pPr>
        <w:pStyle w:val="ListBullet"/>
        <w:spacing w:after="20"/>
        <w:ind w:left="432"/>
      </w:pPr>
      <w:r>
        <w:rPr>
          <w:sz w:val="21"/>
        </w:rPr>
        <w:t>What's the difference between a regulatory RWE use case and a commercial RWD use case for the same dataset?</w:t>
      </w:r>
    </w:p>
    <w:p>
      <w:pPr>
        <w:spacing w:after="60"/>
      </w:pPr>
      <w:r>
        <w:rPr>
          <w:b w:val="0"/>
          <w:i/>
          <w:color w:val="1A1A1A"/>
          <w:sz w:val="21"/>
        </w:rPr>
        <w:t>Answer guides for each are not in this document. They are taught across the weekly lectures of this course — and a good interview answer always sounds like a senior analyst telling a story, not a junior analyst reciting a definition. The mentor program is the best way to practice this.</w:t>
      </w:r>
    </w:p>
    <w:p>
      <w:pPr>
        <w:spacing w:before="280" w:after="80"/>
        <w:pBdr>
          <w:bottom w:val="single" w:sz="8" w:space="1" w:color="0B3D91"/>
        </w:pBdr>
      </w:pPr>
      <w:r>
        <w:rPr>
          <w:b/>
          <w:color w:val="0B3D91"/>
          <w:sz w:val="30"/>
        </w:rPr>
        <w:t>Appendix — Combined Reading List</w:t>
      </w:r>
    </w:p>
    <w:p>
      <w:pPr>
        <w:pStyle w:val="ListBullet"/>
        <w:spacing w:after="20"/>
        <w:ind w:left="432"/>
      </w:pPr>
      <w:r>
        <w:rPr>
          <w:sz w:val="21"/>
        </w:rPr>
        <w:t>Tzavaras, K. Pharmaceutical Sales Data 101: The Client Perspective. Phi Publications, 2003. ISBN 9781412002707. Amazon: https://www.amazon.com/Pharmaceutical-Sales-Data-101-Perspective/dp/1412002702</w:t>
      </w:r>
    </w:p>
    <w:p>
      <w:pPr>
        <w:pStyle w:val="ListBullet"/>
        <w:spacing w:after="20"/>
        <w:ind w:left="432"/>
      </w:pPr>
      <w:r>
        <w:rPr>
          <w:sz w:val="21"/>
        </w:rPr>
        <w:t>Coursera — Data Science with Real World Data in Pharma (Genentech). https://www.coursera.org/learn/data-science-in-rwd-analysis</w:t>
      </w:r>
    </w:p>
    <w:p>
      <w:pPr>
        <w:pStyle w:val="ListBullet"/>
        <w:spacing w:after="20"/>
        <w:ind w:left="432"/>
      </w:pPr>
      <w:r>
        <w:rPr>
          <w:sz w:val="21"/>
        </w:rPr>
        <w:t>Coursera — Data Sciences in Pharma — Patient-Centered Outcomes Research (Genentech). https://www.coursera.org/learn/data-science-patient-centered-research-in-pharma-industry</w:t>
      </w:r>
    </w:p>
    <w:p>
      <w:pPr>
        <w:pStyle w:val="ListBullet"/>
        <w:spacing w:after="20"/>
        <w:ind w:left="432"/>
      </w:pPr>
      <w:r>
        <w:rPr>
          <w:sz w:val="21"/>
        </w:rPr>
        <w:t>Coursera — Drug Commercialization (UC San Diego). https://www.coursera.org/learn/drug-commercialization</w:t>
      </w:r>
    </w:p>
    <w:p>
      <w:pPr>
        <w:pStyle w:val="ListBullet"/>
        <w:spacing w:after="20"/>
        <w:ind w:left="432"/>
      </w:pPr>
      <w:r>
        <w:rPr>
          <w:sz w:val="21"/>
        </w:rPr>
        <w:t>Coursera — Introduction to the Pharmaceutical Industry (Glasgow). https://www.coursera.org/learn/introduction-to-the-pharmaceutical-industry</w:t>
      </w:r>
    </w:p>
    <w:p>
      <w:pPr>
        <w:pStyle w:val="ListBullet"/>
        <w:spacing w:after="20"/>
        <w:ind w:left="432"/>
      </w:pPr>
      <w:r>
        <w:rPr>
          <w:sz w:val="21"/>
        </w:rPr>
        <w:t>IQVIA — Available IQVIA Data. https://www.iqvia.com/insights/the-iqvia-institute/available-iqvia-data</w:t>
      </w:r>
    </w:p>
    <w:p>
      <w:pPr>
        <w:pStyle w:val="ListBullet"/>
        <w:spacing w:after="20"/>
        <w:ind w:left="432"/>
      </w:pPr>
      <w:r>
        <w:rPr>
          <w:sz w:val="21"/>
        </w:rPr>
        <w:t>IQVIA — Information Management: The Key to Commercial Success in Pharma (PDF). https://www.iqvia.com/-/media/iqvia/pdfs/library/white-papers/information-management-the-key-to-commercial-success-in-pharma.pdf</w:t>
      </w:r>
    </w:p>
    <w:p>
      <w:pPr>
        <w:pStyle w:val="ListBullet"/>
        <w:spacing w:after="20"/>
        <w:ind w:left="432"/>
      </w:pPr>
      <w:r>
        <w:rPr>
          <w:sz w:val="21"/>
        </w:rPr>
        <w:t>IQVIA — The Evolution of Data Engineering in Commercial Pharma. https://www.iqvia.com/library/white-papers/the-evolution-of-data-engineering-in-commercial-pharma</w:t>
      </w:r>
    </w:p>
    <w:p>
      <w:pPr>
        <w:pStyle w:val="ListBullet"/>
        <w:spacing w:after="20"/>
        <w:ind w:left="432"/>
      </w:pPr>
      <w:r>
        <w:rPr>
          <w:sz w:val="21"/>
        </w:rPr>
        <w:t>IQVIA — Xponent fact sheet. https://www.iqvia.com/locations/united-states/library/fact-sheets/xponent</w:t>
      </w:r>
    </w:p>
    <w:p>
      <w:pPr>
        <w:pStyle w:val="ListBullet"/>
        <w:spacing w:after="20"/>
        <w:ind w:left="432"/>
      </w:pPr>
      <w:r>
        <w:rPr>
          <w:sz w:val="21"/>
        </w:rPr>
        <w:t>IQVIA — LRx fact sheet. https://www.iqvia.com/locations/united-states/library/fact-sheets/iqvia-longitudinal-prescription-data-lrx</w:t>
      </w:r>
    </w:p>
    <w:p>
      <w:pPr>
        <w:pStyle w:val="ListBullet"/>
        <w:spacing w:after="20"/>
        <w:ind w:left="432"/>
      </w:pPr>
      <w:r>
        <w:rPr>
          <w:sz w:val="21"/>
        </w:rPr>
        <w:t>Komodo Health — Healthcare Map. https://www.komodohealth.com/solutions/healthcare-map/</w:t>
      </w:r>
    </w:p>
    <w:p>
      <w:pPr>
        <w:pStyle w:val="ListBullet"/>
        <w:spacing w:after="20"/>
        <w:ind w:left="432"/>
      </w:pPr>
      <w:r>
        <w:rPr>
          <w:sz w:val="21"/>
        </w:rPr>
        <w:t>PMSA — Webinar Archive. https://pmsa.org/webinars/past-webinars</w:t>
      </w:r>
    </w:p>
    <w:p>
      <w:pPr>
        <w:pStyle w:val="ListBullet"/>
        <w:spacing w:after="20"/>
        <w:ind w:left="432"/>
      </w:pPr>
      <w:r>
        <w:rPr>
          <w:sz w:val="21"/>
        </w:rPr>
        <w:t>PMSA — Journal index. https://pmsa.org/resources/pmsa-journal</w:t>
      </w:r>
    </w:p>
    <w:p>
      <w:pPr>
        <w:pStyle w:val="ListBullet"/>
        <w:spacing w:after="20"/>
        <w:ind w:left="432"/>
      </w:pPr>
      <w:r>
        <w:rPr>
          <w:sz w:val="21"/>
        </w:rPr>
        <w:t>FDA — Framework for FDA's Real-World Evidence Program (PDF). https://www.fda.gov/media/120060/download</w:t>
      </w:r>
    </w:p>
    <w:p>
      <w:pPr>
        <w:pStyle w:val="ListBullet"/>
        <w:spacing w:after="20"/>
        <w:ind w:left="432"/>
      </w:pPr>
      <w:r>
        <w:rPr>
          <w:sz w:val="21"/>
        </w:rPr>
        <w:t>FDA — Considerations for the Use of RWD/RWE for Drug and Biological Products (PDF). https://www.fda.gov/media/171667/download</w:t>
      </w:r>
    </w:p>
    <w:p>
      <w:pPr>
        <w:pStyle w:val="ListBullet"/>
        <w:spacing w:after="20"/>
        <w:ind w:left="432"/>
      </w:pPr>
      <w:r>
        <w:rPr>
          <w:sz w:val="21"/>
        </w:rPr>
        <w:t>FDA — Real-World Evidence landing page. https://www.fda.gov/science-research/science-and-research-special-topics/real-world-evidence</w:t>
      </w:r>
    </w:p>
    <w:p>
      <w:pPr>
        <w:spacing w:after="80"/>
      </w:pPr>
      <w:r>
        <w:rPr>
          <w:b/>
          <w:color w:val="C0392B"/>
          <w:sz w:val="20"/>
        </w:rPr>
        <w:t xml:space="preserve">Source-attribution note. </w:t>
      </w:r>
      <w:r>
        <w:rPr>
          <w:i/>
          <w:color w:val="555555"/>
          <w:sz w:val="20"/>
        </w:rPr>
        <w:t>This synthesis was assembled by triangulating publicly available search excerpts of each source with general industry knowledge. For primary-source detail beyond what is summarized here, the individual links above are the authoritative references.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