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3 — MMM Field Guide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The equation · the transforms · the controls a pharma MMM needs · a fitting checklist · ROI definitions · the memo template · vocabulary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Student reference — keep it next to Homework 1 and every MMM you build this semester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Companion to the Week 1 glossary and the Week 2 Claims Data Field Guide</w:t>
      </w:r>
    </w:p>
    <w:p>
      <w:pPr>
        <w:spacing w:after="160"/>
        <w:pBdr>
          <w:bottom w:val="single" w:sz="8" w:space="1" w:color="1E2761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1"/>
        </w:rPr>
        <w:t>How to use this guide. Part 1 is the model, term by term. Part 2 is what goes into a pharma MMM — channels, doses and the controls that consumer-goods templates leave out. Part 3 is the checklist you run before you show anyone a coefficient. Part 4 defines the ROI numbers and the reallocation rule. Part 5 is the memo template the homework asks for. Part 6 is vocabulary. Vendor and library names are examples, not endorsements.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1 · The model, term by term</w:t>
      </w:r>
    </w:p>
    <w:p>
      <w:pPr>
        <w:spacing w:after="120" w:before="0"/>
      </w:pPr>
      <w:r>
        <w:rPr>
          <w:rFonts w:ascii="Calibri" w:hAnsi="Calibri"/>
          <w:b/>
          <w:i w:val="0"/>
          <w:color w:val="1E2761"/>
          <w:sz w:val="22"/>
        </w:rPr>
        <w:t>TRx_t = β₀ + Σ_c β_c · Hill(Adstock(x_c,t; δ_c); K_c, s_c) + γ·ramp_t + η₁·sin_t + η₂·cos_t + λ·competitor_t + φ·access_t + ε_t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12"/>
        <w:gridCol w:w="2016"/>
        <w:gridCol w:w="3024"/>
      </w:tblGrid>
      <w:tr>
        <w:tc>
          <w:tcPr>
            <w:tcW w:type="dxa" w:w="158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331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201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How it is estimated</w:t>
            </w:r>
          </w:p>
        </w:tc>
        <w:tc>
          <w:tcPr>
            <w:tcW w:type="dxa" w:w="30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Typical values / notes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β₀, γ·ramp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The base: what the brand does with zero promotion this week — awareness, refills accumulating, access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OLS; ramp midpoint and scale on a small grid (AIC)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Base share 50–80% of TRx for an in-line brand; higher for mature brands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Adstock(x; δ)</w:t>
            </w:r>
          </w:p>
        </w:tc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Carryover: a_t = x_t + δ·a_{t−1}. δ = share of last week's effect that survives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Grid or prior (non-linear)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TV 0.6–0.8 · detailing 0.3–0.6 · conferences 0.3–0.5 · email/search 0–0.25. Half-life = ln 0.5 / ln δ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Weibull adstock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Carryover whose peak can come after week 0 (action lag)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Grid or prior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Use when the detail → script → fill → claim lag is weeks (chronic Rx)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Hill(a; K, s)</w:t>
            </w:r>
          </w:p>
        </w:tc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Saturation: aˢ / (aˢ + Kˢ) ∈ [0, 1). K = half-saturation point, s = shape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Grid or prior (non-linear)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K as a multiple of median adstocked spend (0.5–8×); s ∈ [1, 3]; s &gt; 1 = S-curve with a threshold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Logistic saturation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1 − exp(−λ·a): concave from zero, one parameter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Grid or prior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PyMC-Marketing's default; no threshold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β_c</w:t>
            </w:r>
          </w:p>
        </w:tc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Maximum weekly TRx the channel can deliver (Hill tops out at 1)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OLS / posterior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Must be positive; a negative β is a confounder, not a finding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season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Annual sine + cosine (or month dummies)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OLS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Deductible resets, refill timing, flu season; enter before channels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competitor</w:t>
            </w:r>
          </w:p>
        </w:tc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Step or ramped indicator from the launch week; or the competitor's own promotion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OLS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 −5 to −20% share effect is common in the first year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access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Share of lives with preferred status; PA/step-edit flags; tier changes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OLS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Comes from the payer-intelligence file (Week 2, category 4), not from the agency</w:t>
            </w:r>
          </w:p>
        </w:tc>
      </w:tr>
      <w:tr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ε</w:t>
            </w:r>
          </w:p>
        </w:tc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Everything not modeled: copay program, samples, price, MLR timing, panel restatements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Residual diagnostics</w:t>
            </w:r>
          </w:p>
        </w:tc>
        <w:tc>
          <w:tcPr>
            <w:tcW w:type="dxa" w:w="30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Structure in ε means something is missing; inspect before adding flexibility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2 · What goes into a pharma MMM</w:t>
      </w: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2.1 Channels and their 'dose'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A dollar is not the same dose in every channel. Choose the input that best measures exposure; keep spend for the ROI denominator.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160"/>
        <w:gridCol w:w="1656"/>
        <w:gridCol w:w="1944"/>
        <w:gridCol w:w="2232"/>
      </w:tblGrid>
      <w:tr>
        <w:tc>
          <w:tcPr>
            <w:tcW w:type="dxa" w:w="19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Dose to model</w:t>
            </w:r>
          </w:p>
        </w:tc>
        <w:tc>
          <w:tcPr>
            <w:tcW w:type="dxa" w:w="165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Spend pattern</w:t>
            </w:r>
          </w:p>
        </w:tc>
        <w:tc>
          <w:tcPr>
            <w:tcW w:type="dxa" w:w="19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223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HCP detailing (personal promotion)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Calls or call-equivalents (detail = 1, sample drop = 0.3, lunch-and-learn = 2) or reach × frequency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Steady; holiday dips; step changes when the field is resized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Weak — steady spend gives the curve nothing to learn from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The largest budget and the least measurable; territory holdouts are the fix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Samples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Units dropped</w:t>
            </w:r>
          </w:p>
        </w:tc>
        <w:tc>
          <w:tcPr>
            <w:tcW w:type="dxa" w:w="16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Tracks detailing</w:t>
            </w:r>
          </w:p>
        </w:tc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Confounded with detailing</w:t>
            </w:r>
          </w:p>
        </w:tc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Separate lever; has gross-to-net implications (Week 1)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Conferences / congresses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$ or attendee-reach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Spikes (4–6 a year)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Good for β, weak for δ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Model by event; compute ROI per event, not per week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Non-personal promotion (NPP): email, banners, journal ads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Sends / impressions delivered</w:t>
            </w:r>
          </w:p>
        </w:tc>
        <w:tc>
          <w:tcPr>
            <w:tcW w:type="dxa" w:w="16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Waves; approved-content calendars</w:t>
            </w:r>
          </w:p>
        </w:tc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Good if there are dark weeks</w:t>
            </w:r>
          </w:p>
        </w:tc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Approved (MLR) content limits how fast you can scale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Paid search, social, programmatic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Impressions or clicks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Pulses; co-spend with TV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Good with pulses; watch VIF with TV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HIPAA-compliant tracking only; no patient-level attribution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DTC TV / CTV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GRPs or impressions</w:t>
            </w:r>
          </w:p>
        </w:tc>
        <w:tc>
          <w:tcPr>
            <w:tcW w:type="dxa" w:w="16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Flights of 6–10 weeks</w:t>
            </w:r>
          </w:p>
        </w:tc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Excellent — on/off is the ideal pattern</w:t>
            </w:r>
          </w:p>
        </w:tc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Long δ; MLR review 6–10 weeks; geo tests are standard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Speaker programs, KOL, peer-to-peer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Attendees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Episodic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Poor at national level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Better measured at HCP level (Weeks 4–5)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Copay program</w:t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Enrolled patients / redemptions</w:t>
            </w:r>
          </w:p>
        </w:tc>
        <w:tc>
          <w:tcPr>
            <w:tcW w:type="dxa" w:w="16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Continuous</w:t>
            </w:r>
          </w:p>
        </w:tc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Confounded with access</w:t>
            </w:r>
          </w:p>
        </w:tc>
        <w:tc>
          <w:tcPr>
            <w:tcW w:type="dxa" w:w="22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Not media — a separate lever with net-price cost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2.2 Controls that a consumer-goods template leaves out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Access: </w:t>
      </w:r>
      <w:r>
        <w:rPr>
          <w:rFonts w:ascii="Calibri" w:hAnsi="Calibri"/>
          <w:b w:val="0"/>
          <w:color w:val="333333"/>
          <w:sz w:val="22"/>
        </w:rPr>
        <w:t>formulary tier, prior-auth and step-edit flags, share of covered lives with preferred status, Medicare Part D vs. commercial mix. A tier change moves TRx overnight with zero spend change.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Competitor events: </w:t>
      </w:r>
      <w:r>
        <w:rPr>
          <w:rFonts w:ascii="Calibri" w:hAnsi="Calibri"/>
          <w:b w:val="0"/>
          <w:color w:val="333333"/>
          <w:sz w:val="22"/>
        </w:rPr>
        <w:t>launches, LOE/generic entry, label changes, recalls, DTC bursts by competitors.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Own events: </w:t>
      </w:r>
      <w:r>
        <w:rPr>
          <w:rFonts w:ascii="Calibri" w:hAnsi="Calibri"/>
          <w:b w:val="0"/>
          <w:color w:val="333333"/>
          <w:sz w:val="22"/>
        </w:rPr>
        <w:t>label expansions, indication launches, price changes, supply issues, field-force resizing.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Data artefacts: </w:t>
      </w:r>
      <w:r>
        <w:rPr>
          <w:rFonts w:ascii="Calibri" w:hAnsi="Calibri"/>
          <w:b w:val="0"/>
          <w:color w:val="333333"/>
          <w:sz w:val="22"/>
        </w:rPr>
        <w:t>panel restatements (Week 2), holiday weeks, 53-week years, projection methodology changes — dummy them or the model will credit a channel.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Seasonality: </w:t>
      </w:r>
      <w:r>
        <w:rPr>
          <w:rFonts w:ascii="Calibri" w:hAnsi="Calibri"/>
          <w:b w:val="0"/>
          <w:color w:val="333333"/>
          <w:sz w:val="22"/>
        </w:rPr>
        <w:t>annual sine/cosine or month dummies; entered before any channel.</w:t>
      </w: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2.3 The response variable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Weekly projected TRx (or NBRx for a launch brand, or units for an infused product) at national or geo level. Know how it was projected (Week 2): a panel change mid-series will look like a marketing effect. For geo-level MMM, use DMA or state × week; the extra rows help identification enormously.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3 · The ten-point checklist before you show a coefficient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1. Plot everything first. </w:t>
      </w:r>
      <w:r>
        <w:rPr>
          <w:rFonts w:ascii="Calibri" w:hAnsi="Calibri"/>
          <w:b w:val="0"/>
          <w:i w:val="0"/>
          <w:color w:val="333333"/>
          <w:sz w:val="21"/>
        </w:rPr>
        <w:t>TRx, each channel's spend, same-week scatter. Mark events. If you cannot see the launch ramp and the seasonality by eye, the model will not either.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2. Controls in before channels. </w:t>
      </w:r>
      <w:r>
        <w:rPr>
          <w:rFonts w:ascii="Calibri" w:hAnsi="Calibri"/>
          <w:b w:val="0"/>
          <w:i w:val="0"/>
          <w:color w:val="333333"/>
          <w:sz w:val="21"/>
        </w:rPr>
        <w:t>Ramp, season, competitor, access. Fit the ramp media-blind, then refine on AIC.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3. Bound the grid with knowledge. </w:t>
      </w:r>
      <w:r>
        <w:rPr>
          <w:rFonts w:ascii="Calibri" w:hAnsi="Calibri"/>
          <w:b w:val="0"/>
          <w:i w:val="0"/>
          <w:color w:val="333333"/>
          <w:sz w:val="21"/>
        </w:rPr>
        <w:t>Per-channel δ ranges; K relative to the channel's own spend; s between 1 and 3. Record the grid in the appendix.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4. Search one channel at a time, sweep twice. </w:t>
      </w:r>
      <w:r>
        <w:rPr>
          <w:rFonts w:ascii="Calibri" w:hAnsi="Calibri"/>
          <w:b w:val="0"/>
          <w:i w:val="0"/>
          <w:color w:val="333333"/>
          <w:sz w:val="21"/>
        </w:rPr>
        <w:t>Coordinate descent on AIC (or BIC for a smaller model). Keep the top three cells per channel.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5. Signs and magnitudes. </w:t>
      </w:r>
      <w:r>
        <w:rPr>
          <w:rFonts w:ascii="Calibri" w:hAnsi="Calibri"/>
          <w:b w:val="0"/>
          <w:i w:val="0"/>
          <w:color w:val="333333"/>
          <w:sz w:val="21"/>
        </w:rPr>
        <w:t>Every media β &gt; 0. β_c is the maximum weekly TRx the channel can deliver — sanity-check it against the brand's size.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6. Residuals. </w:t>
      </w:r>
      <w:r>
        <w:rPr>
          <w:rFonts w:ascii="Calibri" w:hAnsi="Calibri"/>
          <w:b w:val="0"/>
          <w:i w:val="0"/>
          <w:color w:val="333333"/>
          <w:sz w:val="21"/>
        </w:rPr>
        <w:t>Plot over time and by month; Durbin–Watson near 2; no slow waves; no spikes at known events you forgot.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7. VIF. </w:t>
      </w:r>
      <w:r>
        <w:rPr>
          <w:rFonts w:ascii="Calibri" w:hAnsi="Calibri"/>
          <w:b w:val="0"/>
          <w:i w:val="0"/>
          <w:color w:val="333333"/>
          <w:sz w:val="21"/>
        </w:rPr>
        <w:t>&lt; 5 fine, 5–10 suspicious, &gt; 10 not separately identified. Co-spend and ramp-like channels are the usual causes; fix by bounding δ, merging channels, ridge, or an experiment.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8. Hold-out. </w:t>
      </w:r>
      <w:r>
        <w:rPr>
          <w:rFonts w:ascii="Calibri" w:hAnsi="Calibri"/>
          <w:b w:val="0"/>
          <w:i w:val="0"/>
          <w:color w:val="333333"/>
          <w:sz w:val="21"/>
        </w:rPr>
        <w:t>Train on the first two-thirds, predict the last third; report MAPE and say whether the grid was re-run on the training window. State what the model cannot forecast (events it never saw).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9. Ranges. </w:t>
      </w:r>
      <w:r>
        <w:rPr>
          <w:rFonts w:ascii="Calibri" w:hAnsi="Calibri"/>
          <w:b w:val="0"/>
          <w:i w:val="0"/>
          <w:color w:val="333333"/>
          <w:sz w:val="21"/>
        </w:rPr>
        <w:t>Block-bootstrap the residuals (8–13-week blocks) for coefficient uncertainty; re-run the runner-up grid cells for specification uncertainty. Report both on one chart.</w:t>
      </w:r>
    </w:p>
    <w:p>
      <w:pPr>
        <w:spacing w:after="60" w:before="0"/>
      </w:pPr>
      <w:r>
        <w:rPr>
          <w:rFonts w:ascii="Calibri" w:hAnsi="Calibri"/>
          <w:b/>
          <w:i w:val="0"/>
          <w:color w:val="333333"/>
          <w:sz w:val="21"/>
        </w:rPr>
        <w:t xml:space="preserve">10. Calibrate. </w:t>
      </w:r>
      <w:r>
        <w:rPr>
          <w:rFonts w:ascii="Calibri" w:hAnsi="Calibri"/>
          <w:b w:val="0"/>
          <w:i w:val="0"/>
          <w:color w:val="333333"/>
          <w:sz w:val="21"/>
        </w:rPr>
        <w:t>Compare at least one channel with an experiment (geo holdout, territory test, conversion lift). Where they disagree, the experiment wins.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4 · ROI, marginal ROI and the reallocation rule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168"/>
        <w:gridCol w:w="2448"/>
        <w:gridCol w:w="2376"/>
      </w:tblGrid>
      <w:tr>
        <w:tc>
          <w:tcPr>
            <w:tcW w:type="dxa" w:w="19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16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Use</w:t>
            </w:r>
          </w:p>
        </w:tc>
        <w:tc>
          <w:tcPr>
            <w:tcW w:type="dxa" w:w="237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Trap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Incremental TRx (channel)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Σ_t β_c · Hill(Adstock(x_c,t))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Decomposition; share of TRx from promotion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Depends on the base being right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Average ROI</w:t>
            </w:r>
          </w:p>
        </w:tc>
        <w:tc>
          <w:tcPr>
            <w:tcW w:type="dxa" w:w="31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(incremental TRx × contribution per TRx) ÷ spend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Reporting: 'what did we get for what we spent'</w:t>
            </w:r>
          </w:p>
        </w:tc>
        <w:tc>
          <w:tcPr>
            <w:tcW w:type="dxa" w:w="23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 saturated channel can have the best average and the worst marginal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Cost per incremental TRx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spend ÷ incremental TRx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The same thing inverted; easier for non-quant audiences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Marginal ROI</w:t>
            </w:r>
          </w:p>
        </w:tc>
        <w:tc>
          <w:tcPr>
            <w:tcW w:type="dxa" w:w="31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Δ(contribution) ÷ Δ(spend) for a small change (e.g. +5% in every week)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Decisions: 'where does the next dollar go'</w:t>
            </w:r>
          </w:p>
        </w:tc>
        <w:tc>
          <w:tcPr>
            <w:tcW w:type="dxa" w:w="23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 slope at a point; says nothing about +400%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Contribution per TRx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Net revenue per TRx minus COGS and variable cost (Week 1 P&amp;L)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The ROI numerator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Finance owns it; never invent it; it differs by channel mix (payer)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Payback / break-even</w:t>
            </w:r>
          </w:p>
        </w:tc>
        <w:tc>
          <w:tcPr>
            <w:tcW w:type="dxa" w:w="31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Spend ÷ (incremental TRx × contribution) with carryover counted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Long-tail channels (TV) need the tail counted</w:t>
            </w:r>
          </w:p>
        </w:tc>
        <w:tc>
          <w:tcPr>
            <w:tcW w:type="dxa" w:w="237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Truncating adstock understates slow channels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hAnsi="Calibri"/>
          <w:b/>
          <w:i w:val="0"/>
          <w:color w:val="1E2761"/>
          <w:sz w:val="25"/>
        </w:rPr>
        <w:t>The reallocation rule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At the optimum, every channel has the same marginal ROI. Move money from the lowest to the highest marginal channel in small steps (e.g. $0.25M), re-evaluate the curves after each step, and stop when the gap is smaller than your uncertainty. Always with constraints: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Floors: </w:t>
      </w:r>
      <w:r>
        <w:rPr>
          <w:rFonts w:ascii="Calibri" w:hAnsi="Calibri"/>
          <w:b w:val="0"/>
          <w:color w:val="333333"/>
          <w:sz w:val="22"/>
        </w:rPr>
        <w:t>field-force size, contracted sponsorships, minimum presence in a launch year.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Caps: </w:t>
      </w:r>
      <w:r>
        <w:rPr>
          <w:rFonts w:ascii="Calibri" w:hAnsi="Calibri"/>
          <w:b w:val="0"/>
          <w:color w:val="333333"/>
          <w:sz w:val="22"/>
        </w:rPr>
        <w:t>inventory (TV slots), list size and fatigue (email), MLR-approved content (digital), hiring (detailing).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Confidence: </w:t>
      </w:r>
      <w:r>
        <w:rPr>
          <w:rFonts w:ascii="Calibri" w:hAnsi="Calibri"/>
          <w:b w:val="0"/>
          <w:color w:val="333333"/>
          <w:sz w:val="22"/>
        </w:rPr>
        <w:t>do not move money on a 0.1 gap when the interval is ±0.5.</w:t>
      </w:r>
    </w:p>
    <w:p>
      <w:pPr>
        <w:pStyle w:val="ListBullet"/>
        <w:spacing w:after="60"/>
      </w:pPr>
      <w:r>
        <w:rPr>
          <w:rFonts w:ascii="Calibri" w:hAnsi="Calibri"/>
          <w:b/>
          <w:color w:val="333333"/>
          <w:sz w:val="22"/>
        </w:rPr>
        <w:t xml:space="preserve">Strategy and compliance: </w:t>
      </w:r>
      <w:r>
        <w:rPr>
          <w:rFonts w:ascii="Calibri" w:hAnsi="Calibri"/>
          <w:b w:val="0"/>
          <w:color w:val="333333"/>
          <w:sz w:val="22"/>
        </w:rPr>
        <w:t>launch awareness goals, DTC fair-balance requirements, review cycles.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9EFFB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E2761"/>
                <w:sz w:val="22"/>
              </w:rPr>
              <w:t>The homework question in one line</w:t>
            </w:r>
          </w:p>
          <w:p>
            <w:pPr>
              <w:spacing w:after="40"/>
            </w:pPr>
            <w:r>
              <w:rPr>
                <w:rFonts w:ascii="Calibri" w:hAnsi="Calibri"/>
                <w:color w:val="333333"/>
                <w:sz w:val="21"/>
              </w:rPr>
              <w:t>'Which $10M would you cut?' is a marginal question with a fixed total. Answer it with two scenarios (conservative / aggressive), the expected TRx change with a range, and the constraint that binds first.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5 · The memo to the Brand Lead — template (2 pages)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6336"/>
      </w:tblGrid>
      <w:tr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Length</w:t>
            </w:r>
          </w:p>
        </w:tc>
        <w:tc>
          <w:tcPr>
            <w:tcW w:type="dxa" w:w="633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goes in it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TL;DR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 paragraph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The recommendation in numbers: what to cut, what to grow, expected TRx effect with a range, and the one thing you are least sure of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What drove TRx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 figure + 3 lines</w:t>
            </w:r>
          </w:p>
        </w:tc>
        <w:tc>
          <w:tcPr>
            <w:tcW w:type="dxa" w:w="63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The decomposition chart; base vs. incremental share; the two events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ROI by channel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 small table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Average and marginal, with ranges; rank; one sentence per channel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The reallocation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 table</w:t>
            </w:r>
          </w:p>
        </w:tc>
        <w:tc>
          <w:tcPr>
            <w:tcW w:type="dxa" w:w="63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Current → proposed by channel for two risk postures; the constraint that binds; feasibility (MLR, contracts, hiring)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What the model does not capture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4–6 bullets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Copay program, samples, price, MLR timing, panel restatements, anything with no variation in the data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The experiment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 lines</w:t>
            </w:r>
          </w:p>
        </w:tc>
        <w:tc>
          <w:tcPr>
            <w:tcW w:type="dxa" w:w="63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Design (units, duration, dark share), what it resolves, cost in spend and lost TRx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Appendix (notebook)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Grid, AIC table, diagnostics, hold-out, bootstrap; AI-use paragraph (syllabus)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6 ·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25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Adstock / carryover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The lagged effect of spend; geometric (one decay parameter) or Weibull (delayed peak)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Saturation / diminishing returns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Response per dollar falls as spend rises; Hill or logistic transforms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Response curve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Contribution as a function of (adstocked) spend for one channel; adstock decides when, saturation decides how much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Base vs. incremental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What the brand does with zero promotion vs. what promotion added; base includes access and competitor effects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Decomposition / contribution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Weekly TRx split into base and per-channel bands; the chart leadership wants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Average vs. marginal ROI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Total return ÷ total spend vs. the return on the next dollar; saturation makes them rank channels differently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Identifiability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Whether the data can distinguish parameter combinations; δ and β trade off; two fits with equal AIC can imply different ROI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VIF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Variance inflation factor — how much a regressor's variance is inflated by collinearity with the others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Hold-out / back-test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Fit on early weeks, predict later weeks; tests the coefficients (and, if re-run, the grid)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Block bootstrap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Resample residuals in contiguous blocks to keep autocorrelation, refit, read percentiles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Geo-lift / holdout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An experiment where a channel is dark in some geographies; difference-in-differences gives causal lift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Difference-in-differences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(exposed test − exposed pre) − (control test − control pre), or the growth-ratio version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Calibration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Constraining or checking an MMM against experimental lift; as a prior in a Bayesian MMM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Prior / posterior / credible interval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Bayesian terms: belief before data, belief after, and the interval containing X% of the posterior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MTA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Multi-touch attribution: person-level credit for digital touchpoints; blind offline; privacy-limited in pharma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Interrupted time series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Model for a one-off event (label change, recall): level and slope change at a known date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GRP / impressions / reach / frequency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TV and digital dose measures: gross rating points; ad exposures; unique audience; exposures per person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NPP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Non-personal promotion: email, banners, journal ads, web — everything that is not a rep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MLR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Medical-legal-regulatory review of promotional content; 6–10 weeks for DTC; a constraint on reallocation speed</w:t>
            </w:r>
          </w:p>
        </w:tc>
      </w:tr>
      <w:tr>
        <w:tc>
          <w:tcPr>
            <w:tcW w:type="dxa" w:w="25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Contribution per TRx</w:t>
            </w:r>
          </w:p>
        </w:tc>
        <w:tc>
          <w:tcPr>
            <w:tcW w:type="dxa" w:w="73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Net revenue per TRx less variable cost; the ROI numerator; from finance (Week 1 P&amp;L)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QBR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Quarterly business review — where the Brand Lead's question is asked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3 MMM Field Guide · Applied Data Science and AI in Pharma Commercial · Columbia DSI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