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Voting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voting functionality is as follows: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Thumbs up: the user’s vote has been recorded by the Blast service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Thumbs down: the user’s vote has been recorded by the Blast service, and the next video is immediately played.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Voting by non-signed in users will still be counted as a vote.  This will be a count of total votes for the video content.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Voting by signed-in users will also be counted as a vote against the total.  In addition, the user’s preferences will be recorded for future algorithms and customization (post-MVP).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Please see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www.pandora.com</w:t>
        </w:r>
      </w:hyperlink>
      <w:r w:rsidRPr="00000000" w:rsidR="00000000" w:rsidDel="00000000">
        <w:rPr>
          <w:rtl w:val="0"/>
        </w:rPr>
        <w:t xml:space="preserve"> for similar behavior.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Register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Users can register with Blast for an improved experience.  This includes the following: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custom content and personalization (post-MVP)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suggest video content (upload URLs and video content to Blast)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future gamification of content, voting, sharing, and comments (all post-MVP)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tagging video content’s best moment (e.g. the surfer emerges from the large wave)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Registration requirements: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we will leverage OAuth for registration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this includes Facebook and email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registration should be remembered across sessions for mobile users and web users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the following fields should be captured for the email registration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89587" cx="3767138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889587" cx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http://www.pandora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Details and Descriptions.docx</dc:title>
</cp:coreProperties>
</file>