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ED97" w14:textId="77777777" w:rsidR="00797E7D" w:rsidRDefault="00000000">
      <w:pPr>
        <w:pStyle w:val="Heading1"/>
      </w:pPr>
      <w:bookmarkStart w:id="0" w:name="rmb-global-markets-data-platform"/>
      <w:r>
        <w:t>RMB Global Markets Data Platform</w:t>
      </w:r>
    </w:p>
    <w:p w14:paraId="47F66CBB" w14:textId="77777777" w:rsidR="00797E7D" w:rsidRDefault="00000000">
      <w:pPr>
        <w:pStyle w:val="Heading2"/>
      </w:pPr>
      <w:bookmarkStart w:id="1" w:name="documentation-governance"/>
      <w:r>
        <w:t>Documentation &amp; Governance</w:t>
      </w:r>
    </w:p>
    <w:p w14:paraId="53B62896" w14:textId="77777777" w:rsidR="00797E7D" w:rsidRDefault="00000000">
      <w:r>
        <w:pict w14:anchorId="1F8ECBF0">
          <v:rect id="_x0000_i1025" style="width:0;height:1.5pt" o:hralign="center" o:hrstd="t" o:hr="t"/>
        </w:pict>
      </w:r>
    </w:p>
    <w:p w14:paraId="0E3FD67D" w14:textId="77777777" w:rsidR="00797E7D" w:rsidRDefault="00000000">
      <w:pPr>
        <w:pStyle w:val="Heading3"/>
      </w:pPr>
      <w:bookmarkStart w:id="2" w:name="business-context-assumptions"/>
      <w:r>
        <w:t>1. Business Context &amp; Assumptions</w:t>
      </w:r>
    </w:p>
    <w:p w14:paraId="421444A3" w14:textId="77777777" w:rsidR="00797E7D" w:rsidRDefault="00000000">
      <w:pPr>
        <w:pStyle w:val="Compact"/>
        <w:numPr>
          <w:ilvl w:val="0"/>
          <w:numId w:val="2"/>
        </w:numPr>
      </w:pPr>
      <w:r>
        <w:t>The platform supports Global Markets operations across multiple asset classes (FX, Bonds, Money Markets).</w:t>
      </w:r>
    </w:p>
    <w:p w14:paraId="1E9A0925" w14:textId="77777777" w:rsidR="00797E7D" w:rsidRDefault="00000000">
      <w:pPr>
        <w:pStyle w:val="Compact"/>
        <w:numPr>
          <w:ilvl w:val="0"/>
          <w:numId w:val="2"/>
        </w:numPr>
      </w:pPr>
      <w:r>
        <w:t>Data originates from multiple transactional systems with varying formats and quality levels.</w:t>
      </w:r>
    </w:p>
    <w:p w14:paraId="165D8173" w14:textId="77777777" w:rsidR="00797E7D" w:rsidRDefault="00000000">
      <w:pPr>
        <w:pStyle w:val="Compact"/>
        <w:numPr>
          <w:ilvl w:val="0"/>
          <w:numId w:val="2"/>
        </w:numPr>
      </w:pPr>
      <w:r>
        <w:t>Manual reconciliation processes historically introduced operational risk and reporting delays.</w:t>
      </w:r>
    </w:p>
    <w:p w14:paraId="1C3BC450" w14:textId="77777777" w:rsidR="00797E7D" w:rsidRDefault="00000000">
      <w:pPr>
        <w:pStyle w:val="Compact"/>
        <w:numPr>
          <w:ilvl w:val="0"/>
          <w:numId w:val="2"/>
        </w:numPr>
      </w:pPr>
      <w:r>
        <w:t>Assumptions made in this platform include:</w:t>
      </w:r>
    </w:p>
    <w:p w14:paraId="3BE6F8FF" w14:textId="77777777" w:rsidR="00797E7D" w:rsidRDefault="00000000">
      <w:pPr>
        <w:pStyle w:val="Compact"/>
        <w:numPr>
          <w:ilvl w:val="1"/>
          <w:numId w:val="3"/>
        </w:numPr>
      </w:pPr>
      <w:r>
        <w:t>Daily snapshots are sufficient for reconciliation (T+0).</w:t>
      </w:r>
    </w:p>
    <w:p w14:paraId="26EB1080" w14:textId="77777777" w:rsidR="00797E7D" w:rsidRDefault="00000000">
      <w:pPr>
        <w:pStyle w:val="Compact"/>
        <w:numPr>
          <w:ilvl w:val="1"/>
          <w:numId w:val="3"/>
        </w:numPr>
      </w:pPr>
      <w:r>
        <w:t>Trade identifiers are unique and stable across systems.</w:t>
      </w:r>
    </w:p>
    <w:p w14:paraId="22E4CB61" w14:textId="77777777" w:rsidR="00797E7D" w:rsidRDefault="00000000">
      <w:pPr>
        <w:pStyle w:val="Compact"/>
        <w:numPr>
          <w:ilvl w:val="1"/>
          <w:numId w:val="3"/>
        </w:numPr>
      </w:pPr>
      <w:r>
        <w:t>KPIs are calculated based on current vs previous day snapshots.</w:t>
      </w:r>
    </w:p>
    <w:p w14:paraId="3E5B09A7" w14:textId="77777777" w:rsidR="00797E7D" w:rsidRDefault="00000000">
      <w:pPr>
        <w:pStyle w:val="Compact"/>
        <w:numPr>
          <w:ilvl w:val="1"/>
          <w:numId w:val="3"/>
        </w:numPr>
      </w:pPr>
      <w:r>
        <w:t>All data is simulated and anonymised for demonstration purposes.</w:t>
      </w:r>
    </w:p>
    <w:p w14:paraId="458E1519" w14:textId="77777777" w:rsidR="00797E7D" w:rsidRDefault="00000000">
      <w:r>
        <w:pict w14:anchorId="443279C6">
          <v:rect id="_x0000_i1026" style="width:0;height:1.5pt" o:hralign="center" o:hrstd="t" o:hr="t"/>
        </w:pict>
      </w:r>
    </w:p>
    <w:p w14:paraId="76CC3A38" w14:textId="77777777" w:rsidR="00797E7D" w:rsidRDefault="00000000">
      <w:pPr>
        <w:pStyle w:val="Heading3"/>
      </w:pPr>
      <w:bookmarkStart w:id="3" w:name="kpi-definitions"/>
      <w:bookmarkEnd w:id="2"/>
      <w:r>
        <w:t>2. KPI Definitions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2553"/>
        <w:gridCol w:w="3616"/>
        <w:gridCol w:w="2127"/>
      </w:tblGrid>
      <w:tr w:rsidR="00797E7D" w14:paraId="45965043" w14:textId="77777777" w:rsidTr="00797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0" w:type="dxa"/>
          </w:tcPr>
          <w:p w14:paraId="13E263E4" w14:textId="77777777" w:rsidR="00797E7D" w:rsidRDefault="00000000">
            <w:pPr>
              <w:pStyle w:val="Compact"/>
            </w:pPr>
            <w:r>
              <w:t>KPI</w:t>
            </w:r>
          </w:p>
        </w:tc>
        <w:tc>
          <w:tcPr>
            <w:tcW w:w="2160" w:type="dxa"/>
          </w:tcPr>
          <w:p w14:paraId="6F1EEAE1" w14:textId="77777777" w:rsidR="00797E7D" w:rsidRDefault="00000000">
            <w:pPr>
              <w:pStyle w:val="Compact"/>
            </w:pPr>
            <w:r>
              <w:t>Definition</w:t>
            </w:r>
          </w:p>
        </w:tc>
        <w:tc>
          <w:tcPr>
            <w:tcW w:w="3060" w:type="dxa"/>
          </w:tcPr>
          <w:p w14:paraId="1025BDC4" w14:textId="77777777" w:rsidR="00797E7D" w:rsidRDefault="00000000">
            <w:pPr>
              <w:pStyle w:val="Compact"/>
            </w:pPr>
            <w:r>
              <w:t>Calculation Logic</w:t>
            </w:r>
          </w:p>
        </w:tc>
        <w:tc>
          <w:tcPr>
            <w:tcW w:w="1800" w:type="dxa"/>
          </w:tcPr>
          <w:p w14:paraId="12EDBDC8" w14:textId="77777777" w:rsidR="00797E7D" w:rsidRDefault="00000000">
            <w:pPr>
              <w:pStyle w:val="Compact"/>
            </w:pPr>
            <w:r>
              <w:t>Frequency</w:t>
            </w:r>
          </w:p>
        </w:tc>
      </w:tr>
      <w:tr w:rsidR="00797E7D" w14:paraId="4D32C090" w14:textId="77777777">
        <w:tc>
          <w:tcPr>
            <w:tcW w:w="900" w:type="dxa"/>
          </w:tcPr>
          <w:p w14:paraId="3291F36E" w14:textId="77777777" w:rsidR="00797E7D" w:rsidRDefault="00000000">
            <w:pPr>
              <w:pStyle w:val="Compact"/>
            </w:pPr>
            <w:r>
              <w:t>T+0 Reconciliation Rate</w:t>
            </w:r>
          </w:p>
        </w:tc>
        <w:tc>
          <w:tcPr>
            <w:tcW w:w="2160" w:type="dxa"/>
          </w:tcPr>
          <w:p w14:paraId="24349BAE" w14:textId="77777777" w:rsidR="00797E7D" w:rsidRDefault="00000000">
            <w:pPr>
              <w:pStyle w:val="Compact"/>
            </w:pPr>
            <w:r>
              <w:t>Percentage of trades matched same-day</w:t>
            </w:r>
          </w:p>
        </w:tc>
        <w:tc>
          <w:tcPr>
            <w:tcW w:w="3060" w:type="dxa"/>
          </w:tcPr>
          <w:p w14:paraId="11451816" w14:textId="77777777" w:rsidR="00797E7D" w:rsidRDefault="00000000">
            <w:pPr>
              <w:pStyle w:val="Compact"/>
            </w:pPr>
            <w:r>
              <w:t>(Cleared trades / Total trades) * 100</w:t>
            </w:r>
          </w:p>
        </w:tc>
        <w:tc>
          <w:tcPr>
            <w:tcW w:w="1800" w:type="dxa"/>
          </w:tcPr>
          <w:p w14:paraId="22B9CE79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0041E263" w14:textId="77777777">
        <w:tc>
          <w:tcPr>
            <w:tcW w:w="900" w:type="dxa"/>
          </w:tcPr>
          <w:p w14:paraId="2F122E87" w14:textId="77777777" w:rsidR="00797E7D" w:rsidRDefault="00000000">
            <w:pPr>
              <w:pStyle w:val="Compact"/>
            </w:pPr>
            <w:r>
              <w:t>Unmatched Trade Count</w:t>
            </w:r>
          </w:p>
        </w:tc>
        <w:tc>
          <w:tcPr>
            <w:tcW w:w="2160" w:type="dxa"/>
          </w:tcPr>
          <w:p w14:paraId="678FBF31" w14:textId="77777777" w:rsidR="00797E7D" w:rsidRDefault="00000000">
            <w:pPr>
              <w:pStyle w:val="Compact"/>
            </w:pPr>
            <w:r>
              <w:t>Number of trades not reconciled</w:t>
            </w:r>
          </w:p>
        </w:tc>
        <w:tc>
          <w:tcPr>
            <w:tcW w:w="3060" w:type="dxa"/>
          </w:tcPr>
          <w:p w14:paraId="10A6A5F4" w14:textId="77777777" w:rsidR="00797E7D" w:rsidRDefault="00000000">
            <w:pPr>
              <w:pStyle w:val="Compact"/>
            </w:pPr>
            <w:r>
              <w:t xml:space="preserve">Count of trades classified as </w:t>
            </w:r>
            <w:r>
              <w:rPr>
                <w:rStyle w:val="VerbatimChar"/>
              </w:rPr>
              <w:t>Unmatched</w:t>
            </w:r>
          </w:p>
        </w:tc>
        <w:tc>
          <w:tcPr>
            <w:tcW w:w="1800" w:type="dxa"/>
          </w:tcPr>
          <w:p w14:paraId="64392B60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25704EFA" w14:textId="77777777">
        <w:tc>
          <w:tcPr>
            <w:tcW w:w="900" w:type="dxa"/>
          </w:tcPr>
          <w:p w14:paraId="7A96A1A4" w14:textId="77777777" w:rsidR="00797E7D" w:rsidRDefault="00000000">
            <w:pPr>
              <w:pStyle w:val="Compact"/>
            </w:pPr>
            <w:r>
              <w:t>Exposure Value</w:t>
            </w:r>
          </w:p>
        </w:tc>
        <w:tc>
          <w:tcPr>
            <w:tcW w:w="2160" w:type="dxa"/>
          </w:tcPr>
          <w:p w14:paraId="7FC3FAD3" w14:textId="77777777" w:rsidR="00797E7D" w:rsidRDefault="00000000">
            <w:pPr>
              <w:pStyle w:val="Compact"/>
            </w:pPr>
            <w:r>
              <w:t>Financial value associated with unmatched trades</w:t>
            </w:r>
          </w:p>
        </w:tc>
        <w:tc>
          <w:tcPr>
            <w:tcW w:w="3060" w:type="dxa"/>
          </w:tcPr>
          <w:p w14:paraId="1C7A6E9C" w14:textId="77777777" w:rsidR="00797E7D" w:rsidRDefault="00000000">
            <w:pPr>
              <w:pStyle w:val="Compact"/>
            </w:pPr>
            <w:r>
              <w:t>Sum of Trade Value for unmatched trades</w:t>
            </w:r>
          </w:p>
        </w:tc>
        <w:tc>
          <w:tcPr>
            <w:tcW w:w="1800" w:type="dxa"/>
          </w:tcPr>
          <w:p w14:paraId="1FF21730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289060B5" w14:textId="77777777">
        <w:tc>
          <w:tcPr>
            <w:tcW w:w="900" w:type="dxa"/>
          </w:tcPr>
          <w:p w14:paraId="60928BAF" w14:textId="77777777" w:rsidR="00797E7D" w:rsidRDefault="00000000">
            <w:pPr>
              <w:pStyle w:val="Compact"/>
            </w:pPr>
            <w:r>
              <w:t>Aging Buckets</w:t>
            </w:r>
          </w:p>
        </w:tc>
        <w:tc>
          <w:tcPr>
            <w:tcW w:w="2160" w:type="dxa"/>
          </w:tcPr>
          <w:p w14:paraId="7105A19F" w14:textId="77777777" w:rsidR="00797E7D" w:rsidRDefault="00000000">
            <w:pPr>
              <w:pStyle w:val="Compact"/>
            </w:pPr>
            <w:r>
              <w:t>Trades classified by age (T+1, T+2, T+3+)</w:t>
            </w:r>
          </w:p>
        </w:tc>
        <w:tc>
          <w:tcPr>
            <w:tcW w:w="3060" w:type="dxa"/>
          </w:tcPr>
          <w:p w14:paraId="001643EE" w14:textId="77777777" w:rsidR="00797E7D" w:rsidRDefault="00000000">
            <w:pPr>
              <w:pStyle w:val="Compact"/>
            </w:pPr>
            <w:r>
              <w:t>Based on Trade Date vs Reporting Date</w:t>
            </w:r>
          </w:p>
        </w:tc>
        <w:tc>
          <w:tcPr>
            <w:tcW w:w="1800" w:type="dxa"/>
          </w:tcPr>
          <w:p w14:paraId="7138BBFA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034BEDF9" w14:textId="77777777">
        <w:tc>
          <w:tcPr>
            <w:tcW w:w="900" w:type="dxa"/>
          </w:tcPr>
          <w:p w14:paraId="45DABCD2" w14:textId="77777777" w:rsidR="00797E7D" w:rsidRDefault="00000000">
            <w:pPr>
              <w:pStyle w:val="Compact"/>
            </w:pPr>
            <w:r>
              <w:t>Late Settlement Rate</w:t>
            </w:r>
          </w:p>
        </w:tc>
        <w:tc>
          <w:tcPr>
            <w:tcW w:w="2160" w:type="dxa"/>
          </w:tcPr>
          <w:p w14:paraId="738A9F8D" w14:textId="77777777" w:rsidR="00797E7D" w:rsidRDefault="00000000">
            <w:pPr>
              <w:pStyle w:val="Compact"/>
            </w:pPr>
            <w:r>
              <w:t>Percentage of trades settled after expected date</w:t>
            </w:r>
          </w:p>
        </w:tc>
        <w:tc>
          <w:tcPr>
            <w:tcW w:w="3060" w:type="dxa"/>
          </w:tcPr>
          <w:p w14:paraId="2817C734" w14:textId="77777777" w:rsidR="00797E7D" w:rsidRDefault="00000000">
            <w:pPr>
              <w:pStyle w:val="Compact"/>
            </w:pPr>
            <w:r>
              <w:t>(Late Settlements / Total Settlements) * 100</w:t>
            </w:r>
          </w:p>
        </w:tc>
        <w:tc>
          <w:tcPr>
            <w:tcW w:w="1800" w:type="dxa"/>
          </w:tcPr>
          <w:p w14:paraId="3341EDC8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0E87D9EE" w14:textId="77777777">
        <w:tc>
          <w:tcPr>
            <w:tcW w:w="900" w:type="dxa"/>
          </w:tcPr>
          <w:p w14:paraId="12F5148B" w14:textId="77777777" w:rsidR="00797E7D" w:rsidRDefault="00000000">
            <w:pPr>
              <w:pStyle w:val="Compact"/>
            </w:pPr>
            <w:r>
              <w:t xml:space="preserve">Estimated </w:t>
            </w:r>
            <w:r>
              <w:lastRenderedPageBreak/>
              <w:t>Penalty Exposure</w:t>
            </w:r>
          </w:p>
        </w:tc>
        <w:tc>
          <w:tcPr>
            <w:tcW w:w="2160" w:type="dxa"/>
          </w:tcPr>
          <w:p w14:paraId="5F21DCFB" w14:textId="77777777" w:rsidR="00797E7D" w:rsidRDefault="00000000">
            <w:pPr>
              <w:pStyle w:val="Compact"/>
            </w:pPr>
            <w:r>
              <w:lastRenderedPageBreak/>
              <w:t>Potential penalty value from late settlements</w:t>
            </w:r>
          </w:p>
        </w:tc>
        <w:tc>
          <w:tcPr>
            <w:tcW w:w="3060" w:type="dxa"/>
          </w:tcPr>
          <w:p w14:paraId="31277AC7" w14:textId="77777777" w:rsidR="00797E7D" w:rsidRDefault="00000000">
            <w:pPr>
              <w:pStyle w:val="Compact"/>
            </w:pPr>
            <w:r>
              <w:t>Sum of penalty amounts for trades in breach</w:t>
            </w:r>
          </w:p>
        </w:tc>
        <w:tc>
          <w:tcPr>
            <w:tcW w:w="1800" w:type="dxa"/>
          </w:tcPr>
          <w:p w14:paraId="529DE5DB" w14:textId="77777777" w:rsidR="00797E7D" w:rsidRDefault="00000000">
            <w:pPr>
              <w:pStyle w:val="Compact"/>
            </w:pPr>
            <w:r>
              <w:t>Daily</w:t>
            </w:r>
          </w:p>
        </w:tc>
      </w:tr>
      <w:tr w:rsidR="00797E7D" w14:paraId="75234785" w14:textId="77777777">
        <w:tc>
          <w:tcPr>
            <w:tcW w:w="900" w:type="dxa"/>
          </w:tcPr>
          <w:p w14:paraId="0CC02AFF" w14:textId="77777777" w:rsidR="00797E7D" w:rsidRDefault="00000000">
            <w:pPr>
              <w:pStyle w:val="Compact"/>
            </w:pPr>
            <w:r>
              <w:t>Daily Operational Breaks</w:t>
            </w:r>
          </w:p>
        </w:tc>
        <w:tc>
          <w:tcPr>
            <w:tcW w:w="2160" w:type="dxa"/>
          </w:tcPr>
          <w:p w14:paraId="433E4091" w14:textId="77777777" w:rsidR="00797E7D" w:rsidRDefault="00000000">
            <w:pPr>
              <w:pStyle w:val="Compact"/>
            </w:pPr>
            <w:r>
              <w:t>Count of discrepancies by asset class</w:t>
            </w:r>
          </w:p>
        </w:tc>
        <w:tc>
          <w:tcPr>
            <w:tcW w:w="3060" w:type="dxa"/>
          </w:tcPr>
          <w:p w14:paraId="463FE2E7" w14:textId="77777777" w:rsidR="00797E7D" w:rsidRDefault="00000000">
            <w:pPr>
              <w:pStyle w:val="Compact"/>
            </w:pPr>
            <w:r>
              <w:t>Count by FX, Bonds, Money Markets</w:t>
            </w:r>
          </w:p>
        </w:tc>
        <w:tc>
          <w:tcPr>
            <w:tcW w:w="1800" w:type="dxa"/>
          </w:tcPr>
          <w:p w14:paraId="1BF084CC" w14:textId="77777777" w:rsidR="00797E7D" w:rsidRDefault="00000000">
            <w:pPr>
              <w:pStyle w:val="Compact"/>
            </w:pPr>
            <w:r>
              <w:t>Daily</w:t>
            </w:r>
          </w:p>
        </w:tc>
      </w:tr>
    </w:tbl>
    <w:p w14:paraId="657BA91C" w14:textId="77777777" w:rsidR="00797E7D" w:rsidRDefault="00000000">
      <w:r>
        <w:pict w14:anchorId="5F76749F">
          <v:rect id="_x0000_i1027" style="width:0;height:1.5pt" o:hralign="center" o:hrstd="t" o:hr="t"/>
        </w:pict>
      </w:r>
    </w:p>
    <w:p w14:paraId="5413714F" w14:textId="77777777" w:rsidR="00797E7D" w:rsidRDefault="00000000">
      <w:pPr>
        <w:pStyle w:val="Heading3"/>
      </w:pPr>
      <w:bookmarkStart w:id="4" w:name="design-decisions"/>
      <w:bookmarkEnd w:id="3"/>
      <w:r>
        <w:t>3. Design Decisions</w:t>
      </w:r>
    </w:p>
    <w:p w14:paraId="08EED140" w14:textId="77777777" w:rsidR="00797E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Layered Architecture:</w:t>
      </w:r>
      <w:r>
        <w:t xml:space="preserve"> Source ingestion → Transformation → Reconciliation → Curated datasets → Reporting</w:t>
      </w:r>
    </w:p>
    <w:p w14:paraId="4CDE26CB" w14:textId="77777777" w:rsidR="00797E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Snapshot-Based Reconciliation:</w:t>
      </w:r>
      <w:r>
        <w:t xml:space="preserve"> Compares current-day vs previous-day snapshots to classify trades as New, Cleared, or Unmatched</w:t>
      </w:r>
    </w:p>
    <w:p w14:paraId="01830979" w14:textId="77777777" w:rsidR="00797E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Role-Based Reporting:</w:t>
      </w:r>
      <w:r>
        <w:t xml:space="preserve"> Power BI dashboards designed for Operations, Risk, and Executive users</w:t>
      </w:r>
    </w:p>
    <w:p w14:paraId="1B0F24A0" w14:textId="77777777" w:rsidR="00797E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Reusability:</w:t>
      </w:r>
      <w:r>
        <w:t xml:space="preserve"> ETL pipelines and reconciliation logic are modular and reusable across asset classes</w:t>
      </w:r>
    </w:p>
    <w:p w14:paraId="2EFCD469" w14:textId="77777777" w:rsidR="00797E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Auditability:</w:t>
      </w:r>
      <w:r>
        <w:t xml:space="preserve"> All datasets maintain control totals, validations, and audit-friendly design</w:t>
      </w:r>
    </w:p>
    <w:p w14:paraId="346D8DA9" w14:textId="77777777" w:rsidR="00797E7D" w:rsidRDefault="00000000">
      <w:r>
        <w:pict w14:anchorId="5E64F3D7">
          <v:rect id="_x0000_i1028" style="width:0;height:1.5pt" o:hralign="center" o:hrstd="t" o:hr="t"/>
        </w:pict>
      </w:r>
    </w:p>
    <w:p w14:paraId="69E04F7E" w14:textId="77777777" w:rsidR="00797E7D" w:rsidRDefault="00000000">
      <w:pPr>
        <w:pStyle w:val="Heading3"/>
      </w:pPr>
      <w:bookmarkStart w:id="5" w:name="data-governance-audit-considerations"/>
      <w:bookmarkEnd w:id="4"/>
      <w:r>
        <w:t>4. Data Governance &amp; Audit Considerations</w:t>
      </w:r>
    </w:p>
    <w:p w14:paraId="5D5674B8" w14:textId="77777777" w:rsidR="00797E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Quality Checks:</w:t>
      </w:r>
      <w:r>
        <w:t xml:space="preserve"> Validation of trade identifiers, timestamps, and monetary values</w:t>
      </w:r>
    </w:p>
    <w:p w14:paraId="58C89434" w14:textId="77777777" w:rsidR="00797E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Control Totals:</w:t>
      </w:r>
      <w:r>
        <w:t xml:space="preserve"> Aggregates are reconciled to source system totals</w:t>
      </w:r>
    </w:p>
    <w:p w14:paraId="21EA752B" w14:textId="77777777" w:rsidR="00797E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Audit Trails:</w:t>
      </w:r>
      <w:r>
        <w:t xml:space="preserve"> Snapshots of reconciled and unmatched trades are maintained daily</w:t>
      </w:r>
    </w:p>
    <w:p w14:paraId="3A9DCA23" w14:textId="77777777" w:rsidR="00797E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Compliance:</w:t>
      </w:r>
      <w:r>
        <w:t xml:space="preserve"> The platform demonstrates adherence to enterprise governance and regulatory requirements</w:t>
      </w:r>
    </w:p>
    <w:p w14:paraId="5260808C" w14:textId="77777777" w:rsidR="00797E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Privacy:</w:t>
      </w:r>
      <w:r>
        <w:t xml:space="preserve"> All datasets are simulated and anonymised — no proprietary or client-sensitive data is included</w:t>
      </w:r>
    </w:p>
    <w:p w14:paraId="5B3060E9" w14:textId="77777777" w:rsidR="00797E7D" w:rsidRDefault="00000000">
      <w:r>
        <w:pict w14:anchorId="61EB7783">
          <v:rect id="_x0000_i1029" style="width:0;height:1.5pt" o:hralign="center" o:hrstd="t" o:hr="t"/>
        </w:pict>
      </w:r>
    </w:p>
    <w:p w14:paraId="6A02B39E" w14:textId="77777777" w:rsidR="00797E7D" w:rsidRDefault="00000000">
      <w:pPr>
        <w:pStyle w:val="Heading3"/>
      </w:pPr>
      <w:bookmarkStart w:id="6" w:name="folder-usage"/>
      <w:bookmarkEnd w:id="5"/>
      <w:r>
        <w:t>5. Folder Usage</w:t>
      </w:r>
    </w:p>
    <w:p w14:paraId="04B1A099" w14:textId="77777777" w:rsidR="00797E7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docs/</w:t>
      </w:r>
      <w:r>
        <w:t xml:space="preserve"> → Documentation &amp; governance files</w:t>
      </w:r>
    </w:p>
    <w:p w14:paraId="2D6ACC26" w14:textId="77777777" w:rsidR="00797E7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etl/</w:t>
      </w:r>
      <w:r>
        <w:t xml:space="preserve"> → ETL scripts, SQL, and diagrams</w:t>
      </w:r>
    </w:p>
    <w:p w14:paraId="75269AFA" w14:textId="77777777" w:rsidR="00797E7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power_bi/</w:t>
      </w:r>
      <w:r>
        <w:t xml:space="preserve"> → Dashboard wireframes and mockups</w:t>
      </w:r>
    </w:p>
    <w:p w14:paraId="65146C78" w14:textId="77777777" w:rsidR="00797E7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analytics/</w:t>
      </w:r>
      <w:r>
        <w:t xml:space="preserve"> → Supporting analysis scripts and notebooks</w:t>
      </w:r>
    </w:p>
    <w:p w14:paraId="5B9216FA" w14:textId="77777777" w:rsidR="00797E7D" w:rsidRDefault="00000000">
      <w:r>
        <w:pict w14:anchorId="2154D8D3">
          <v:rect id="_x0000_i1030" style="width:0;height:1.5pt" o:hralign="center" o:hrstd="t" o:hr="t"/>
        </w:pict>
      </w:r>
      <w:bookmarkEnd w:id="0"/>
      <w:bookmarkEnd w:id="1"/>
      <w:bookmarkEnd w:id="6"/>
    </w:p>
    <w:sectPr w:rsidR="00797E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EC54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9493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3800583">
    <w:abstractNumId w:val="0"/>
  </w:num>
  <w:num w:numId="2" w16cid:durableId="787043489">
    <w:abstractNumId w:val="1"/>
  </w:num>
  <w:num w:numId="3" w16cid:durableId="813839672">
    <w:abstractNumId w:val="1"/>
  </w:num>
  <w:num w:numId="4" w16cid:durableId="1504006879">
    <w:abstractNumId w:val="1"/>
  </w:num>
  <w:num w:numId="5" w16cid:durableId="1635526964">
    <w:abstractNumId w:val="1"/>
  </w:num>
  <w:num w:numId="6" w16cid:durableId="207133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7D"/>
    <w:rsid w:val="006919E6"/>
    <w:rsid w:val="00797E7D"/>
    <w:rsid w:val="00CE5C28"/>
    <w:rsid w:val="00E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5A6E0"/>
  <w15:docId w15:val="{564CF3A4-EC2C-4709-9B73-FA2344B1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Simise Matai [Learner - Curro Wilgeheuwel - Primary School]</dc:creator>
  <cp:keywords/>
  <cp:lastModifiedBy>Simise Matai [Learner - Curro Wilgeheuwel - Primary School]</cp:lastModifiedBy>
  <cp:revision>2</cp:revision>
  <dcterms:created xsi:type="dcterms:W3CDTF">2026-01-21T20:07:00Z</dcterms:created>
  <dcterms:modified xsi:type="dcterms:W3CDTF">2026-01-21T20:07:00Z</dcterms:modified>
</cp:coreProperties>
</file>