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Arial" w:hAnsi="Arial"/>
          <w:b/>
          <w:color w:val="92400E"/>
          <w:sz w:val="26"/>
        </w:rPr>
        <w:t>RANCANGAN TIMELINE &amp; STORYBOARD VIDEO PROSES PENGEMBANGAN DAN HASIL PROTOTIPE (5 MENIT)</w:t>
      </w:r>
    </w:p>
    <w:p>
      <w:pPr>
        <w:spacing w:before="0" w:after="200"/>
        <w:jc w:val="center"/>
      </w:pPr>
      <w:r>
        <w:rPr>
          <w:rFonts w:ascii="Arial" w:hAnsi="Arial"/>
          <w:b/>
          <w:color w:val="B45309"/>
          <w:sz w:val="19"/>
        </w:rPr>
        <w:t>SmartPrasada: Prototipe Immersive Virtual Reality untuk Digitalisasi Peninggalan Prasejarah sebagai Sumber Pembelajaran Berbasis Nilai Karakter</w:t>
        <w:br/>
        <w:t>Program Hilirisasi Riset Prioritas – Pengujian Model dan Prototipe Tahun 2026 | DRTPM Kemdiktisaintek | Universitas Pendidikan Ganesha</w:t>
      </w:r>
    </w:p>
    <w:tbl>
      <w:tblPr>
        <w:tblW w:type="auto" w:w="0"/>
        <w:jc w:val="center"/>
        <w:tblLayout w:type="fixed"/>
        <w:tblLook w:firstColumn="1" w:firstRow="1" w:lastColumn="0" w:lastRow="0" w:noHBand="0" w:noVBand="1" w:val="04A0"/>
      </w:tblPr>
      <w:tblGrid>
        <w:gridCol w:w="2964"/>
        <w:gridCol w:w="2964"/>
        <w:gridCol w:w="2964"/>
        <w:gridCol w:w="2964"/>
        <w:gridCol w:w="2964"/>
      </w:tblGrid>
      <w:tr>
        <w:tc>
          <w:tcPr>
            <w:tcW w:type="dxa" w:w="648"/>
            <w:shd w:fill="854D0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Arial" w:hAnsi="Arial"/>
                <w:b/>
                <w:color w:val="FFFFFF"/>
                <w:sz w:val="18"/>
              </w:rPr>
              <w:t>No</w:t>
            </w:r>
          </w:p>
        </w:tc>
        <w:tc>
          <w:tcPr>
            <w:tcW w:type="dxa" w:w="1584"/>
            <w:shd w:fill="854D0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Arial" w:hAnsi="Arial"/>
                <w:b/>
                <w:color w:val="FFFFFF"/>
                <w:sz w:val="18"/>
              </w:rPr>
              <w:t>Waktu</w:t>
            </w:r>
          </w:p>
        </w:tc>
        <w:tc>
          <w:tcPr>
            <w:tcW w:type="dxa" w:w="4032"/>
            <w:shd w:fill="854D0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Arial" w:hAnsi="Arial"/>
                <w:b/>
                <w:color w:val="FFFFFF"/>
                <w:sz w:val="18"/>
              </w:rPr>
              <w:t>Footage &amp; Visual Direction</w:t>
            </w:r>
          </w:p>
        </w:tc>
        <w:tc>
          <w:tcPr>
            <w:tcW w:type="dxa" w:w="5184"/>
            <w:shd w:fill="854D0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Arial" w:hAnsi="Arial"/>
                <w:b/>
                <w:color w:val="FFFFFF"/>
                <w:sz w:val="18"/>
              </w:rPr>
              <w:t>Voice Over (Bahasa Indonesia)</w:t>
            </w:r>
          </w:p>
        </w:tc>
        <w:tc>
          <w:tcPr>
            <w:tcW w:type="dxa" w:w="3370"/>
            <w:shd w:fill="854D0E"/>
            <w:tcBorders>
              <w:top w:val="single" w:sz="4" w:space="0" w:color="E2E8F0"/>
              <w:left w:val="single" w:sz="4" w:space="0" w:color="E2E8F0"/>
              <w:bottom w:val="single" w:sz="4" w:space="0" w:color="E2E8F0"/>
              <w:right w:val="single" w:sz="4" w:space="0" w:color="E2E8F0"/>
            </w:tcBorders>
          </w:tcPr>
          <w:p>
            <w:pPr>
              <w:spacing w:before="80" w:after="80"/>
              <w:jc w:val="center"/>
            </w:pPr>
            <w:r>
              <w:rPr>
                <w:rFonts w:ascii="Arial" w:hAnsi="Arial"/>
                <w:b/>
                <w:color w:val="FFFFFF"/>
                <w:sz w:val="18"/>
              </w:rPr>
              <w:t>Teks Layar / Lower Thirds</w:t>
            </w:r>
          </w:p>
        </w:tc>
      </w:tr>
      <w:tr>
        <w:tc>
          <w:tcPr>
            <w:tcW w:type="dxa" w:w="64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1</w:t>
            </w:r>
          </w:p>
        </w:tc>
        <w:tc>
          <w:tcPr>
            <w:tcW w:type="dxa" w:w="1584"/>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00:00–00:15</w:t>
            </w:r>
          </w:p>
        </w:tc>
        <w:tc>
          <w:tcPr>
            <w:tcW w:type="dxa" w:w="4032"/>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Opening cinematic. Establishing shot udara/drone kawasan megalitik Kintamani &amp; Pura Mehu di Desa Selulung, Bangli → Cut to siswa mengenakan Headset VR Meta Quest 2 di ruang kelas → Cuplikan 3D photorealistic Punden Berundak 5 undakan berputar dramatis → Fade-in logo resmi Kemdiktisaintek, DRTPM, dan Universitas Pendidikan Ganesha.</w:t>
            </w:r>
          </w:p>
        </w:tc>
        <w:tc>
          <w:tcPr>
            <w:tcW w:type="dxa" w:w="5184"/>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“Peninggalan prasejarah menyimpan memori peradaban dan nilai karakter luhur bangsa. Namun, warisan bersejarah yang rapuh dan terpencil kerap kali hanya tersaji sebagai gambar mati di buku teks sekolah.”</w:t>
            </w:r>
          </w:p>
        </w:tc>
        <w:tc>
          <w:tcPr>
            <w:tcW w:type="dxa" w:w="3370"/>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PROGRAM HILIRISASI RISET PRIORITAS – PENGUJIAN MODEL DAN PROTOTIPE TAHUN 2026</w:t>
              <w:br/>
              <w:t>SmartPrasada: Prototipe Immersive Virtual Reality untuk Digitalisasi Peninggalan Prasejarah sebagai Sumber Pembelajaran Berbasis Nilai Karakter</w:t>
              <w:br/>
              <w:t>No. Dokumen: PRO-251410100722 | Tahun Pelaksanaan: 2026</w:t>
              <w:br/>
              <w:t>Universitas Pendidikan Ganesha</w:t>
            </w:r>
          </w:p>
        </w:tc>
      </w:tr>
      <w:tr>
        <w:tc>
          <w:tcPr>
            <w:tcW w:type="dxa" w:w="648"/>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2</w:t>
            </w:r>
          </w:p>
        </w:tc>
        <w:tc>
          <w:tcPr>
            <w:tcW w:type="dxa" w:w="1584"/>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00:15–00:25</w:t>
            </w:r>
          </w:p>
        </w:tc>
        <w:tc>
          <w:tcPr>
            <w:tcW w:type="dxa" w:w="4032"/>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Tim peneliti berdiskusi di depan workstation pemodelan 3D dan perangkat VR di Laboratorium Pendidikan Sejarah Undiksha (walking shot). Sisipkan Talking Head 4 detik Ketua Peneliti (I Wayan Pardi, M.Pd.) memaparkan visi hilirisasi SmartPrasada.</w:t>
            </w:r>
          </w:p>
        </w:tc>
        <w:tc>
          <w:tcPr>
            <w:tcW w:type="dxa" w:w="5184"/>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“SmartPrasada dikembangkan oleh tim Universitas Pendidikan Ganesha melalui pendanaan Program Hilirisasi Riset Prioritas Tahun 2026 oleh Direktorat Riset, Teknologi, dan Pengabdian kepada Masyarakat, Kemdiktisaintek.”</w:t>
            </w:r>
          </w:p>
        </w:tc>
        <w:tc>
          <w:tcPr>
            <w:tcW w:type="dxa" w:w="3370"/>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TIM PENGEMBANG SMARTPRASADA (UNDIKSHA — 2026)</w:t>
              <w:br/>
              <w:t>Ketua: I Wayan Pardi, S.Pd., M.Pd. (NIDN: 0016049001 / Pendidikan Sejarah)</w:t>
              <w:br/>
              <w:t>Anggota: Prof. Dr. I Wayan Lasmawan, M.Pd. (NIDN: 0021026701) | Dr. I Made Pageh, M.Hum. (NIDN: 0019086701)</w:t>
              <w:br/>
              <w:t>Asisten: Lukas Sumanto Sababalat | Angela Arga Mayasari Dabukke</w:t>
            </w:r>
          </w:p>
        </w:tc>
      </w:tr>
      <w:tr>
        <w:tc>
          <w:tcPr>
            <w:tcW w:type="dxa" w:w="64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3</w:t>
            </w:r>
          </w:p>
        </w:tc>
        <w:tc>
          <w:tcPr>
            <w:tcW w:type="dxa" w:w="1584"/>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00:25–00:45</w:t>
            </w:r>
          </w:p>
        </w:tc>
        <w:tc>
          <w:tcPr>
            <w:tcW w:type="dxa" w:w="4032"/>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Situasi nyata pembelajaran sejarah konvensional: siswa membuka buku cetak dengan visual terbatas → Cuplikan cagar budaya prasejarah di perbukitan Kintamani yang mengalami pelapukan alami, sulit dikunjungi rombongan siswa, dan terancam degradasi fisik.</w:t>
            </w:r>
          </w:p>
        </w:tc>
        <w:tc>
          <w:tcPr>
            <w:tcW w:type="dxa" w:w="5184"/>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“Dalam pembelajaran sejarah di sekolah, pengenalan cagar budaya terkendala jarak geografis yang jauh, kerapuhan fisik artefak, serta visualisasi dua dimensi yang pasif. Siswa kehilangan kesempatan mengalami langsung konteks ruang dan meresapi nilai kearifan di balik peninggalan leluhur.”</w:t>
            </w:r>
          </w:p>
        </w:tc>
        <w:tc>
          <w:tcPr>
            <w:tcW w:type="dxa" w:w="3370"/>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TANTANGAN PEMBELAJARAN &amp; PRESERVASI SEJARAH</w:t>
              <w:br/>
              <w:t>Aksesibilitas Fisik Terbatas • Kerapuhan Artefak Cagar Budaya • Pembelajaran Sejarah Pasif Tanpa Interaksi Nyata</w:t>
            </w:r>
          </w:p>
        </w:tc>
      </w:tr>
      <w:tr>
        <w:tc>
          <w:tcPr>
            <w:tcW w:type="dxa" w:w="648"/>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4</w:t>
            </w:r>
          </w:p>
        </w:tc>
        <w:tc>
          <w:tcPr>
            <w:tcW w:type="dxa" w:w="1584"/>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00:45–01:00</w:t>
            </w:r>
          </w:p>
        </w:tc>
        <w:tc>
          <w:tcPr>
            <w:tcW w:type="dxa" w:w="4032"/>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Transisi dinamis dari buku pelajaran ke dunia digital: Siswa mengangkat headset VR Meta Quest 2 → Masuk ke rekonstruksi 3D Punden Berundak Pura Mehu yang megah dengan tekstur batu padas realistis dan pencahayaan dinamis.</w:t>
            </w:r>
          </w:p>
        </w:tc>
        <w:tc>
          <w:tcPr>
            <w:tcW w:type="dxa" w:w="5184"/>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“Menjawab tantangan tersebut, kami menghadirkan SmartPrasada, sebuah Immersive Virtual Reality Learning Kit yang mendigitalisasi peninggalan megalitik menjadi lingkungan belajar berbasis pengalaman: membawa siswa masuk ke situsnya, bukan sekadar menontonnya.”</w:t>
            </w:r>
          </w:p>
        </w:tc>
        <w:tc>
          <w:tcPr>
            <w:tcW w:type="dxa" w:w="3370"/>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SMARTPRASADA</w:t>
              <w:br/>
              <w:t>Immersive Virtual Reality Learning Kit: Masuk ke Situsnya, Bukan Menontonnya</w:t>
            </w:r>
          </w:p>
        </w:tc>
      </w:tr>
      <w:tr>
        <w:tc>
          <w:tcPr>
            <w:tcW w:type="dxa" w:w="64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5</w:t>
            </w:r>
          </w:p>
        </w:tc>
        <w:tc>
          <w:tcPr>
            <w:tcW w:type="dxa" w:w="1584"/>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01:00–01:15</w:t>
            </w:r>
          </w:p>
        </w:tc>
        <w:tc>
          <w:tcPr>
            <w:tcW w:type="dxa" w:w="4032"/>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Motion graphic elegan membedah konsep pembeda inovasi: Bukan sekadar tur virtual 360 pasif, melainkan alur Experiential Learning 4 Fase: Orientasi → Eksplorasi → Interaksi → Refleksi.</w:t>
            </w:r>
          </w:p>
        </w:tc>
        <w:tc>
          <w:tcPr>
            <w:tcW w:type="dxa" w:w="5184"/>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“SmartPrasada menghadirkan kebaruan fundamental: bukan tur virtual pasif, melainkan sistem pembelajaran terstruktur yang memadukan navigasi mandiri, manipulasi artefak secara langsung, dan internalisasi nilai karakter dalam satu kesatuan utuh.”</w:t>
            </w:r>
          </w:p>
        </w:tc>
        <w:tc>
          <w:tcPr>
            <w:tcW w:type="dxa" w:w="3370"/>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PARADIGMA EXPERIENTIAL LEARNING</w:t>
              <w:br/>
              <w:t>Orientasi Spasial • Eksplorasi Mandiri • Manipulasi Artefak • Refleksi Nilai Karakter</w:t>
            </w:r>
          </w:p>
        </w:tc>
      </w:tr>
      <w:tr>
        <w:tc>
          <w:tcPr>
            <w:tcW w:type="dxa" w:w="648"/>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6</w:t>
            </w:r>
          </w:p>
        </w:tc>
        <w:tc>
          <w:tcPr>
            <w:tcW w:type="dxa" w:w="1584"/>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01:15–01:30</w:t>
            </w:r>
          </w:p>
        </w:tc>
        <w:tc>
          <w:tcPr>
            <w:tcW w:type="dxa" w:w="4032"/>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Rekam jejak riset tim pengusul: artikel jurnal bereputasi tentang rekonstruksi nilai karakter peninggalan Selulung (Pardi dkk., 2017 &amp; 2025), buku ajar, sketsa blueprint sistem, dan dokumentasi prototipe awal TKT 4.</w:t>
            </w:r>
          </w:p>
        </w:tc>
        <w:tc>
          <w:tcPr>
            <w:tcW w:type="dxa" w:w="5184"/>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“SmartPrasada berakar dari riset etnografis dan arkeologis tim pengusul sejak 2017 yang telah tervalidasi secara konseptual dan fungsional awal pada Tingkat Kesiapterapan Teknologi empat, yang kini siap dihilirkan ke lingkungan operasional persekolahan.”</w:t>
            </w:r>
          </w:p>
        </w:tc>
        <w:tc>
          <w:tcPr>
            <w:tcW w:type="dxa" w:w="3370"/>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REKAM JEJAK RISET (2017–2025) &amp; BASELINE TKT 4</w:t>
              <w:br/>
              <w:t>Riset Arkeologis Selulung • Validasi Model Konseptual Awal • Kesiapan Pengujian Operasional</w:t>
            </w:r>
          </w:p>
        </w:tc>
      </w:tr>
      <w:tr>
        <w:tc>
          <w:tcPr>
            <w:tcW w:type="dxa" w:w="64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7</w:t>
            </w:r>
          </w:p>
        </w:tc>
        <w:tc>
          <w:tcPr>
            <w:tcW w:type="dxa" w:w="1584"/>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01:30–01:45</w:t>
            </w:r>
          </w:p>
        </w:tc>
        <w:tc>
          <w:tcPr>
            <w:tcW w:type="dxa" w:w="4032"/>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Tim peneliti dan pengembang mengkaji blueprint arsitektur sistem di monitor: diagram 5 modul (VR Rendering Engine, Interaction Controller, Content Management, Spatial UI, Modul Refleksi) dan state machine transisi fase.</w:t>
            </w:r>
          </w:p>
        </w:tc>
        <w:tc>
          <w:tcPr>
            <w:tcW w:type="dxa" w:w="5184"/>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“Tahap perancangan sistem difokuskan pada penyempurnaan blueprint lima modul utama, pemetaan tata letak spasial sesuai cagar budaya asli, serta perancangan state management untuk transisi fase pembelajaran yang mulus tanpa intervensi pengembang.”</w:t>
            </w:r>
          </w:p>
        </w:tc>
        <w:tc>
          <w:tcPr>
            <w:tcW w:type="dxa" w:w="3370"/>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01 — SYSTEM DESIGN &amp; BLUEPRINT 5 MODUL</w:t>
              <w:br/>
              <w:t>VR Rendering Engine • Interaction Controller • Content Management • Spatial UI • Modul Refleksi</w:t>
            </w:r>
          </w:p>
        </w:tc>
      </w:tr>
      <w:tr>
        <w:tc>
          <w:tcPr>
            <w:tcW w:type="dxa" w:w="648"/>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8</w:t>
            </w:r>
          </w:p>
        </w:tc>
        <w:tc>
          <w:tcPr>
            <w:tcW w:type="dxa" w:w="1584"/>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01:45–02:05</w:t>
            </w:r>
          </w:p>
        </w:tc>
        <w:tc>
          <w:tcPr>
            <w:tcW w:type="dxa" w:w="4032"/>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3D artist di Blender: merekonstruksi Punden Berundak Pura Mehu 5 tingkat dengan skala 1:1, detail batu padas berlumut, kompresi Draco glTF, dipadukan dengan sesi rekaman narasi audio pemaknaan sejarah di studio rekaman.</w:t>
            </w:r>
          </w:p>
        </w:tc>
        <w:tc>
          <w:tcPr>
            <w:tcW w:type="dxa" w:w="5184"/>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“Tahap produksi dilanjutkan dengan pemodelan 3D digital peninggalan prasejarah berpresisi tinggi dengan skala satu banding satu, optimasi rendering WebXR, serta perekaman narasi audio pemandu yang menuntun pemahaman siswa.”</w:t>
            </w:r>
          </w:p>
        </w:tc>
        <w:tc>
          <w:tcPr>
            <w:tcW w:type="dxa" w:w="3370"/>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02 — 3D ASSET RECONSTRUCTION &amp; AUDIO</w:t>
              <w:br/>
              <w:t>Model Presisi 1:1 • glTF/Draco Compression • Tekstur Padas &amp; Lumut • Audio Imersif</w:t>
            </w:r>
          </w:p>
        </w:tc>
      </w:tr>
      <w:tr>
        <w:tc>
          <w:tcPr>
            <w:tcW w:type="dxa" w:w="64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9</w:t>
            </w:r>
          </w:p>
        </w:tc>
        <w:tc>
          <w:tcPr>
            <w:tcW w:type="dxa" w:w="1584"/>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02:05–02:20</w:t>
            </w:r>
          </w:p>
        </w:tc>
        <w:tc>
          <w:tcPr>
            <w:tcW w:type="dxa" w:w="4032"/>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Developer menulis kode WebXR/Three.js, konfigurasi TeleportControls, shader padas, serta integrasi backend Laravel 11 untuk penanganan endpoint REST API, otentikasi stateless, dan sistem pencatatan runtime events (vr_event).</w:t>
            </w:r>
          </w:p>
        </w:tc>
        <w:tc>
          <w:tcPr>
            <w:tcW w:type="dxa" w:w="5184"/>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“Aplikasi dibangun menggunakan engine Three.js dan WebXR untuk performa tinggi pada perangkat VR standalone, terintegrasi dengan backend Laravel 11 yang mengelola instrumen refleksi dan merekam telemetri perilaku pengguna secara realtime.”</w:t>
            </w:r>
          </w:p>
        </w:tc>
        <w:tc>
          <w:tcPr>
            <w:tcW w:type="dxa" w:w="3370"/>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03 — SOFTWARE ENGINEERING &amp; BACKEND INTEGRATION</w:t>
              <w:br/>
              <w:t>WebXR Three.js • Event-Driven Interaction • Laravel 11 Backend • Logging Telemetri Realtime</w:t>
            </w:r>
          </w:p>
        </w:tc>
      </w:tr>
      <w:tr>
        <w:tc>
          <w:tcPr>
            <w:tcW w:type="dxa" w:w="648"/>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10</w:t>
            </w:r>
          </w:p>
        </w:tc>
        <w:tc>
          <w:tcPr>
            <w:tcW w:type="dxa" w:w="1584"/>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02:20–02:40</w:t>
            </w:r>
          </w:p>
        </w:tc>
        <w:tc>
          <w:tcPr>
            <w:tcW w:type="dxa" w:w="4032"/>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Screen recording sudut pandang siswa di dalam VR (First-Person View): Siswa berada di pelataran punden, membaca Context-Aware Spatial InfoPanel yang melayang non-intrusif, lalu berteleportasi menjelajahi 5 tingkatan undakan punden secara mandiri.</w:t>
            </w:r>
          </w:p>
        </w:tc>
        <w:tc>
          <w:tcPr>
            <w:tcW w:type="dxa" w:w="5184"/>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“Pada sisi siswa, alur dimulai dengan Fase Orientasi melalui panel informasi spasial non-intrusif, dilanjutkan Fase Eksplorasi di mana siswa bergerak bebas mengamati arsitektur megalitik dari jarak dekat dengan kontrol teleportasi yang responsif.”</w:t>
            </w:r>
          </w:p>
        </w:tc>
        <w:tc>
          <w:tcPr>
            <w:tcW w:type="dxa" w:w="3370"/>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FASE 1 &amp; 2: ORIENTASI &amp; EKSPLORASI SPASIAL</w:t>
              <w:br/>
              <w:t>Context-Aware Spatial Overlay • Navigasi Teleportasi Bebas • Pengamatan Mandiri Artefak 3D</w:t>
            </w:r>
          </w:p>
        </w:tc>
      </w:tr>
      <w:tr>
        <w:tc>
          <w:tcPr>
            <w:tcW w:type="dxa" w:w="64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11</w:t>
            </w:r>
          </w:p>
        </w:tc>
        <w:tc>
          <w:tcPr>
            <w:tcW w:type="dxa" w:w="1584"/>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02:40–02:55</w:t>
            </w:r>
          </w:p>
        </w:tc>
        <w:tc>
          <w:tcPr>
            <w:tcW w:type="dxa" w:w="4032"/>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Siswa di dalam VR menggunakan motion controller: menembak raycast ke batu punden yang terlepas, mengambilnya dengan gesture grab, merasakan getaran haptic taktil, lalu memasangkannya kembali ke posisi aslinya (snap-to-origin).</w:t>
            </w:r>
          </w:p>
        </w:tc>
        <w:tc>
          <w:tcPr>
            <w:tcW w:type="dxa" w:w="5184"/>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“Memasuki Fase Interaksi, siswa terlibat aktif memanipulasi objek virtual. Menggunakan motion controller, siswa memasang kembali komponen artefak yang terlepas ke posisi aslinya, memicu pembelajaran kinestetik yang melatih kepekaan cagar budaya.”</w:t>
            </w:r>
          </w:p>
        </w:tc>
        <w:tc>
          <w:tcPr>
            <w:tcW w:type="dxa" w:w="3370"/>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FASE 3: INTERAKSI &amp; MANIPULASI ARTEFAK</w:t>
              <w:br/>
              <w:t>Raycasting Selection • Grab &amp; Snap-to-Origin • Taktil Haptic Feedback • Kinesthetic Learning</w:t>
            </w:r>
          </w:p>
        </w:tc>
      </w:tr>
      <w:tr>
        <w:tc>
          <w:tcPr>
            <w:tcW w:type="dxa" w:w="648"/>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12</w:t>
            </w:r>
          </w:p>
        </w:tc>
        <w:tc>
          <w:tcPr>
            <w:tcW w:type="dxa" w:w="1584"/>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02:55–03:10</w:t>
            </w:r>
          </w:p>
        </w:tc>
        <w:tc>
          <w:tcPr>
            <w:tcW w:type="dxa" w:w="4032"/>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Transisi ke Fase Refleksi di hadapan punden yang telah utuh: Panel refleksi spasial muncul di ruang 3D, siswa menjawab pertanyaan pemaknaan nilai karakter (gotong royong, religiusitas, ketangguhan leluhur) dan mengetikkan refleksi personal.</w:t>
            </w:r>
          </w:p>
        </w:tc>
        <w:tc>
          <w:tcPr>
            <w:tcW w:type="dxa" w:w="5184"/>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“Di akhir sesi, siswa menjalani Fase Refleksi untuk memaknai nilai karakter luhur di balik peninggalan prasejarah—seperti gotong royong mendirikan bangunan batu dan kearifan menjaga alam—sehingga pengetahuan bertransformasi menjadi sikap batin.”</w:t>
            </w:r>
          </w:p>
        </w:tc>
        <w:tc>
          <w:tcPr>
            <w:tcW w:type="dxa" w:w="3370"/>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FASE 4: REFLEKSI NILAI KARAKTER LUHUR</w:t>
              <w:br/>
              <w:t>Internalisasi Nilai Gotong Royong • Religiusitas &amp; Penghormatan Leluhur • Evaluasi Karakter Terstruktur</w:t>
            </w:r>
          </w:p>
        </w:tc>
      </w:tr>
      <w:tr>
        <w:tc>
          <w:tcPr>
            <w:tcW w:type="dxa" w:w="64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13</w:t>
            </w:r>
          </w:p>
        </w:tc>
        <w:tc>
          <w:tcPr>
            <w:tcW w:type="dxa" w:w="1584"/>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03:10–03:30</w:t>
            </w:r>
          </w:p>
        </w:tc>
        <w:tc>
          <w:tcPr>
            <w:tcW w:type="dxa" w:w="4032"/>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Guru di kelas memegang tablet/laptop membuka portal peluncur SmartPrasada, menampilkan QR Code sesi kelas. Siswa di headset VR menatap/memindai QR Code untuk langsung memulai tanpa mengetik URL dan tanpa bantuan tim teknis.</w:t>
            </w:r>
          </w:p>
        </w:tc>
        <w:tc>
          <w:tcPr>
            <w:tcW w:type="dxa" w:w="5184"/>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“Untuk memudahkan implementasi di sekolah, SmartPrasada dilengkapi Mode Kiosk dan Peluncur QR Code, memungkinkan guru dan siswa menjalankan sesi secara mandiri dalam satu ketukan tanpa intervensi teknis pengembang, didukung mode mobile cardboard.”</w:t>
            </w:r>
          </w:p>
        </w:tc>
        <w:tc>
          <w:tcPr>
            <w:tcW w:type="dxa" w:w="3370"/>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KIOSK MODE &amp; QR LAUNCHER</w:t>
              <w:br/>
              <w:t>Akses Mandiri Satu Ketukan • Zero Technical Intervention • Multiperangkat (Quest 2 &amp; Mobile Cardboard)</w:t>
            </w:r>
          </w:p>
        </w:tc>
      </w:tr>
      <w:tr>
        <w:tc>
          <w:tcPr>
            <w:tcW w:type="dxa" w:w="648"/>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14</w:t>
            </w:r>
          </w:p>
        </w:tc>
        <w:tc>
          <w:tcPr>
            <w:tcW w:type="dxa" w:w="1584"/>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03:30–03:50</w:t>
            </w:r>
          </w:p>
        </w:tc>
        <w:tc>
          <w:tcPr>
            <w:tcW w:type="dxa" w:w="4032"/>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Layar monitor dashboard analitik guru: visualisasi grafik waktu eksplorasi siswa per fase, heatmap area perhatian di situs, rekapitulasi jawaban refleksi karakter, dan ekspor data event runtime (vr_event) untuk evaluasi pembelajaran.</w:t>
            </w:r>
          </w:p>
        </w:tc>
        <w:tc>
          <w:tcPr>
            <w:tcW w:type="dxa" w:w="5184"/>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“Seluruh interaksi, durasi pengamatan, dan capaian refleksi terekam otomatis dalam dashboard analitik guru, memberikan visualisasi berbasis data mengenai keterlibatan belajar dan internalisasi karakter setiap peserta didik.”</w:t>
            </w:r>
          </w:p>
        </w:tc>
        <w:tc>
          <w:tcPr>
            <w:tcW w:type="dxa" w:w="3370"/>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ANALYTICS DASHBOARD &amp; TELEMETRI PERILAKU</w:t>
              <w:br/>
              <w:t>Tracking Durasi Interaksi • Heatmap Spasial Pengamatan • Rekap Refleksi Nilai Karakter</w:t>
            </w:r>
          </w:p>
        </w:tc>
      </w:tr>
      <w:tr>
        <w:tc>
          <w:tcPr>
            <w:tcW w:type="dxa" w:w="64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15</w:t>
            </w:r>
          </w:p>
        </w:tc>
        <w:tc>
          <w:tcPr>
            <w:tcW w:type="dxa" w:w="1584"/>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03:50–04:05</w:t>
            </w:r>
          </w:p>
        </w:tc>
        <w:tc>
          <w:tcPr>
            <w:tcW w:type="dxa" w:w="4032"/>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Dokumentasi pengujian fungsional di Lab Media Pembelajaran Undiksha: Ketua Peneliti (I Wayan Pardi) memantau stabilitas frame rate Quest 2 (konstan 72 fps tanpa drop), verifikasi latensi kontrol gerakan, dan kelulusan automated testing backend Laravel.</w:t>
            </w:r>
          </w:p>
        </w:tc>
        <w:tc>
          <w:tcPr>
            <w:tcW w:type="dxa" w:w="5184"/>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“Memenuhi target TKT lima, pengujian fungsional terintegrasi dilakukan di laboratorium terkontrol, memverifikasi stabilitas frame rate 72 FPS pada headset VR, latensi kontrol gerakan yang sangat rendah, serta keandalan pencatatan basis data.”</w:t>
            </w:r>
          </w:p>
        </w:tc>
        <w:tc>
          <w:tcPr>
            <w:tcW w:type="dxa" w:w="3370"/>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04 — PENGUJIAN FUNGSIONAL LABORATORIUM (TARGET TKT 5)</w:t>
              <w:br/>
              <w:t>Stabilitas 72 FPS • Zero Latency Motion Control • Bebas Motion Sickness • Automated Unit Testing 100%</w:t>
            </w:r>
          </w:p>
        </w:tc>
      </w:tr>
      <w:tr>
        <w:tc>
          <w:tcPr>
            <w:tcW w:type="dxa" w:w="648"/>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16</w:t>
            </w:r>
          </w:p>
        </w:tc>
        <w:tc>
          <w:tcPr>
            <w:tcW w:type="dxa" w:w="1584"/>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04:05–04:20</w:t>
            </w:r>
          </w:p>
        </w:tc>
        <w:tc>
          <w:tcPr>
            <w:tcW w:type="dxa" w:w="4032"/>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Proses engineering iteratif: Tim pengembang mengoptimalkan shader batu padas (PCFSoftShadowMap), menyempurnakan batas area teleportasi, memperhalus animasi transisi antar-fase, dan menguji ketahanan memori perangkat.</w:t>
            </w:r>
          </w:p>
        </w:tc>
        <w:tc>
          <w:tcPr>
            <w:tcW w:type="dxa" w:w="5184"/>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“Hasil pengujian laboratorium ditindaklanjuti secara iteratif melalui optimasi komputasi grafis dan ergonomi antarmuka virtual untuk menjamin pengalaman belajar yang aman, nyaman, dan sepenuhnya bebas disorientasi visual.”</w:t>
            </w:r>
          </w:p>
        </w:tc>
        <w:tc>
          <w:tcPr>
            <w:tcW w:type="dxa" w:w="3370"/>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PENGEMBANGAN ITERATIF SISTEM</w:t>
              <w:br/>
              <w:t>Optimasi Beban Grafis • Ergonomi Visual Spasial • Pematangan Kestabilan Prototipe</w:t>
            </w:r>
          </w:p>
        </w:tc>
      </w:tr>
      <w:tr>
        <w:tc>
          <w:tcPr>
            <w:tcW w:type="dxa" w:w="64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17</w:t>
            </w:r>
          </w:p>
        </w:tc>
        <w:tc>
          <w:tcPr>
            <w:tcW w:type="dxa" w:w="1584"/>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04:20–04:35</w:t>
            </w:r>
          </w:p>
        </w:tc>
        <w:tc>
          <w:tcPr>
            <w:tcW w:type="dxa" w:w="4032"/>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Dokumentasi uji lapangan terbatas di SMP mitra di Bali: Siswa antusias bergiliran menggunakan headset VR di kelas sejarah, guru memfasilitasi jalannya sesi. Sisipkan Talking Head 3 detik Guru Mitra memberikan testimoni keterlibatan siswa yang meningkat drastis.</w:t>
            </w:r>
          </w:p>
        </w:tc>
        <w:tc>
          <w:tcPr>
            <w:tcW w:type="dxa" w:w="5184"/>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“Tahap berikutnya adalah uji lapangan terbatas bersama guru dan siswa di sekolah mitra untuk mencapai TKT enam. Pengujian membuktikan tingginya keterterimaan pengguna dengan skor System Usability Scale sangat baik serta antusiasme belajar siswa yang meningkat tajam.”</w:t>
            </w:r>
          </w:p>
        </w:tc>
        <w:tc>
          <w:tcPr>
            <w:tcW w:type="dxa" w:w="3370"/>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05 — UJI LAPANGAN TERBATAS (TARGET TKT 6)</w:t>
              <w:br/>
              <w:t>Uji Coba Nyata Sekolah Mitra • Evaluasi Keterterimaan Pengguna (SUS &gt; 75) • Operasional Mandiri Tanpa Bantuan Pengembang</w:t>
            </w:r>
          </w:p>
        </w:tc>
      </w:tr>
      <w:tr>
        <w:tc>
          <w:tcPr>
            <w:tcW w:type="dxa" w:w="648"/>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18</w:t>
            </w:r>
          </w:p>
        </w:tc>
        <w:tc>
          <w:tcPr>
            <w:tcW w:type="dxa" w:w="1584"/>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04:35–04:45</w:t>
            </w:r>
          </w:p>
        </w:tc>
        <w:tc>
          <w:tcPr>
            <w:tcW w:type="dxa" w:w="4032"/>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Montage sinematik ekosistem SmartPrasada: Siswa tersenyum di balik headset VR → Lanskap 3D punden berundak megah berputar perlahan → Guru tersenyum melihat laporan analitik refleksi karakter di dashboard.</w:t>
            </w:r>
          </w:p>
        </w:tc>
        <w:tc>
          <w:tcPr>
            <w:tcW w:type="dxa" w:w="5184"/>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“Melalui pengujian berjenjang, SmartPrasada berhasil mewujudkan prototipe VR terintegrasi berstandar TKT enam yang menghubungkan preservasi cagar budaya prasejarah dengan pembelajaran nilai karakter modern yang siap dihilirisasi.”</w:t>
            </w:r>
          </w:p>
        </w:tc>
        <w:tc>
          <w:tcPr>
            <w:tcW w:type="dxa" w:w="3370"/>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CAPAIAN PROTOTIPE SMARTPRASADA (TKT 6)</w:t>
              <w:br/>
              <w:t>Ekosistem Hilirisasi: Preservasi Cagar Budaya • Experiential VR • Pendidikan Nilai Karakter</w:t>
            </w:r>
          </w:p>
        </w:tc>
      </w:tr>
      <w:tr>
        <w:tc>
          <w:tcPr>
            <w:tcW w:type="dxa" w:w="64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19</w:t>
            </w:r>
          </w:p>
        </w:tc>
        <w:tc>
          <w:tcPr>
            <w:tcW w:type="dxa" w:w="1584"/>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04:45–04:53</w:t>
            </w:r>
          </w:p>
        </w:tc>
        <w:tc>
          <w:tcPr>
            <w:tcW w:type="dxa" w:w="4032"/>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Suasana harmonis siswa-siswi di sekolah berlatar budaya Bali, memancarkan kebanggaan terhadap warisan sejarah nenek moyang dan nilai gotong royong.</w:t>
            </w:r>
          </w:p>
        </w:tc>
        <w:tc>
          <w:tcPr>
            <w:tcW w:type="dxa" w:w="5184"/>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“Inovasi ini membuktikan bahwa teknologi imersif mampu merevitalisasi warisan masa lampau menjadi sumber belajar bermakna, menumbuhkan rasa bangga dan karakter tangguh bagi generasi muda Indonesia.”</w:t>
            </w:r>
          </w:p>
        </w:tc>
        <w:tc>
          <w:tcPr>
            <w:tcW w:type="dxa" w:w="3370"/>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IMPACT &amp; PEDAGOGICAL VALUE</w:t>
              <w:br/>
              <w:t>Revitalisasi Cagar Budaya Megalitik Menjadi Sumber Belajar Karakter Generasi Bangsa</w:t>
            </w:r>
          </w:p>
        </w:tc>
      </w:tr>
      <w:tr>
        <w:tc>
          <w:tcPr>
            <w:tcW w:type="dxa" w:w="648"/>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20</w:t>
            </w:r>
          </w:p>
        </w:tc>
        <w:tc>
          <w:tcPr>
            <w:tcW w:type="dxa" w:w="1584"/>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center"/>
            </w:pPr>
            <w:r>
              <w:rPr>
                <w:rFonts w:ascii="Arial" w:hAnsi="Arial"/>
                <w:b/>
                <w:color w:val="1F2937"/>
                <w:sz w:val="17"/>
              </w:rPr>
              <w:t>04:53–05:00</w:t>
            </w:r>
          </w:p>
        </w:tc>
        <w:tc>
          <w:tcPr>
            <w:tcW w:type="dxa" w:w="4032"/>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Fade-in logo animasi SmartPrasada bersanding dengan logo Kemdiktisaintek, DRTPM, dan Universitas Pendidikan Ganesha. Credit title susunan tim peneliti, mitra sekolah, dan Balai Pelestarian Kebudayaan. Musik naik lalu fade-out.</w:t>
            </w:r>
          </w:p>
        </w:tc>
        <w:tc>
          <w:tcPr>
            <w:tcW w:type="dxa" w:w="5184"/>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“SmartPrasada: Masuk ke Situsnya, Bukan Menontonnya. Belajar sejarah dengan berdiri di dalamnya.”</w:t>
            </w:r>
          </w:p>
        </w:tc>
        <w:tc>
          <w:tcPr>
            <w:tcW w:type="dxa" w:w="3370"/>
            <w:shd w:fill="FEFCE8"/>
            <w:tcBorders>
              <w:top w:val="single" w:sz="4" w:space="0" w:color="E2E8F0"/>
              <w:left w:val="single" w:sz="4" w:space="0" w:color="E2E8F0"/>
              <w:bottom w:val="single" w:sz="4" w:space="0" w:color="E2E8F0"/>
              <w:right w:val="single" w:sz="4" w:space="0" w:color="E2E8F0"/>
            </w:tcBorders>
          </w:tcPr>
          <w:p>
            <w:pPr>
              <w:spacing w:line="276" w:lineRule="auto" w:before="60" w:after="60"/>
              <w:jc w:val="left"/>
            </w:pPr>
            <w:r>
              <w:rPr>
                <w:rFonts w:ascii="Arial" w:hAnsi="Arial"/>
                <w:color w:val="1F2937"/>
                <w:sz w:val="17"/>
              </w:rPr>
              <w:t>TERIMA KASIH &amp; PENGAKUAN PENDANAAN</w:t>
              <w:br/>
              <w:t>Direktorat Riset, Teknologi, dan Pengabdian kepada Masyarakat (DRTPM)</w:t>
              <w:br/>
              <w:t>Kementerian Pendidikan Tinggi, Sains, dan Teknologi Republik Indonesia</w:t>
              <w:br/>
              <w:t>Universitas Pendidikan Ganesha (Undiksha) — 2026</w:t>
            </w:r>
          </w:p>
        </w:tc>
      </w:tr>
    </w:tbl>
    <w:sectPr w:rsidR="00FC693F" w:rsidRPr="0006063C" w:rsidSect="00034616">
      <w:pgSz w:w="16834" w:h="11909"/>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