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Comparación de modelos para clasificar registros de stroke</w:t>
      </w:r>
    </w:p>
    <w:p>
      <w:pPr>
        <w:pStyle w:val="Subtitle"/>
      </w:pPr>
      <w:r>
        <w:t>Universidad Panamericana  |  Aprendizaje de Máquina  |  13 de octubre de 2026</w:t>
      </w:r>
    </w:p>
    <w:p>
      <w:pPr>
        <w:spacing w:after="20"/>
      </w:pPr>
      <w:r>
        <w:rPr>
          <w:sz w:val="20"/>
        </w:rPr>
        <w:t>Ángel Esqueda Ochoa</w:t>
      </w:r>
    </w:p>
    <w:p>
      <w:pPr>
        <w:spacing w:after="20"/>
      </w:pPr>
      <w:r>
        <w:rPr>
          <w:sz w:val="20"/>
        </w:rPr>
        <w:t>Ivan Reyes Pedroza</w:t>
      </w:r>
    </w:p>
    <w:p>
      <w:pPr>
        <w:spacing w:after="20"/>
      </w:pPr>
      <w:r>
        <w:rPr>
          <w:sz w:val="20"/>
        </w:rPr>
        <w:t>Andoreni Claudio Flores Alcocer</w:t>
      </w:r>
    </w:p>
    <w:p>
      <w:pPr>
        <w:pStyle w:val="Heading1"/>
      </w:pPr>
      <w:r>
        <w:t>El problema y el resultado principal</w:t>
      </w:r>
    </w:p>
    <w:p>
      <w:r>
        <w:t>Comparamos LDA, KNN, un árbol podado y Random Forest para clasificar la variable stroke; también probamos Gradient Boosting como ensamble adicional. Elegimos Random Forest con la mayor AUC promedio en validación cruzada de entrenamiento. En la evaluación final, Gradient Boosting obtuvo la mayor AUC observada, 0.840. Esa posición no lo vuelve el mejor para cualquier decisión: LDA tuvo el mayor F1 y KNN el mayor recall. La métrica y el umbral cambian qué modelo resulta preferible.</w:t>
      </w:r>
    </w:p>
    <w:p>
      <w:pPr>
        <w:pStyle w:val="Heading1"/>
      </w:pPr>
      <w:r>
        <w:t>Por qué elegimos estos datos</w:t>
      </w:r>
    </w:p>
    <w:p>
      <w:r>
        <w:t>Usamos el Stroke Prediction Dataset publicado por fedesoriano en Kaggle. Tiene 5,110 registros y diez predictores al excluir el identificador y la variable objetivo. Combina edad, glucosa promedio, índice de masa corporal, antecedentes de hipertensión y enfermedad cardiaca con variables demográficas y de tabaquismo. Lo elegimos porque su desbalance y sus faltantes obligan a tomar decisiones concretas de preparación y evaluación. El objetivo es clasificar la etiqueta observada en estos registros; el archivo no permite demostrar predicción prospectiva ni relaciones causales.</w:t>
      </w:r>
    </w:p>
    <w:p>
      <w:pPr>
        <w:pStyle w:val="Heading1"/>
      </w:pPr>
      <w:r>
        <w:t>Lo que encontramos en el analisis exploratorio</w:t>
      </w:r>
    </w:p>
    <w:p>
      <w:r>
        <w:t>Hay 249 positivos y 4,861 negativos: sólo el 4.87 % corresponde a stroke. Predecir siempre cero daría 95.13 % de accuracy. Por eso una cifra alta de aciertos puede ocultar que no se detecta ningún positivo. También encontramos 201 valores faltantes de BMI, el 3.93 %, y 1,544 registros con tabaquismo Unknown, el 30.22 %. Conservamos Unknown como categoría porque no equivale a nunca haber fumado.</w:t>
      </w:r>
    </w:p>
    <w:p>
      <w:r>
        <w:t>Los registros con BMI faltante tienen una tasa de stroke de 19.90 %, frente a 4.26 % entre los que sí lo reportan. Eso señala que vale la pena estudiar la ausencia del dato; no prueba por sí solo un mecanismo de faltantes. La edad media es 67.73 años en positivos y 41.97 en negativos; la glucosa media es 132.54 y 104.80, respectivamente. Los histogramas muestran asimetría y dispersión distinta por clase. Esas asociaciones ayudan a explicar los resultados, sin convertirlas en causas.</w:t>
      </w:r>
    </w:p>
    <w:p>
      <w:r>
        <w:t>Retiramos id y el único registro con gender Other, que no aporta suficientes casos para estimar su categoría. Quedaron 5,109 observaciones. No detectamos filas duplicadas. Conservar esa categoría mediante otra codificación sería una alternativa a evaluar con más datos.</w:t>
      </w:r>
    </w:p>
    <w:p>
      <w:r>
        <w:br w:type="page"/>
      </w:r>
    </w:p>
    <w:p>
      <w:pPr>
        <w:pStyle w:val="Heading1"/>
      </w:pPr>
      <w:r>
        <w:t>Qué aprende cada algoritmo</w:t>
      </w:r>
    </w:p>
    <w:p>
      <w:pPr>
        <w:pStyle w:val="Heading2"/>
      </w:pPr>
      <w:r>
        <w:t>LDA y QDA</w:t>
      </w:r>
    </w:p>
    <w:p>
      <w:r>
        <w:t>La diferencia central del tema de la Clase 17 es la forma de la frontera. LDA supone una distribución normal multivariada dentro de cada clase y comparte una matriz de covarianza; de ahí resulta una frontera lineal. QDA estima una covarianza por clase y puede separar con una frontera curva. Esa flexibilidad necesita más observaciones para estimar bien la dispersión. Aquí sólo hay 187 positivos en entrenamiento, mientras que una matriz de 15 predictores tiene 120 parámetros distintos de covarianza.</w:t>
      </w:r>
    </w:p>
    <w:p>
      <w:r>
        <w:t>Las gráficas no sostienen una normalidad perfecta y las variables dummy tampoco son normales. Además, una dummy tiene varianza cero entre positivos, lo que dificulta QDA con todos los predictores. QDA con tres continuas alcanzó AUC CV de 0.839, frente a 0.832 de LDA completo. Conservamos LDA como referencia lineal e interpretable; no afirmamos que maximice la AUC entre los candidatos discriminantes. Un histograma o un QQ plot univariado tampoco demuestra normalidad multivariada.</w:t>
      </w:r>
    </w:p>
    <w:p>
      <w:pPr>
        <w:pStyle w:val="Heading2"/>
      </w:pPr>
      <w:r>
        <w:t>KNN</w:t>
      </w:r>
    </w:p>
    <w:p>
      <w:r>
        <w:t>KNN clasifica a partir de los vecinos más cercanos. La distancia depende de la escala: una variable como glucosa podría pesar mucho más que una variable binaria. Por eso estandarizamos dentro de cada fold. Un K pequeño puede seguir demasiado el ruido; uno grande suaviza la frontera y puede perder patrones locales. La CV eligió K igual a 501 con cinco variables clínicas, después de comparar ese subconjunto con las quince columnas codificadas. La elección del subconjunto también se hizo en entrenamiento.</w:t>
      </w:r>
    </w:p>
    <w:p>
      <w:pPr>
        <w:pStyle w:val="Heading2"/>
      </w:pPr>
      <w:r>
        <w:t>El árbol y la poda</w:t>
      </w:r>
    </w:p>
    <w:p>
      <w:r>
        <w:t>El tema de la Clase 19 se refleja en reglas sucesivas sobre las variables. El árbol busca cortes que reduzcan la impureza Gini. Si crece demasiado, puede ajustar detalles del entrenamiento que no se repiten en datos nuevos. La poda por complejidad de costo penaliza el número de hojas con alpha. Con una rejilla previa y CV elegimos alpha de 0.00000562 y mínimo 200 observaciones por hoja. El árbol final tiene diez hojas y profundidad cinco. Así controlamos el equilibrio de sesgo y varianza, sin escoger una profundidad a ojo.</w:t>
      </w:r>
    </w:p>
    <w:p>
      <w:pPr>
        <w:pStyle w:val="Heading2"/>
      </w:pPr>
      <w:r>
        <w:t>Los ensambles</w:t>
      </w:r>
    </w:p>
    <w:p>
      <w:r>
        <w:t>Random Forest retoma la idea de la Clase 21: promedia árboles de muestras bootstrap y limita las variables candidatas en cada corte para reducir su correlación. La CV eligió seis variables por corte y mínimo 50 observaciones por hoja, con 300 árboles. Incluimos usar todas las variables, equivalente al bagging de árboles, para comparar esa aleatoriedad. Gradient Boosting añade árboles pequeños de forma secuencial para corregir errores del conjunto. La CV eligió 100 árboles, profundidad dos y tasa de aprendizaje 0.05; esos parámetros controlan su flexibilidad.</w:t>
      </w:r>
    </w:p>
    <w:p>
      <w:r>
        <w:br w:type="page"/>
      </w:r>
    </w:p>
    <w:p>
      <w:pPr>
        <w:pStyle w:val="Heading1"/>
      </w:pPr>
      <w:r>
        <w:t>Cómo hicimos una comparación comparable</w:t>
      </w:r>
    </w:p>
    <w:p>
      <w:r>
        <w:t>Usamos un único split estratificado 75/25, con semilla 42: 3,831 registros de entrenamiento y 1,278 de prueba. Hay 187 y 62 positivos, respectivamente. Los modelos comparten los mismos cinco folds estratificados. La codificación parte de las categorías de entrenamiento y la mediana para imputar BMI se aprende dentro del pipeline de cada fold, igual que el escalado de KNN. El test se usa al final para evaluar modelos y umbrales ya fijados.</w:t>
      </w:r>
    </w:p>
    <w:p>
      <w:r>
        <w:t>La métrica principal es ROC AUC porque compara la ordenación de positivos y negativos sin fijar un umbral. También reportamos precision, recall, F1 y la curva precision recall, que permiten ver cuántas alarmas son correctas y cuántos positivos se detectan. Elegimos el umbral que maximiza F1 con probabilidades fuera de fold de entrenamiento. Los hiperparámetros ya se habían seleccionado con CV; esta etapa no es una validación anidada y sus cifras pueden ser optimistas. La evaluación en test aporta una comprobación separada.</w:t>
      </w:r>
    </w:p>
    <w:p>
      <w:pPr>
        <w:pStyle w:val="Heading2"/>
      </w:pPr>
      <w:r>
        <w:t>Resultados en el mismo conjunto de prueba</w:t>
      </w:r>
    </w:p>
    <w:p>
      <w:pPr>
        <w:pStyle w:val="Caption"/>
      </w:pPr>
      <w:r>
        <w:t>Precision, recall y F1 corresponden a la clase positiva y al umbral elegido en entrenamiento. La AUC de CV corresponde a la búsqueda en train; no es una estimación independiente del proceso de selección.</w:t>
      </w:r>
    </w:p>
    <w:tbl>
      <w:tblPr>
        <w:tblW w:type="auto" w:w="0"/>
        <w:jc w:val="center"/>
        <w:tblLayout w:type="fixed"/>
        <w:tblLook w:firstColumn="1" w:firstRow="1" w:lastColumn="0" w:lastRow="0" w:noHBand="0" w:noVBand="1" w:val="04A0"/>
      </w:tblPr>
      <w:tblGrid>
        <w:gridCol w:w="3096"/>
        <w:gridCol w:w="1267"/>
        <w:gridCol w:w="1267"/>
        <w:gridCol w:w="1267"/>
        <w:gridCol w:w="1267"/>
        <w:gridCol w:w="1051"/>
      </w:tblGrid>
      <w:tr>
        <w:trPr>
          <w:cantSplit/>
          <w:tblHeader/>
        </w:trPr>
        <w:tc>
          <w:tcPr>
            <w:tcW w:type="dxa" w:w="3096"/>
            <w:vAlign w:val="center"/>
            <w:shd w:fill="DCE6F1"/>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52" w:lineRule="auto"/>
              <w:jc w:val="left"/>
            </w:pPr>
            <w:r>
              <w:rPr>
                <w:b/>
                <w:color w:val="000000"/>
                <w:sz w:val="20"/>
              </w:rPr>
              <w:t>Modelo</w:t>
            </w:r>
          </w:p>
        </w:tc>
        <w:tc>
          <w:tcPr>
            <w:tcW w:type="dxa" w:w="1267"/>
            <w:vAlign w:val="center"/>
            <w:shd w:fill="DCE6F1"/>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52" w:lineRule="auto"/>
              <w:jc w:val="center"/>
            </w:pPr>
            <w:r>
              <w:rPr>
                <w:b/>
                <w:color w:val="000000"/>
                <w:sz w:val="20"/>
              </w:rPr>
              <w:t>AUC CV</w:t>
            </w:r>
          </w:p>
        </w:tc>
        <w:tc>
          <w:tcPr>
            <w:tcW w:type="dxa" w:w="1267"/>
            <w:vAlign w:val="center"/>
            <w:shd w:fill="DCE6F1"/>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52" w:lineRule="auto"/>
              <w:jc w:val="center"/>
            </w:pPr>
            <w:r>
              <w:rPr>
                <w:b/>
                <w:color w:val="000000"/>
                <w:sz w:val="20"/>
              </w:rPr>
              <w:t>AUC test</w:t>
            </w:r>
          </w:p>
        </w:tc>
        <w:tc>
          <w:tcPr>
            <w:tcW w:type="dxa" w:w="1267"/>
            <w:vAlign w:val="center"/>
            <w:shd w:fill="DCE6F1"/>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52" w:lineRule="auto"/>
              <w:jc w:val="center"/>
            </w:pPr>
            <w:r>
              <w:rPr>
                <w:b/>
                <w:color w:val="000000"/>
                <w:sz w:val="20"/>
              </w:rPr>
              <w:t>Precision</w:t>
            </w:r>
          </w:p>
        </w:tc>
        <w:tc>
          <w:tcPr>
            <w:tcW w:type="dxa" w:w="1267"/>
            <w:vAlign w:val="center"/>
            <w:shd w:fill="DCE6F1"/>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52" w:lineRule="auto"/>
              <w:jc w:val="center"/>
            </w:pPr>
            <w:r>
              <w:rPr>
                <w:b/>
                <w:color w:val="000000"/>
                <w:sz w:val="20"/>
              </w:rPr>
              <w:t>Recall</w:t>
            </w:r>
          </w:p>
        </w:tc>
        <w:tc>
          <w:tcPr>
            <w:tcW w:type="dxa" w:w="1051"/>
            <w:vAlign w:val="center"/>
            <w:shd w:fill="DCE6F1"/>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52" w:lineRule="auto"/>
              <w:jc w:val="center"/>
            </w:pPr>
            <w:r>
              <w:rPr>
                <w:b/>
                <w:color w:val="000000"/>
                <w:sz w:val="20"/>
              </w:rPr>
              <w:t>F1</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52" w:lineRule="auto"/>
              <w:jc w:val="left"/>
            </w:pPr>
            <w:r>
              <w:rPr>
                <w:b w:val="0"/>
                <w:color w:val="000000"/>
                <w:sz w:val="20"/>
              </w:rPr>
              <w:t>LDA</w:t>
            </w:r>
          </w:p>
        </w:tc>
        <w:tc>
          <w:tcPr>
            <w:tcW w:type="dxa" w:w="1267"/>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52" w:lineRule="auto"/>
              <w:jc w:val="center"/>
            </w:pPr>
            <w:r>
              <w:rPr>
                <w:b w:val="0"/>
                <w:color w:val="000000"/>
                <w:sz w:val="20"/>
              </w:rPr>
              <w:t>0.832</w:t>
            </w:r>
          </w:p>
        </w:tc>
        <w:tc>
          <w:tcPr>
            <w:tcW w:type="dxa" w:w="1267"/>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52" w:lineRule="auto"/>
              <w:jc w:val="center"/>
            </w:pPr>
            <w:r>
              <w:rPr>
                <w:b w:val="0"/>
                <w:color w:val="000000"/>
                <w:sz w:val="20"/>
              </w:rPr>
              <w:t>0.836</w:t>
            </w:r>
          </w:p>
        </w:tc>
        <w:tc>
          <w:tcPr>
            <w:tcW w:type="dxa" w:w="1267"/>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52" w:lineRule="auto"/>
              <w:jc w:val="center"/>
            </w:pPr>
            <w:r>
              <w:rPr>
                <w:b w:val="0"/>
                <w:color w:val="000000"/>
                <w:sz w:val="20"/>
              </w:rPr>
              <w:t>0.232</w:t>
            </w:r>
          </w:p>
        </w:tc>
        <w:tc>
          <w:tcPr>
            <w:tcW w:type="dxa" w:w="1267"/>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52" w:lineRule="auto"/>
              <w:jc w:val="center"/>
            </w:pPr>
            <w:r>
              <w:rPr>
                <w:b w:val="0"/>
                <w:color w:val="000000"/>
                <w:sz w:val="20"/>
              </w:rPr>
              <w:t>0.516</w:t>
            </w:r>
          </w:p>
        </w:tc>
        <w:tc>
          <w:tcPr>
            <w:tcW w:type="dxa" w:w="1051"/>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52" w:lineRule="auto"/>
              <w:jc w:val="center"/>
            </w:pPr>
            <w:r>
              <w:rPr>
                <w:b w:val="0"/>
                <w:color w:val="000000"/>
                <w:sz w:val="20"/>
              </w:rPr>
              <w:t>0.320</w:t>
            </w:r>
          </w:p>
        </w:tc>
      </w:tr>
      <w:tr>
        <w:trPr>
          <w:cantSplit/>
        </w:trPr>
        <w:tc>
          <w:tcPr>
            <w:tcW w:type="dxa" w:w="3096"/>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52" w:lineRule="auto"/>
              <w:jc w:val="left"/>
            </w:pPr>
            <w:r>
              <w:rPr>
                <w:b w:val="0"/>
                <w:color w:val="000000"/>
                <w:sz w:val="20"/>
              </w:rPr>
              <w:t>KNN</w:t>
            </w:r>
          </w:p>
        </w:tc>
        <w:tc>
          <w:tcPr>
            <w:tcW w:type="dxa" w:w="1267"/>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52" w:lineRule="auto"/>
              <w:jc w:val="center"/>
            </w:pPr>
            <w:r>
              <w:rPr>
                <w:b w:val="0"/>
                <w:color w:val="000000"/>
                <w:sz w:val="20"/>
              </w:rPr>
              <w:t>0.838</w:t>
            </w:r>
          </w:p>
        </w:tc>
        <w:tc>
          <w:tcPr>
            <w:tcW w:type="dxa" w:w="1267"/>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52" w:lineRule="auto"/>
              <w:jc w:val="center"/>
            </w:pPr>
            <w:r>
              <w:rPr>
                <w:b w:val="0"/>
                <w:color w:val="000000"/>
                <w:sz w:val="20"/>
              </w:rPr>
              <w:t>0.829</w:t>
            </w:r>
          </w:p>
        </w:tc>
        <w:tc>
          <w:tcPr>
            <w:tcW w:type="dxa" w:w="1267"/>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52" w:lineRule="auto"/>
              <w:jc w:val="center"/>
            </w:pPr>
            <w:r>
              <w:rPr>
                <w:b w:val="0"/>
                <w:color w:val="000000"/>
                <w:sz w:val="20"/>
              </w:rPr>
              <w:t>0.193</w:t>
            </w:r>
          </w:p>
        </w:tc>
        <w:tc>
          <w:tcPr>
            <w:tcW w:type="dxa" w:w="1267"/>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52" w:lineRule="auto"/>
              <w:jc w:val="center"/>
            </w:pPr>
            <w:r>
              <w:rPr>
                <w:b w:val="0"/>
                <w:color w:val="000000"/>
                <w:sz w:val="20"/>
              </w:rPr>
              <w:t>0.710</w:t>
            </w:r>
          </w:p>
        </w:tc>
        <w:tc>
          <w:tcPr>
            <w:tcW w:type="dxa" w:w="1051"/>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52" w:lineRule="auto"/>
              <w:jc w:val="center"/>
            </w:pPr>
            <w:r>
              <w:rPr>
                <w:b w:val="0"/>
                <w:color w:val="000000"/>
                <w:sz w:val="20"/>
              </w:rPr>
              <w:t>0.303</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52" w:lineRule="auto"/>
              <w:jc w:val="left"/>
            </w:pPr>
            <w:r>
              <w:rPr>
                <w:b w:val="0"/>
                <w:color w:val="000000"/>
                <w:sz w:val="20"/>
              </w:rPr>
              <w:t>Árbol podado</w:t>
            </w:r>
          </w:p>
        </w:tc>
        <w:tc>
          <w:tcPr>
            <w:tcW w:type="dxa" w:w="1267"/>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52" w:lineRule="auto"/>
              <w:jc w:val="center"/>
            </w:pPr>
            <w:r>
              <w:rPr>
                <w:b w:val="0"/>
                <w:color w:val="000000"/>
                <w:sz w:val="20"/>
              </w:rPr>
              <w:t>0.830</w:t>
            </w:r>
          </w:p>
        </w:tc>
        <w:tc>
          <w:tcPr>
            <w:tcW w:type="dxa" w:w="1267"/>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52" w:lineRule="auto"/>
              <w:jc w:val="center"/>
            </w:pPr>
            <w:r>
              <w:rPr>
                <w:b w:val="0"/>
                <w:color w:val="000000"/>
                <w:sz w:val="20"/>
              </w:rPr>
              <w:t>0.815</w:t>
            </w:r>
          </w:p>
        </w:tc>
        <w:tc>
          <w:tcPr>
            <w:tcW w:type="dxa" w:w="1267"/>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52" w:lineRule="auto"/>
              <w:jc w:val="center"/>
            </w:pPr>
            <w:r>
              <w:rPr>
                <w:b w:val="0"/>
                <w:color w:val="000000"/>
                <w:sz w:val="20"/>
              </w:rPr>
              <w:t>0.208</w:t>
            </w:r>
          </w:p>
        </w:tc>
        <w:tc>
          <w:tcPr>
            <w:tcW w:type="dxa" w:w="1267"/>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52" w:lineRule="auto"/>
              <w:jc w:val="center"/>
            </w:pPr>
            <w:r>
              <w:rPr>
                <w:b w:val="0"/>
                <w:color w:val="000000"/>
                <w:sz w:val="20"/>
              </w:rPr>
              <w:t>0.419</w:t>
            </w:r>
          </w:p>
        </w:tc>
        <w:tc>
          <w:tcPr>
            <w:tcW w:type="dxa" w:w="1051"/>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52" w:lineRule="auto"/>
              <w:jc w:val="center"/>
            </w:pPr>
            <w:r>
              <w:rPr>
                <w:b w:val="0"/>
                <w:color w:val="000000"/>
                <w:sz w:val="20"/>
              </w:rPr>
              <w:t>0.278</w:t>
            </w:r>
          </w:p>
        </w:tc>
      </w:tr>
      <w:tr>
        <w:trPr>
          <w:cantSplit/>
        </w:trPr>
        <w:tc>
          <w:tcPr>
            <w:tcW w:type="dxa" w:w="3096"/>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52" w:lineRule="auto"/>
              <w:jc w:val="left"/>
            </w:pPr>
            <w:r>
              <w:rPr>
                <w:b w:val="0"/>
                <w:color w:val="000000"/>
                <w:sz w:val="20"/>
              </w:rPr>
              <w:t>Random Forest</w:t>
            </w:r>
          </w:p>
        </w:tc>
        <w:tc>
          <w:tcPr>
            <w:tcW w:type="dxa" w:w="1267"/>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52" w:lineRule="auto"/>
              <w:jc w:val="center"/>
            </w:pPr>
            <w:r>
              <w:rPr>
                <w:b w:val="0"/>
                <w:color w:val="000000"/>
                <w:sz w:val="20"/>
              </w:rPr>
              <w:t>0.844</w:t>
            </w:r>
          </w:p>
        </w:tc>
        <w:tc>
          <w:tcPr>
            <w:tcW w:type="dxa" w:w="1267"/>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52" w:lineRule="auto"/>
              <w:jc w:val="center"/>
            </w:pPr>
            <w:r>
              <w:rPr>
                <w:b w:val="0"/>
                <w:color w:val="000000"/>
                <w:sz w:val="20"/>
              </w:rPr>
              <w:t>0.836</w:t>
            </w:r>
          </w:p>
        </w:tc>
        <w:tc>
          <w:tcPr>
            <w:tcW w:type="dxa" w:w="1267"/>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52" w:lineRule="auto"/>
              <w:jc w:val="center"/>
            </w:pPr>
            <w:r>
              <w:rPr>
                <w:b w:val="0"/>
                <w:color w:val="000000"/>
                <w:sz w:val="20"/>
              </w:rPr>
              <w:t>0.197</w:t>
            </w:r>
          </w:p>
        </w:tc>
        <w:tc>
          <w:tcPr>
            <w:tcW w:type="dxa" w:w="1267"/>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52" w:lineRule="auto"/>
              <w:jc w:val="center"/>
            </w:pPr>
            <w:r>
              <w:rPr>
                <w:b w:val="0"/>
                <w:color w:val="000000"/>
                <w:sz w:val="20"/>
              </w:rPr>
              <w:t>0.677</w:t>
            </w:r>
          </w:p>
        </w:tc>
        <w:tc>
          <w:tcPr>
            <w:tcW w:type="dxa" w:w="1051"/>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52" w:lineRule="auto"/>
              <w:jc w:val="center"/>
            </w:pPr>
            <w:r>
              <w:rPr>
                <w:b w:val="0"/>
                <w:color w:val="000000"/>
                <w:sz w:val="20"/>
              </w:rPr>
              <w:t>0.305</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52" w:lineRule="auto"/>
              <w:jc w:val="left"/>
            </w:pPr>
            <w:r>
              <w:rPr>
                <w:b w:val="0"/>
                <w:color w:val="000000"/>
                <w:sz w:val="20"/>
              </w:rPr>
              <w:t>Gradient Boosting</w:t>
            </w:r>
          </w:p>
        </w:tc>
        <w:tc>
          <w:tcPr>
            <w:tcW w:type="dxa" w:w="1267"/>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52" w:lineRule="auto"/>
              <w:jc w:val="center"/>
            </w:pPr>
            <w:r>
              <w:rPr>
                <w:b w:val="0"/>
                <w:color w:val="000000"/>
                <w:sz w:val="20"/>
              </w:rPr>
              <w:t>0.842</w:t>
            </w:r>
          </w:p>
        </w:tc>
        <w:tc>
          <w:tcPr>
            <w:tcW w:type="dxa" w:w="1267"/>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52" w:lineRule="auto"/>
              <w:jc w:val="center"/>
            </w:pPr>
            <w:r>
              <w:rPr>
                <w:b w:val="0"/>
                <w:color w:val="000000"/>
                <w:sz w:val="20"/>
              </w:rPr>
              <w:t>0.840</w:t>
            </w:r>
          </w:p>
        </w:tc>
        <w:tc>
          <w:tcPr>
            <w:tcW w:type="dxa" w:w="1267"/>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52" w:lineRule="auto"/>
              <w:jc w:val="center"/>
            </w:pPr>
            <w:r>
              <w:rPr>
                <w:b w:val="0"/>
                <w:color w:val="000000"/>
                <w:sz w:val="20"/>
              </w:rPr>
              <w:t>0.199</w:t>
            </w:r>
          </w:p>
        </w:tc>
        <w:tc>
          <w:tcPr>
            <w:tcW w:type="dxa" w:w="1267"/>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52" w:lineRule="auto"/>
              <w:jc w:val="center"/>
            </w:pPr>
            <w:r>
              <w:rPr>
                <w:b w:val="0"/>
                <w:color w:val="000000"/>
                <w:sz w:val="20"/>
              </w:rPr>
              <w:t>0.694</w:t>
            </w:r>
          </w:p>
        </w:tc>
        <w:tc>
          <w:tcPr>
            <w:tcW w:type="dxa" w:w="1051"/>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52" w:lineRule="auto"/>
              <w:jc w:val="center"/>
            </w:pPr>
            <w:r>
              <w:rPr>
                <w:b w:val="0"/>
                <w:color w:val="000000"/>
                <w:sz w:val="20"/>
              </w:rPr>
              <w:t>0.309</w:t>
            </w:r>
          </w:p>
        </w:tc>
      </w:tr>
    </w:tbl>
    <w:p>
      <w:pPr>
        <w:spacing w:before="160"/>
      </w:pPr>
      <w:r>
        <w:t>La AUC más alta de test fue 0.840 con Gradient Boosting. Al cambiar la pregunta, cambia el resultado: LDA obtuvo F1 de 0.320, y KNN detectó 44 de los 62 positivos, con recall de 71.0 %. Este último resultado vino acompañado de 184 falsos positivos. Usar únicamente accuracy habría escondido estas diferencias.</w:t>
      </w:r>
    </w:p>
    <w:p>
      <w:r>
        <w:t>Con umbral 0.5, varios modelos casi siempre predicen la clase mayoritaria. El umbral ajustado de Random Forest fue 0.117: detectó 42 positivos, dejó 20 sin detectar y generó 171 falsos positivos. Su precision fue 19.7 %. La mejora en detección tiene un costo visible en alarmas.</w:t>
      </w:r>
    </w:p>
    <w:p>
      <w:r>
        <w:br w:type="page"/>
      </w:r>
    </w:p>
    <w:p>
      <w:pPr>
        <w:pStyle w:val="Heading1"/>
      </w:pPr>
      <w:r>
        <w:t>Conclusiones y lo que haríamos con mas tiempo</w:t>
      </w:r>
    </w:p>
    <w:p>
      <w:r>
        <w:t>Elegiríamos Random Forest como modelo del procedimiento porque lideró la AUC de validación cruzada antes de mirar el test. Gradient Boosting ganó por AUC observada en la prueba final. Nuestra hipótesis es que los ensambles capturan cambios e interacciones que una frontera lineal representa de forma limitada. La regularización mediante hojas grandes o árboles pequeños evita seguir cada caso aislado. Eso es una explicación compatible con los resultados, no una demostración de que esa sea la única razón.</w:t>
      </w:r>
    </w:p>
    <w:p>
      <w:r>
        <w:t>La comparación entre entrenamiento y prueba también ayuda a leer el resultado. Random Forest obtuvo AUC train de 0.895 y AUC test de 0.836; la brecha fue 0.060. LDA tuvo una brecha de 0.009. Esto muestra que una frontera más simple puede ser competitiva y tener menor diferencia entre ambas muestras. No conviene asumir que aumentar la complejidad siempre mejora la generalización.</w:t>
      </w:r>
    </w:p>
    <w:p>
      <w:r>
        <w:t>Las diferencias de AUC entre los primeros modelos fue pequeña. La prueba contiene únicamente 62 positivos, de modo que mover pocos registros puede cambiar el orden. En 1,000 muestras bootstrap, la diferencia pareada de AUC entre Gradient Boosting y Random Forest fue 0.0046, con intervalo del 95 % de −0.0077 a 0.0174. Como incluye cero, no afirmamos una ventaja concluyente. El intervalo describe este test; no sustituye validación externa. Tampoco interpretamos una frecuencia de victorias bootstrap como un valor p.</w:t>
      </w:r>
    </w:p>
    <w:p>
      <w:r>
        <w:t>Para un equilibrio entre alarmas correctas y detección, LDA merece atención por su F1 de 0.320. Si el criterio prioriza detectar más positivos, KNN obtuvo recall de 71.0 %. El dataset no aporta costos reales de errores, así que no podemos fijar un umbral operativo sólo con esas cifras. La conclusión útil es declarar qué se optimiza y mostrar qué se sacrifica.</w:t>
      </w:r>
    </w:p>
    <w:p>
      <w:r>
        <w:t>Con más tiempo repetiríamos la evaluación con varios splits y usaríamos CV anidada para incluir selección de hiperparámetros y umbral en un mismo proceso de evaluación. Tambien compararíamos imputar BMI con y sin un indicador de ausencia, revisaríamos transformaciones de glucosa y probaríamos conservar categorías escasas. Cada alternativa se ajustaría en entrenamiento. Si cambiamos el procedimiento después de ver este test, necesitaríamos un conjunto nuevo para volver a evaluar.</w:t>
      </w:r>
    </w:p>
    <w:p>
      <w:r>
        <w:t>Revisaríamos además la calibración de probabilidades y el comportamiento por grupos de edad y sexo, siempre considerando que algunos subgrupos tienen muy pocos positivos. La importancia Gini no demuestra efectos causales y puede favorecer ciertas variables. Una validación con otra fuente ayudaría a saber cuánto de lo aprendido se mantiene fuera de este archivo. Aveces la mejora más útil viene de entender mejor los datos antes de agregar otro modelo.</w:t>
      </w:r>
    </w:p>
    <w:p>
      <w:pPr>
        <w:pStyle w:val="Heading2"/>
      </w:pPr>
      <w:r>
        <w:t>Fuentes</w:t>
      </w:r>
    </w:p>
    <w:p>
      <w:pPr>
        <w:spacing w:after="80"/>
      </w:pPr>
      <w:r>
        <w:rPr>
          <w:sz w:val="18"/>
        </w:rPr>
        <w:t>fedesoriano. Stroke Prediction Dataset. Kaggle. Consultado el 13 de octubre de 2026. https://www.kaggle.com/datasets/fedesoriano/stroke-prediction-dataset</w:t>
      </w:r>
    </w:p>
    <w:p>
      <w:pPr>
        <w:spacing w:after="80"/>
      </w:pPr>
      <w:r>
        <w:rPr>
          <w:sz w:val="18"/>
        </w:rPr>
        <w:t>scikit-learn. Documentación de LDA y QDA, pipelines y poda por complejidad de costo. https://scikit-learn.org/stable/modules/lda_qda.html ; https://scikit-learn.org/stable/modules/compose.html ; https://scikit-learn.org/stable/modules/tree.html</w:t>
      </w:r>
    </w:p>
    <w:sectPr w:rsidR="00FC693F" w:rsidRPr="0006063C" w:rsidSect="00034616">
      <w:footerReference w:type="default" r:id="rId9"/>
      <w:pgSz w:w="12240" w:h="15840"/>
      <w:pgMar w:top="1008" w:right="1152" w:bottom="1008"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Comparación de modelos para clasificar registros de stroke</dc:title>
  <dc:subject>Proyecto Aplicado de Aprendizaje de Máquina</dc:subject>
  <dc:creator>Ivan Reyes Pedroza</dc:creator>
  <cp:keywords>LDA, QDA, KNN, árbol de decisión, Random Forest, Gradient Boosting</cp:keywords>
  <dc:description/>
  <cp:lastModifiedBy>Ivan Reyes Pedroza</cp:lastModifiedBy>
  <cp:revision>1</cp:revision>
  <dcterms:created xsi:type="dcterms:W3CDTF">2026-10-13T18:00:00Z</dcterms:created>
  <dcterms:modified xsi:type="dcterms:W3CDTF">2026-10-14T00:59:50Z</dcterms:modified>
  <cp:category/>
</cp:coreProperties>
</file>