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t>Septembre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iv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346_3329970298">
            <w:r>
              <w:rPr>
                <w:rStyle w:val="Sautdindex"/>
              </w:rPr>
              <w:t>2.2.2 Gestion des évènements sportifs</w:t>
              <w:tab/>
              <w:t>22</w:t>
            </w:r>
          </w:hyperlink>
        </w:p>
        <w:p>
          <w:pPr>
            <w:pStyle w:val="Tabledesmatiresniveau3"/>
            <w:tabs>
              <w:tab w:val="clear" w:pos="708"/>
              <w:tab w:val="right" w:pos="9070" w:leader="dot"/>
            </w:tabs>
            <w:rPr/>
          </w:pPr>
          <w:hyperlink w:anchor="__RefHeading___Toc1348_3329970298">
            <w:r>
              <w:rPr>
                <w:rStyle w:val="Sautdindex"/>
              </w:rPr>
              <w:t>2.2.3 Gestion des utilisateurs</w:t>
              <w:tab/>
              <w:t>22</w:t>
            </w:r>
          </w:hyperlink>
        </w:p>
        <w:p>
          <w:pPr>
            <w:pStyle w:val="Tabledesmatiresniveau2"/>
            <w:tabs>
              <w:tab w:val="clear" w:pos="708"/>
              <w:tab w:val="right" w:pos="9070" w:leader="dot"/>
            </w:tabs>
            <w:rPr/>
          </w:pPr>
          <w:hyperlink w:anchor="__RefHeading___Toc1350_3329970298">
            <w:r>
              <w:rPr>
                <w:rStyle w:val="Sautdindex"/>
              </w:rPr>
              <w:t>2.3 État d’Analyse et Statistiques</w:t>
              <w:tab/>
              <w:t>24</w:t>
            </w:r>
          </w:hyperlink>
        </w:p>
        <w:p>
          <w:pPr>
            <w:pStyle w:val="Tabledesmatiresniveau3"/>
            <w:tabs>
              <w:tab w:val="clear" w:pos="708"/>
              <w:tab w:val="right" w:pos="9070" w:leader="dot"/>
            </w:tabs>
            <w:rPr/>
          </w:pPr>
          <w:hyperlink w:anchor="__RefHeading___Toc1352_3329970298">
            <w:r>
              <w:rPr>
                <w:rStyle w:val="Sautdindex"/>
              </w:rPr>
              <w:t>2.3.1 État numéro 1</w:t>
              <w:tab/>
              <w:t>24</w:t>
            </w:r>
          </w:hyperlink>
        </w:p>
        <w:p>
          <w:pPr>
            <w:pStyle w:val="Tabledesmatiresniveau3"/>
            <w:tabs>
              <w:tab w:val="clear" w:pos="708"/>
              <w:tab w:val="right" w:pos="9070" w:leader="dot"/>
            </w:tabs>
            <w:rPr/>
          </w:pPr>
          <w:hyperlink w:anchor="__RefHeading___Toc1354_3329970298">
            <w:r>
              <w:rPr>
                <w:rStyle w:val="Sautdindex"/>
              </w:rPr>
              <w:t>2.3.2 État numéro 2</w:t>
              <w:tab/>
              <w:t>24</w:t>
            </w:r>
          </w:hyperlink>
        </w:p>
        <w:p>
          <w:pPr>
            <w:pStyle w:val="Tabledesmatiresniveau3"/>
            <w:tabs>
              <w:tab w:val="clear" w:pos="708"/>
              <w:tab w:val="right" w:pos="9070" w:leader="dot"/>
            </w:tabs>
            <w:rPr/>
          </w:pPr>
          <w:hyperlink w:anchor="__RefHeading___Toc1356_3329970298">
            <w:r>
              <w:rPr>
                <w:rStyle w:val="Sautdindex"/>
              </w:rPr>
              <w:t>2.3.3 Statistique numéro 1</w:t>
              <w:tab/>
              <w:t>24</w:t>
            </w:r>
          </w:hyperlink>
        </w:p>
        <w:p>
          <w:pPr>
            <w:pStyle w:val="Tabledesmatiresniveau2"/>
            <w:tabs>
              <w:tab w:val="clear" w:pos="708"/>
              <w:tab w:val="right" w:pos="9070" w:leader="dot"/>
            </w:tabs>
            <w:rPr/>
          </w:pPr>
          <w:hyperlink w:anchor="__RefHeading___Toc1358_3329970298">
            <w:r>
              <w:rPr>
                <w:rStyle w:val="Sautdindex"/>
              </w:rPr>
              <w:t>2.4 Problèmes rencontrés et solutions</w:t>
              <w:tab/>
              <w:t>25</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26</w:t>
            </w:r>
          </w:hyperlink>
        </w:p>
        <w:p>
          <w:pPr>
            <w:pStyle w:val="Tabledesmatiresniveau2"/>
            <w:tabs>
              <w:tab w:val="clear" w:pos="708"/>
              <w:tab w:val="right" w:pos="9070" w:leader="dot"/>
            </w:tabs>
            <w:rPr/>
          </w:pPr>
          <w:hyperlink w:anchor="__RefHeading___Toc1362_3329970298">
            <w:r>
              <w:rPr>
                <w:rStyle w:val="Sautdindex"/>
              </w:rPr>
              <w:t>3.1 Bilan pour l'entreprise</w:t>
              <w:tab/>
              <w:t>26</w:t>
            </w:r>
          </w:hyperlink>
        </w:p>
        <w:p>
          <w:pPr>
            <w:pStyle w:val="Tabledesmatiresniveau2"/>
            <w:tabs>
              <w:tab w:val="clear" w:pos="708"/>
              <w:tab w:val="right" w:pos="9070" w:leader="dot"/>
            </w:tabs>
            <w:rPr/>
          </w:pPr>
          <w:hyperlink w:anchor="__RefHeading___Toc1364_3329970298">
            <w:r>
              <w:rPr>
                <w:rStyle w:val="Sautdindex"/>
              </w:rPr>
              <w:t>3.2 Bilan personnel</w:t>
              <w:tab/>
              <w:t>26</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26</w:t>
            </w:r>
          </w:hyperlink>
        </w:p>
        <w:p>
          <w:pPr>
            <w:pStyle w:val="Tabledesmatiresniveau1"/>
            <w:tabs>
              <w:tab w:val="clear" w:pos="708"/>
              <w:tab w:val="right" w:pos="9070" w:leader="dot"/>
            </w:tabs>
            <w:rPr/>
          </w:pPr>
          <w:hyperlink w:anchor="__RefHeading___Toc1368_3329970298">
            <w:r>
              <w:rPr>
                <w:rStyle w:val="Sautdindex"/>
              </w:rPr>
              <w:t>Conclusion</w:t>
              <w:tab/>
              <w:t>27</w:t>
            </w:r>
          </w:hyperlink>
        </w:p>
        <w:p>
          <w:pPr>
            <w:pStyle w:val="Tabledesmatiresniveau1"/>
            <w:tabs>
              <w:tab w:val="clear" w:pos="708"/>
              <w:tab w:val="right" w:pos="9070" w:leader="dot"/>
            </w:tabs>
            <w:rPr/>
          </w:pPr>
          <w:hyperlink w:anchor="__RefHeading___Toc1370_3329970298">
            <w:r>
              <w:rPr>
                <w:rStyle w:val="Sautdindex"/>
              </w:rPr>
              <w:t>Bibliographie</w:t>
              <w:tab/>
              <w:t>28</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48087720"/>
      <w:bookmarkStart w:id="2" w:name="_Toc105039382"/>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48087721"/>
      <w:bookmarkStart w:id="5" w:name="_Toc105039383"/>
      <w:bookmarkEnd w:id="3"/>
      <w:r>
        <w:rPr/>
        <w:t>Liste des figures</w:t>
      </w:r>
      <w:bookmarkStart w:id="6" w:name="_GoBack"/>
      <w:bookmarkStart w:id="7" w:name="_Toc437059910"/>
      <w:bookmarkStart w:id="8" w:name="_Toc437059941"/>
      <w:bookmarkStart w:id="9" w:name="_Toc437059961"/>
      <w:bookmarkStart w:id="10" w:name="_Toc437060011"/>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d’inscription utilisateur</w:t>
        </w:r>
        <w:r>
          <w:rPr>
            <w:rStyle w:val="Sautdindex"/>
          </w:rPr>
          <w:tab/>
          <w:t>14</w:t>
        </w:r>
      </w:hyperlink>
    </w:p>
    <w:p>
      <w:pPr>
        <w:pStyle w:val="Indexdesfigures1"/>
        <w:rPr/>
      </w:pPr>
      <w:hyperlink w:anchor="Figure!9|sequence">
        <w:r>
          <w:rPr>
            <w:rStyle w:val="Sautdindex"/>
            <w:i w:val="false"/>
            <w:iCs w:val="false"/>
          </w:rPr>
          <w:t>Figure 10: Mot de passe temporaire envoyé par e-mail</w:t>
        </w:r>
        <w:r>
          <w:rPr>
            <w:rStyle w:val="Sautdindex"/>
          </w:rPr>
          <w:tab/>
          <w:t>14</w:t>
        </w:r>
      </w:hyperlink>
    </w:p>
    <w:p>
      <w:pPr>
        <w:pStyle w:val="Indexdesfigures1"/>
        <w:rPr/>
      </w:pPr>
      <w:hyperlink w:anchor="Figure!10|sequence">
        <w:r>
          <w:rPr>
            <w:rStyle w:val="Sautdindex"/>
            <w:i w:val="false"/>
            <w:iCs w:val="false"/>
          </w:rPr>
          <w:t>Figure 11: Page de réinitialisation du mot de passe</w:t>
        </w:r>
        <w:r>
          <w:rPr>
            <w:rStyle w:val="Sautdindex"/>
          </w:rPr>
          <w:tab/>
          <w:t>15</w:t>
        </w:r>
      </w:hyperlink>
    </w:p>
    <w:p>
      <w:pPr>
        <w:pStyle w:val="Indexdesfigures1"/>
        <w:rPr/>
      </w:pPr>
      <w:hyperlink w:anchor="Figure!11|sequence">
        <w:r>
          <w:rPr>
            <w:rStyle w:val="Sautdindex"/>
            <w:i w:val="false"/>
            <w:iCs w:val="false"/>
          </w:rPr>
          <w:t>Figure 12: Page d’authentification</w:t>
        </w:r>
        <w:r>
          <w:rPr>
            <w:rStyle w:val="Sautdindex"/>
          </w:rPr>
          <w:tab/>
          <w:t>15</w:t>
        </w:r>
      </w:hyperlink>
    </w:p>
    <w:p>
      <w:pPr>
        <w:pStyle w:val="Indexdesfigures1"/>
        <w:rPr/>
      </w:pPr>
      <w:hyperlink w:anchor="Figure!12|sequence">
        <w:r>
          <w:rPr>
            <w:rStyle w:val="Sautdindex"/>
            <w:i w:val="false"/>
            <w:iCs w:val="false"/>
          </w:rPr>
          <w:t>Figure 13: Page d’ajout d’un tournoi</w:t>
        </w:r>
        <w:r>
          <w:rPr>
            <w:rStyle w:val="Sautdindex"/>
          </w:rPr>
          <w:tab/>
          <w:t>16</w:t>
        </w:r>
      </w:hyperlink>
    </w:p>
    <w:p>
      <w:pPr>
        <w:pStyle w:val="Indexdesfigures1"/>
        <w:rPr/>
      </w:pPr>
      <w:hyperlink w:anchor="Figure!13|sequence">
        <w:r>
          <w:rPr>
            <w:rStyle w:val="Sautdindex"/>
            <w:i w:val="false"/>
            <w:iCs w:val="false"/>
          </w:rPr>
          <w:t>Figure 14: Page de modification d’un tournoi</w:t>
        </w:r>
        <w:r>
          <w:rPr>
            <w:rStyle w:val="Sautdindex"/>
          </w:rPr>
          <w:tab/>
          <w:t>17</w:t>
        </w:r>
      </w:hyperlink>
    </w:p>
    <w:p>
      <w:pPr>
        <w:pStyle w:val="Indexdesfigures1"/>
        <w:rPr/>
      </w:pPr>
      <w:hyperlink w:anchor="Figure!14|sequence">
        <w:r>
          <w:rPr>
            <w:rStyle w:val="Sautdindex"/>
            <w:i w:val="false"/>
            <w:iCs w:val="false"/>
          </w:rPr>
          <w:t>Figure 15: Formulaire d’insertion des matchs</w:t>
        </w:r>
        <w:r>
          <w:rPr>
            <w:rStyle w:val="Sautdindex"/>
          </w:rPr>
          <w:tab/>
          <w:t>17</w:t>
        </w:r>
      </w:hyperlink>
    </w:p>
    <w:p>
      <w:pPr>
        <w:pStyle w:val="Indexdesfigures1"/>
        <w:rPr/>
      </w:pPr>
      <w:hyperlink w:anchor="Figure!15|sequence">
        <w:r>
          <w:rPr>
            <w:rStyle w:val="Sautdindex"/>
            <w:i w:val="false"/>
            <w:iCs w:val="false"/>
          </w:rPr>
          <w:t>Figure 16: Exemple de la structure du fichier CSV</w:t>
        </w:r>
        <w:r>
          <w:rPr>
            <w:rStyle w:val="Sautdindex"/>
          </w:rPr>
          <w:tab/>
          <w:t>18</w:t>
        </w:r>
      </w:hyperlink>
    </w:p>
    <w:p>
      <w:pPr>
        <w:pStyle w:val="Indexdesfigures1"/>
        <w:rPr/>
      </w:pPr>
      <w:hyperlink w:anchor="Figure!16|sequence">
        <w:r>
          <w:rPr>
            <w:rStyle w:val="Sautdindex"/>
            <w:i w:val="false"/>
            <w:iCs w:val="false"/>
          </w:rPr>
          <w:t>Figure 17: Liste des participants d’un tournoi</w:t>
        </w:r>
        <w:r>
          <w:rPr>
            <w:rStyle w:val="Sautdindex"/>
          </w:rPr>
          <w:tab/>
          <w:t>18</w:t>
        </w:r>
      </w:hyperlink>
    </w:p>
    <w:p>
      <w:pPr>
        <w:pStyle w:val="Indexdesfigures1"/>
        <w:rPr/>
      </w:pPr>
      <w:hyperlink w:anchor="Figure!17|sequence">
        <w:r>
          <w:rPr>
            <w:rStyle w:val="Sautdindex"/>
            <w:i w:val="false"/>
            <w:iCs w:val="false"/>
          </w:rPr>
          <w:t>Figure 18: Page d’accueil utilisateur</w:t>
        </w:r>
        <w:r>
          <w:rPr>
            <w:rStyle w:val="Sautdindex"/>
          </w:rPr>
          <w:tab/>
          <w:t>19</w:t>
        </w:r>
      </w:hyperlink>
    </w:p>
    <w:p>
      <w:pPr>
        <w:pStyle w:val="Indexdesfigures1"/>
        <w:rPr/>
      </w:pPr>
      <w:hyperlink w:anchor="Figure!18|sequence">
        <w:r>
          <w:rPr>
            <w:rStyle w:val="Sautdindex"/>
            <w:i w:val="false"/>
            <w:iCs w:val="false"/>
          </w:rPr>
          <w:t>Figure 19: Page d’inscription à un tournoi</w:t>
        </w:r>
        <w:r>
          <w:rPr>
            <w:rStyle w:val="Sautdindex"/>
          </w:rPr>
          <w:tab/>
          <w:t>20</w:t>
        </w:r>
      </w:hyperlink>
    </w:p>
    <w:p>
      <w:pPr>
        <w:pStyle w:val="Indexdesfigures1"/>
        <w:rPr/>
      </w:pPr>
      <w:hyperlink w:anchor="Figure!19|sequence">
        <w:r>
          <w:rPr>
            <w:rStyle w:val="Sautdindex"/>
            <w:i w:val="false"/>
            <w:iCs w:val="false"/>
          </w:rPr>
          <w:t>Figure 20: Détail de paiement d’un utilisateur</w:t>
        </w:r>
        <w:r>
          <w:rPr>
            <w:rStyle w:val="Sautdindex"/>
          </w:rPr>
          <w:tab/>
          <w:t>20</w:t>
        </w:r>
      </w:hyperlink>
    </w:p>
    <w:p>
      <w:pPr>
        <w:pStyle w:val="Indexdesfigures1"/>
        <w:rPr/>
      </w:pPr>
      <w:hyperlink w:anchor="Figure!20|sequence">
        <w:r>
          <w:rPr>
            <w:rStyle w:val="Sautdindex"/>
            <w:i w:val="false"/>
            <w:iCs w:val="false"/>
          </w:rPr>
          <w:t>Figure 21: Page de soumission des pronostics</w:t>
        </w:r>
        <w:r>
          <w:rPr>
            <w:rStyle w:val="Sautdindex"/>
          </w:rPr>
          <w:tab/>
          <w:t>21</w:t>
        </w:r>
      </w:hyperlink>
    </w:p>
    <w:p>
      <w:pPr>
        <w:pStyle w:val="Indexdesfigures1"/>
        <w:rPr/>
      </w:pPr>
      <w:hyperlink w:anchor="Figure!21|sequence">
        <w:r>
          <w:rPr>
            <w:rStyle w:val="Sautdindex"/>
            <w:i w:val="false"/>
            <w:iCs w:val="false"/>
          </w:rPr>
          <w:t>Figure 22: Historique de pronostics</w:t>
        </w:r>
        <w:r>
          <w:rPr>
            <w:rStyle w:val="Sautdindex"/>
          </w:rPr>
          <w:tab/>
          <w:t>22</w:t>
        </w:r>
      </w:hyperlink>
    </w:p>
    <w:p>
      <w:pPr>
        <w:pStyle w:val="Indexdesfigures1"/>
        <w:rPr/>
      </w:pPr>
      <w:hyperlink w:anchor="Figure!22|sequence">
        <w:r>
          <w:rPr>
            <w:rStyle w:val="Sautdindex"/>
          </w:rPr>
          <w:t>Figure 23: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48087722"/>
      <w:bookmarkStart w:id="13" w:name="_Toc105039384"/>
      <w:bookmarkStart w:id="14" w:name="_Toc4370599111"/>
      <w:bookmarkStart w:id="15" w:name="_Toc4370599421"/>
      <w:bookmarkStart w:id="16" w:name="_Toc4370599621"/>
      <w:bookmarkStart w:id="17" w:name="_Toc437060012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48087723"/>
      <w:bookmarkStart w:id="20" w:name="_Toc105039385"/>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48087724"/>
      <w:bookmarkStart w:id="23" w:name="_Toc105039386"/>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ind w:left="720" w:right="0" w:hanging="360"/>
        <w:jc w:val="left"/>
        <w:rPr/>
      </w:pPr>
      <w:r>
        <w:rPr/>
        <w:t>En trois ans, pour l‘obtention d’une :</w:t>
      </w:r>
    </w:p>
    <w:p>
      <w:pPr>
        <w:pStyle w:val="Para"/>
        <w:numPr>
          <w:ilvl w:val="1"/>
          <w:numId w:val="5"/>
        </w:numPr>
        <w:spacing w:lineRule="auto" w:line="240"/>
        <w:ind w:left="720" w:right="0" w:hanging="360"/>
        <w:jc w:val="left"/>
        <w:rPr/>
      </w:pPr>
      <w:r>
        <w:rPr/>
        <w:t>Licence, option Développement, Réseaux et Bases de Données ou Web et Design</w:t>
      </w:r>
    </w:p>
    <w:p>
      <w:pPr>
        <w:pStyle w:val="Para"/>
        <w:numPr>
          <w:ilvl w:val="1"/>
          <w:numId w:val="5"/>
        </w:numPr>
        <w:ind w:left="720" w:right="0" w:hanging="360"/>
        <w:jc w:val="left"/>
        <w:rPr/>
      </w:pPr>
      <w:r>
        <w:rPr/>
        <w:t>Licence, option Graphic Design ou Communication Digitale</w:t>
      </w:r>
    </w:p>
    <w:p>
      <w:pPr>
        <w:pStyle w:val="Para"/>
        <w:numPr>
          <w:ilvl w:val="0"/>
          <w:numId w:val="5"/>
        </w:numPr>
        <w:spacing w:lineRule="auto" w:line="240"/>
        <w:ind w:left="720" w:right="0" w:hanging="360"/>
        <w:jc w:val="left"/>
        <w:rPr/>
      </w:pPr>
      <w:r>
        <w:rPr/>
        <w:t>En cinq ans, pour l’obtention d’un :</w:t>
      </w:r>
    </w:p>
    <w:p>
      <w:pPr>
        <w:pStyle w:val="Para"/>
        <w:numPr>
          <w:ilvl w:val="1"/>
          <w:numId w:val="5"/>
        </w:numPr>
        <w:ind w:left="720" w:right="0" w:hanging="360"/>
        <w:jc w:val="left"/>
        <w:rPr/>
      </w:pPr>
      <w:r>
        <w:rPr/>
        <w:t xml:space="preserve"> </w:t>
      </w:r>
      <w:r>
        <w:rPr/>
        <w:t>Master MBDS en coopération avec l’Université Côte d’Azur à Nice Sophia Antipolis – France</w:t>
      </w:r>
    </w:p>
    <w:p>
      <w:pPr>
        <w:pStyle w:val="Para"/>
        <w:numPr>
          <w:ilvl w:val="1"/>
          <w:numId w:val="5"/>
        </w:numPr>
        <w:ind w:left="720" w:right="0" w:hanging="360"/>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48087727"/>
      <w:bookmarkStart w:id="33" w:name="_Toc105039389"/>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ind w:left="720" w:right="0" w:hanging="360"/>
        <w:jc w:val="left"/>
        <w:rPr/>
      </w:pPr>
      <w:r>
        <w:rPr/>
        <w:t>La gestion des évènements sportifs</w:t>
      </w:r>
    </w:p>
    <w:p>
      <w:pPr>
        <w:pStyle w:val="ListParagraph"/>
        <w:numPr>
          <w:ilvl w:val="0"/>
          <w:numId w:val="4"/>
        </w:numPr>
        <w:ind w:left="720" w:right="0" w:hanging="360"/>
        <w:jc w:val="left"/>
        <w:rPr/>
      </w:pPr>
      <w:r>
        <w:rPr/>
        <w:t>La gestion des paris sportifs</w:t>
      </w:r>
    </w:p>
    <w:p>
      <w:pPr>
        <w:pStyle w:val="ListParagraph"/>
        <w:numPr>
          <w:ilvl w:val="0"/>
          <w:numId w:val="4"/>
        </w:numPr>
        <w:ind w:left="720" w:right="0" w:hanging="360"/>
        <w:jc w:val="left"/>
        <w:rPr/>
      </w:pPr>
      <w:r>
        <w:rPr/>
        <w:t>Analyse des performances sportives</w:t>
      </w:r>
    </w:p>
    <w:p>
      <w:pPr>
        <w:pStyle w:val="Normal"/>
        <w:spacing w:lineRule="auto" w:line="24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48087728"/>
      <w:bookmarkStart w:id="36" w:name="_Toc105039390"/>
      <w:bookmarkEnd w:id="34"/>
      <w:r>
        <w:rPr/>
        <w:t>Présentation du projet</w:t>
      </w:r>
      <w:bookmarkEnd w:id="35"/>
      <w:bookmarkEnd w:id="36"/>
    </w:p>
    <w:p>
      <w:pPr>
        <w:pStyle w:val="Titre2"/>
        <w:jc w:val="left"/>
        <w:rPr/>
      </w:pPr>
      <w:bookmarkStart w:id="37" w:name="__RefHeading___Toc1322_3329970298"/>
      <w:bookmarkStart w:id="38" w:name="_Toc148087729"/>
      <w:bookmarkStart w:id="39" w:name="_Toc105039391"/>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ind w:left="720" w:right="0" w:hanging="360"/>
        <w:jc w:val="left"/>
        <w:rPr/>
      </w:pPr>
      <w:r>
        <w:rPr/>
        <w:t>Améliorer la communication interne</w:t>
      </w:r>
    </w:p>
    <w:p>
      <w:pPr>
        <w:pStyle w:val="Para"/>
        <w:numPr>
          <w:ilvl w:val="0"/>
          <w:numId w:val="12"/>
        </w:numPr>
        <w:ind w:left="720" w:right="0" w:hanging="360"/>
        <w:jc w:val="left"/>
        <w:rPr/>
      </w:pPr>
      <w:r>
        <w:rPr/>
        <w:t>Stimuler l’engagement des employés</w:t>
      </w:r>
    </w:p>
    <w:p>
      <w:pPr>
        <w:pStyle w:val="Para"/>
        <w:numPr>
          <w:ilvl w:val="0"/>
          <w:numId w:val="12"/>
        </w:numPr>
        <w:ind w:left="720" w:right="0" w:hanging="360"/>
        <w:jc w:val="left"/>
        <w:rPr/>
      </w:pPr>
      <w:r>
        <w:rPr/>
        <w:t>Faciliter la gestion des activités sportives</w:t>
      </w:r>
    </w:p>
    <w:p>
      <w:pPr>
        <w:pStyle w:val="Para"/>
        <w:numPr>
          <w:ilvl w:val="0"/>
          <w:numId w:val="12"/>
        </w:numPr>
        <w:ind w:left="720" w:right="0" w:hanging="360"/>
        <w:jc w:val="left"/>
        <w:rPr/>
      </w:pPr>
      <w:r>
        <w:rPr/>
        <w:t>Renforcer la cohésion et l’esprit d’équipe</w:t>
      </w:r>
    </w:p>
    <w:p>
      <w:pPr>
        <w:pStyle w:val="Para"/>
        <w:numPr>
          <w:ilvl w:val="0"/>
          <w:numId w:val="12"/>
        </w:numPr>
        <w:ind w:left="720" w:right="0" w:hanging="360"/>
        <w:jc w:val="left"/>
        <w:rPr/>
      </w:pPr>
      <w:r>
        <w:rPr/>
        <w:t>Accroître la visibilité de l’association</w:t>
      </w:r>
    </w:p>
    <w:p>
      <w:pPr>
        <w:pStyle w:val="Titre2"/>
        <w:jc w:val="left"/>
        <w:rPr/>
      </w:pPr>
      <w:bookmarkStart w:id="40" w:name="__RefHeading___Toc1324_3329970298"/>
      <w:bookmarkStart w:id="41" w:name="_Toc148087730"/>
      <w:bookmarkStart w:id="42" w:name="_Toc105039392"/>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44114808211"/>
      <w:bookmarkStart w:id="44" w:name="_Toc148088018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ind w:left="720" w:right="0" w:hanging="360"/>
        <w:jc w:val="left"/>
        <w:rPr>
          <w:sz w:val="24"/>
          <w:lang w:val="fr-CA"/>
        </w:rPr>
      </w:pPr>
      <w:r>
        <w:rPr>
          <w:sz w:val="24"/>
          <w:lang w:val="fr-CA"/>
        </w:rPr>
        <w:t>D’abord, la phase de l’analyse de l’existant et des besoins, et la conception qui ont pris au total 15 jours,</w:t>
      </w:r>
    </w:p>
    <w:p>
      <w:pPr>
        <w:pStyle w:val="Para"/>
        <w:numPr>
          <w:ilvl w:val="0"/>
          <w:numId w:val="13"/>
        </w:numPr>
        <w:ind w:left="720" w:right="0" w:hanging="360"/>
        <w:jc w:val="left"/>
        <w:rPr>
          <w:sz w:val="24"/>
          <w:lang w:val="fr-CA"/>
        </w:rPr>
      </w:pPr>
      <w:r>
        <w:rPr>
          <w:sz w:val="24"/>
          <w:lang w:val="fr-CA"/>
        </w:rPr>
        <w:t>Ensuite, la phase de développement, qui a duré 58 jours,</w:t>
      </w:r>
    </w:p>
    <w:p>
      <w:pPr>
        <w:pStyle w:val="Para"/>
        <w:numPr>
          <w:ilvl w:val="0"/>
          <w:numId w:val="13"/>
        </w:numPr>
        <w:ind w:left="720" w:right="0" w:hanging="360"/>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44114808212"/>
      <w:bookmarkStart w:id="46" w:name="_Toc148088018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05039393"/>
      <w:bookmarkStart w:id="49" w:name="_Toc148087731"/>
      <w:bookmarkEnd w:id="47"/>
      <w:r>
        <w:rPr/>
        <w:t>Technologies utilisées</w:t>
      </w:r>
      <w:bookmarkEnd w:id="48"/>
      <w:bookmarkEnd w:id="49"/>
    </w:p>
    <w:p>
      <w:pPr>
        <w:pStyle w:val="Para"/>
        <w:jc w:val="left"/>
        <w:rPr>
          <w:b w:val="false"/>
          <w:b w:val="false"/>
          <w:sz w:val="24"/>
          <w:szCs w:val="24"/>
        </w:rPr>
      </w:pPr>
      <w:r>
        <w:rPr>
          <w:b w:val="false"/>
          <w:sz w:val="24"/>
          <w:szCs w:val="24"/>
        </w:rPr>
        <w:t>Afin d’être efficace et organisé dans le développement du site, nous avons adopté l’architecture MVC, une façon d’organiser le code source en trois parties distinctes : le modèle, la vue et le contrôleur.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148088020"/>
      <w:bookmarkStart w:id="51" w:name="_Toc4411480822"/>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ind w:left="720" w:right="0" w:hanging="360"/>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ind w:left="720" w:right="0" w:hanging="360"/>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ind w:left="720" w:right="0" w:hanging="360"/>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ind w:left="720" w:right="0" w:hanging="360"/>
        <w:rPr>
          <w:szCs w:val="24"/>
        </w:rPr>
      </w:pPr>
      <w:r>
        <w:rPr>
          <w:szCs w:val="24"/>
        </w:rPr>
        <w:t>La gestion des bases de données via Eloquent</w:t>
      </w:r>
    </w:p>
    <w:p>
      <w:pPr>
        <w:pStyle w:val="Para"/>
        <w:numPr>
          <w:ilvl w:val="0"/>
          <w:numId w:val="10"/>
        </w:numPr>
        <w:ind w:left="720" w:right="0" w:hanging="360"/>
        <w:rPr>
          <w:szCs w:val="24"/>
        </w:rPr>
      </w:pPr>
      <w:r>
        <w:rPr>
          <w:szCs w:val="24"/>
        </w:rPr>
        <w:t>Authentification avec l’Active Directory en utilisant le package LDAP</w:t>
      </w:r>
    </w:p>
    <w:p>
      <w:pPr>
        <w:pStyle w:val="Para"/>
        <w:numPr>
          <w:ilvl w:val="0"/>
          <w:numId w:val="10"/>
        </w:numPr>
        <w:ind w:left="720" w:right="0" w:hanging="360"/>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48087735"/>
      <w:bookmarkStart w:id="62" w:name="_Toc105039394"/>
      <w:bookmarkEnd w:id="60"/>
      <w:r>
        <w:rPr/>
        <w:t>Réalisation de l’application</w:t>
      </w:r>
      <w:bookmarkEnd w:id="61"/>
      <w:bookmarkEnd w:id="62"/>
    </w:p>
    <w:p>
      <w:pPr>
        <w:pStyle w:val="Titre2"/>
        <w:jc w:val="left"/>
        <w:rPr/>
      </w:pPr>
      <w:bookmarkStart w:id="63" w:name="__RefHeading___Toc1336_3329970298"/>
      <w:bookmarkStart w:id="64" w:name="_Toc148087736"/>
      <w:bookmarkStart w:id="65" w:name="_Toc105039395"/>
      <w:bookmarkEnd w:id="63"/>
      <w:r>
        <w:rPr/>
        <w:t>Analyse et conception</w:t>
      </w:r>
      <w:bookmarkEnd w:id="64"/>
      <w:bookmarkEnd w:id="65"/>
    </w:p>
    <w:p>
      <w:pPr>
        <w:pStyle w:val="Titre3"/>
        <w:jc w:val="left"/>
        <w:rPr/>
      </w:pPr>
      <w:bookmarkStart w:id="66" w:name="__RefHeading___Toc1338_3329970298"/>
      <w:bookmarkStart w:id="67" w:name="_Toc148087737"/>
      <w:bookmarkStart w:id="68" w:name="_Toc105039396"/>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48087738"/>
      <w:bookmarkStart w:id="71" w:name="_Toc105039397"/>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ind w:left="1429" w:right="0" w:hanging="360"/>
        <w:jc w:val="left"/>
        <w:rPr/>
      </w:pPr>
      <w:r>
        <w:rPr/>
        <w:t>20 tables créées</w:t>
      </w:r>
    </w:p>
    <w:p>
      <w:pPr>
        <w:pStyle w:val="Para"/>
        <w:numPr>
          <w:ilvl w:val="0"/>
          <w:numId w:val="6"/>
        </w:numPr>
        <w:ind w:left="1429" w:right="0" w:hanging="360"/>
        <w:jc w:val="left"/>
        <w:rPr/>
      </w:pPr>
      <w:r>
        <w:rPr/>
        <w:t>5 vues créees</w:t>
      </w:r>
    </w:p>
    <w:p>
      <w:pPr>
        <w:pStyle w:val="Para"/>
        <w:ind w:left="1429" w:right="0" w:hanging="0"/>
        <w:jc w:val="left"/>
        <w:rPr/>
      </w:pPr>
      <w:r>
        <w:rPr/>
        <w:t>Pour le côté développement, nous avons conçu</w:t>
      </w:r>
    </w:p>
    <w:p>
      <w:pPr>
        <w:pStyle w:val="Para"/>
        <w:numPr>
          <w:ilvl w:val="0"/>
          <w:numId w:val="6"/>
        </w:numPr>
        <w:ind w:left="1429" w:right="0" w:hanging="360"/>
        <w:jc w:val="left"/>
        <w:rPr/>
      </w:pPr>
      <w:r>
        <w:rPr/>
        <w:t xml:space="preserve">20 </w:t>
      </w:r>
      <w:r>
        <w:rPr>
          <w:sz w:val="24"/>
          <w:lang w:val="fr-CA"/>
        </w:rPr>
        <w:t>modèles</w:t>
      </w:r>
    </w:p>
    <w:p>
      <w:pPr>
        <w:pStyle w:val="Para"/>
        <w:numPr>
          <w:ilvl w:val="0"/>
          <w:numId w:val="6"/>
        </w:numPr>
        <w:ind w:left="1429" w:right="0" w:hanging="360"/>
        <w:jc w:val="left"/>
        <w:rPr>
          <w:sz w:val="24"/>
          <w:lang w:val="fr-CA"/>
        </w:rPr>
      </w:pPr>
      <w:r>
        <w:rPr>
          <w:sz w:val="24"/>
          <w:lang w:val="fr-CA"/>
        </w:rPr>
        <w:t>17 contrôleurs</w:t>
      </w:r>
    </w:p>
    <w:p>
      <w:pPr>
        <w:pStyle w:val="Para"/>
        <w:numPr>
          <w:ilvl w:val="0"/>
          <w:numId w:val="6"/>
        </w:numPr>
        <w:ind w:left="1429" w:right="0" w:hanging="360"/>
        <w:jc w:val="left"/>
        <w:rPr/>
      </w:pPr>
      <w:r>
        <w:rPr>
          <w:sz w:val="24"/>
          <w:lang w:val="fr-CA"/>
        </w:rPr>
        <w:t xml:space="preserve">30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48087739"/>
      <w:bookmarkStart w:id="74" w:name="_Toc105039398"/>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Quand on clique sur le bouton «S’inscrire », on arrive sur une page d’inscription. L’inscription est une étape essentielle pour permettre aux salariés d’Orange Madagascar de participer aux paris sportifs sur la plateforme et de suivre leurs jeux aux fil du temps.</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Mot de passe temporaire envoyé par e-mail</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modification d’un tournoi</w:t>
      </w:r>
    </w:p>
    <w:p>
      <w:pPr>
        <w:pStyle w:val="Para"/>
        <w:ind w:left="0" w:right="0" w:hanging="0"/>
        <w:jc w:val="left"/>
        <w:rPr>
          <w:b w:val="false"/>
          <w:b w:val="false"/>
          <w:bCs w:val="false"/>
          <w:sz w:val="24"/>
          <w:szCs w:val="24"/>
        </w:rPr>
      </w:pPr>
      <w:r>
        <w:rPr>
          <w:b w:val="false"/>
          <w:bCs w:val="false"/>
          <w:sz w:val="24"/>
          <w:szCs w:val="24"/>
        </w:rPr>
        <w:tab/>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53000" cy="1162050"/>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4953000" cy="116205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En même temps que le paiement, l’utilisateur doit prédire les équipes finalistes et répondre à une question subsidiaire afin de partager les éventuels vainqueurs en cas d’égalité.</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De son côté, l’administrateur peut vérifier le détail des paiements d’un utilisateur grâce à l’API Web Payment. 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pronostics</w:t>
      </w:r>
    </w:p>
    <w:p>
      <w:pPr>
        <w:pStyle w:val="Para"/>
        <w:jc w:val="left"/>
        <w:rPr>
          <w:b w:val="false"/>
          <w:b w:val="false"/>
          <w:bCs w:val="false"/>
          <w:sz w:val="24"/>
          <w:szCs w:val="24"/>
        </w:rPr>
      </w:pPr>
      <w:r>
        <w:rPr>
          <w:b w:val="false"/>
          <w:bCs w:val="false"/>
          <w:sz w:val="24"/>
          <w:szCs w:val="24"/>
        </w:rPr>
        <w:t>Lorsqu’un utilisateur s’est déjà inscrit pour participer à un tournoi et que son paiement est réglé, il peut pronostiquer pour tous les matchs de ce tournoi.</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Soumission des pronostics</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détermine des délais pour les pronostics. Par exemple, pour un match de week-end, les pronostics doivent être soumis au moins 48 heures avant le début du match. Cette règle assure que les pronostics sont enregistrées à temps pour chaque tournoi, offrant une gestion efficace du processus de pronostic.</w:t>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62763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5579110" cy="2627630"/>
                    </a:xfrm>
                    <a:prstGeom prst="rect">
                      <a:avLst/>
                    </a:prstGeom>
                  </pic:spPr>
                </pic:pic>
              </a:graphicData>
            </a:graphic>
          </wp:anchor>
        </w:drawing>
      </w:r>
    </w:p>
    <w:p>
      <w:pPr>
        <w:pStyle w:val="Para"/>
        <w:ind w:left="1429"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soumission des pronostics</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popup.  Une fois le pronostic validé, il devient définitif et ne peut plus être modifié. </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En attendant les résultats des matchs, il peut consulter son historique de pronostics, ce qui lui permet de suivre ses prédictions antérieures jusqu’à la sortie des résultats.</w:t>
      </w:r>
    </w:p>
    <w:p>
      <w:pPr>
        <w:pStyle w:val="Para"/>
        <w:ind w:left="1429" w:right="0" w:hanging="0"/>
        <w:jc w:val="left"/>
        <w:rPr>
          <w:b/>
          <w:b/>
          <w:bCs/>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110" cy="263334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8"/>
                    <a:stretch>
                      <a:fillRect/>
                    </a:stretch>
                  </pic:blipFill>
                  <pic:spPr bwMode="auto">
                    <a:xfrm>
                      <a:off x="0" y="0"/>
                      <a:ext cx="5579110" cy="26333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Historique de pronostics</w:t>
      </w:r>
    </w:p>
    <w:p>
      <w:pPr>
        <w:pStyle w:val="Titre5"/>
        <w:jc w:val="left"/>
        <w:rPr>
          <w:b/>
          <w:b/>
          <w:bCs/>
          <w:i w:val="false"/>
          <w:i w:val="false"/>
          <w:iCs w:val="false"/>
          <w:sz w:val="28"/>
          <w:szCs w:val="28"/>
        </w:rPr>
      </w:pPr>
      <w:r>
        <w:rPr>
          <w:b/>
          <w:bCs/>
          <w:i w:val="false"/>
          <w:iCs w:val="false"/>
          <w:sz w:val="28"/>
          <w:szCs w:val="28"/>
        </w:rPr>
        <w:t>Système de calcul des points</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Gestion des résultats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manaraka</w:t>
      </w:r>
    </w:p>
    <w:p>
      <w:pPr>
        <w:pStyle w:val="Para"/>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r>
    </w:p>
    <w:p>
      <w:pPr>
        <w:pStyle w:val="Titre3"/>
        <w:jc w:val="left"/>
        <w:rPr/>
      </w:pPr>
      <w:bookmarkStart w:id="76" w:name="__RefHeading___Toc1346_3329970298"/>
      <w:bookmarkStart w:id="77" w:name="_Toc148087741"/>
      <w:bookmarkStart w:id="78" w:name="_Toc105039400"/>
      <w:bookmarkEnd w:id="76"/>
      <w:r>
        <w:rPr>
          <w:rFonts w:eastAsia="Times New Roman" w:cs="Times New Roman"/>
          <w:b/>
          <w:color w:val="auto"/>
          <w:kern w:val="0"/>
          <w:sz w:val="28"/>
          <w:szCs w:val="20"/>
          <w:lang w:val="fr-CA" w:eastAsia="fr-FR" w:bidi="ar-SA"/>
        </w:rPr>
        <w:t>G</w:t>
      </w:r>
      <w:bookmarkEnd w:id="77"/>
      <w:bookmarkEnd w:id="78"/>
      <w:r>
        <w:rPr>
          <w:rFonts w:eastAsia="Times New Roman" w:cs="Times New Roman"/>
          <w:b/>
          <w:color w:val="auto"/>
          <w:kern w:val="0"/>
          <w:sz w:val="28"/>
          <w:szCs w:val="20"/>
          <w:lang w:val="fr-CA" w:eastAsia="fr-FR" w:bidi="ar-SA"/>
        </w:rPr>
        <w:t>estion des évènements sportifs</w:t>
      </w:r>
    </w:p>
    <w:p>
      <w:pPr>
        <w:pStyle w:val="Titre3"/>
        <w:jc w:val="left"/>
        <w:rPr/>
      </w:pPr>
      <w:bookmarkStart w:id="79" w:name="__RefHeading___Toc1348_3329970298"/>
      <w:bookmarkStart w:id="80" w:name="_Toc148087742"/>
      <w:bookmarkStart w:id="81" w:name="_Toc105039401"/>
      <w:bookmarkEnd w:id="79"/>
      <w:r>
        <w:rPr/>
        <w:t>Gestion des utilisateurs</w:t>
      </w:r>
      <w:bookmarkEnd w:id="80"/>
      <w:bookmarkEnd w:id="81"/>
    </w:p>
    <w:p>
      <w:pPr>
        <w:pStyle w:val="ListParagraph"/>
        <w:numPr>
          <w:ilvl w:val="0"/>
          <w:numId w:val="7"/>
        </w:numPr>
        <w:spacing w:lineRule="auto" w:line="276" w:before="0" w:after="200"/>
        <w:ind w:left="720" w:right="0" w:hanging="360"/>
        <w:contextualSpacing/>
        <w:jc w:val="left"/>
        <w:rPr/>
      </w:pPr>
      <w:r>
        <w:rPr/>
        <w:t>Gestion des utilisateurs</w:t>
      </w:r>
    </w:p>
    <w:p>
      <w:pPr>
        <w:pStyle w:val="ListParagraph"/>
        <w:numPr>
          <w:ilvl w:val="1"/>
          <w:numId w:val="7"/>
        </w:numPr>
        <w:spacing w:lineRule="auto" w:line="276" w:before="0" w:after="200"/>
        <w:ind w:left="720" w:right="0" w:hanging="360"/>
        <w:contextualSpacing/>
        <w:jc w:val="left"/>
        <w:rPr/>
      </w:pPr>
      <w:r>
        <w:rPr/>
        <w:t>Description des fonctionnalités du module</w:t>
      </w:r>
    </w:p>
    <w:p>
      <w:pPr>
        <w:pStyle w:val="ListParagraph"/>
        <w:numPr>
          <w:ilvl w:val="1"/>
          <w:numId w:val="7"/>
        </w:numPr>
        <w:spacing w:lineRule="auto" w:line="276" w:before="0" w:after="200"/>
        <w:ind w:left="720" w:right="0" w:hanging="360"/>
        <w:contextualSpacing/>
        <w:jc w:val="left"/>
        <w:rPr/>
      </w:pPr>
      <w:r>
        <w:rPr/>
        <w:t>Pourquoi a-t-on développé ce module pour l'entreprise</w:t>
      </w:r>
    </w:p>
    <w:p>
      <w:pPr>
        <w:pStyle w:val="ListParagraph"/>
        <w:numPr>
          <w:ilvl w:val="1"/>
          <w:numId w:val="7"/>
        </w:numPr>
        <w:spacing w:lineRule="auto" w:line="276" w:before="0" w:after="200"/>
        <w:ind w:left="720" w:right="0" w:hanging="360"/>
        <w:contextualSpacing/>
        <w:jc w:val="left"/>
        <w:rPr/>
      </w:pPr>
      <w:r>
        <w:rPr/>
        <w:t>Scénario d'utilisation clé (1 ou 2)</w:t>
      </w:r>
    </w:p>
    <w:p>
      <w:pPr>
        <w:pStyle w:val="ListParagraph"/>
        <w:numPr>
          <w:ilvl w:val="2"/>
          <w:numId w:val="7"/>
        </w:numPr>
        <w:spacing w:lineRule="auto" w:line="276" w:before="0" w:after="200"/>
        <w:ind w:left="720" w:right="0" w:hanging="360"/>
        <w:contextualSpacing/>
        <w:jc w:val="left"/>
        <w:rPr/>
      </w:pPr>
      <w:r>
        <w:rPr/>
        <w:t>Quel scénario ?</w:t>
      </w:r>
    </w:p>
    <w:p>
      <w:pPr>
        <w:pStyle w:val="ListParagraph"/>
        <w:numPr>
          <w:ilvl w:val="2"/>
          <w:numId w:val="7"/>
        </w:numPr>
        <w:spacing w:lineRule="auto" w:line="276" w:before="0" w:after="200"/>
        <w:ind w:left="720" w:right="0" w:hanging="360"/>
        <w:contextualSpacing/>
        <w:jc w:val="left"/>
        <w:rPr/>
      </w:pPr>
      <w:r>
        <w:rPr/>
        <w:t>Dessin écran + explication</w:t>
      </w:r>
    </w:p>
    <w:p>
      <w:pPr>
        <w:pStyle w:val="ListParagraph"/>
        <w:numPr>
          <w:ilvl w:val="2"/>
          <w:numId w:val="7"/>
        </w:numPr>
        <w:spacing w:lineRule="auto" w:line="276" w:before="0" w:after="200"/>
        <w:ind w:left="720" w:right="0" w:hanging="360"/>
        <w:contextualSpacing/>
        <w:jc w:val="left"/>
        <w:rPr/>
      </w:pPr>
      <w:r>
        <w:rPr/>
        <w:t xml:space="preserve">Importance </w:t>
      </w:r>
    </w:p>
    <w:p>
      <w:pPr>
        <w:pStyle w:val="ListParagraph"/>
        <w:numPr>
          <w:ilvl w:val="2"/>
          <w:numId w:val="7"/>
        </w:numPr>
        <w:spacing w:lineRule="auto" w:line="276" w:before="0" w:after="200"/>
        <w:ind w:left="720" w:right="0" w:hanging="360"/>
        <w:contextualSpacing/>
        <w:jc w:val="left"/>
        <w:rPr/>
      </w:pPr>
      <w:r>
        <w:rPr/>
        <w:t>Comment ?</w:t>
      </w:r>
    </w:p>
    <w:p>
      <w:pPr>
        <w:pStyle w:val="ListParagraph"/>
        <w:numPr>
          <w:ilvl w:val="3"/>
          <w:numId w:val="7"/>
        </w:numPr>
        <w:spacing w:lineRule="auto" w:line="276" w:before="0" w:after="200"/>
        <w:ind w:left="720" w:right="0" w:hanging="360"/>
        <w:contextualSpacing/>
        <w:jc w:val="left"/>
        <w:rPr/>
      </w:pPr>
      <w:r>
        <w:rPr/>
        <w:t>Pas forcément besoin d’un extrait du code source</w:t>
      </w:r>
    </w:p>
    <w:p>
      <w:pPr>
        <w:pStyle w:val="ListParagraph"/>
        <w:numPr>
          <w:ilvl w:val="3"/>
          <w:numId w:val="7"/>
        </w:numPr>
        <w:spacing w:lineRule="auto" w:line="276" w:before="0" w:after="200"/>
        <w:ind w:left="720" w:right="0" w:hanging="36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2" w:name="__RefHeading___Toc1350_3329970298"/>
      <w:bookmarkStart w:id="83" w:name="_Toc148087743"/>
      <w:bookmarkStart w:id="84" w:name="_Toc105039402"/>
      <w:bookmarkEnd w:id="82"/>
      <w:r>
        <w:rPr/>
        <w:t>État d’Analyse et Statistiques</w:t>
      </w:r>
      <w:bookmarkEnd w:id="83"/>
      <w:bookmarkEnd w:id="84"/>
    </w:p>
    <w:p>
      <w:pPr>
        <w:pStyle w:val="Titre3"/>
        <w:jc w:val="left"/>
        <w:rPr/>
      </w:pPr>
      <w:bookmarkStart w:id="85" w:name="__RefHeading___Toc1352_3329970298"/>
      <w:bookmarkStart w:id="86" w:name="_Toc148087744"/>
      <w:bookmarkStart w:id="87" w:name="_Toc105039403"/>
      <w:bookmarkEnd w:id="85"/>
      <w:r>
        <w:rPr/>
        <w:t>État numéro 1</w:t>
      </w:r>
      <w:bookmarkEnd w:id="86"/>
      <w:bookmarkEnd w:id="87"/>
    </w:p>
    <w:p>
      <w:pPr>
        <w:pStyle w:val="Titre3"/>
        <w:jc w:val="left"/>
        <w:rPr/>
      </w:pPr>
      <w:bookmarkStart w:id="88" w:name="__RefHeading___Toc1354_3329970298"/>
      <w:bookmarkStart w:id="89" w:name="_Toc148087745"/>
      <w:bookmarkStart w:id="90" w:name="_Toc105039404"/>
      <w:bookmarkEnd w:id="88"/>
      <w:r>
        <w:rPr/>
        <w:t>État numéro 2</w:t>
      </w:r>
      <w:bookmarkEnd w:id="89"/>
      <w:bookmarkEnd w:id="90"/>
    </w:p>
    <w:p>
      <w:pPr>
        <w:pStyle w:val="Titre3"/>
        <w:jc w:val="left"/>
        <w:rPr/>
      </w:pPr>
      <w:bookmarkStart w:id="91" w:name="__RefHeading___Toc1356_3329970298"/>
      <w:bookmarkStart w:id="92" w:name="_Toc148087746"/>
      <w:bookmarkStart w:id="93" w:name="_Toc105039405"/>
      <w:bookmarkEnd w:id="91"/>
      <w:r>
        <w:rPr/>
        <w:t>Statistique numéro 1</w:t>
      </w:r>
      <w:bookmarkEnd w:id="92"/>
      <w:bookmarkEnd w:id="93"/>
      <w:r>
        <w:rPr/>
        <w:tab/>
      </w:r>
    </w:p>
    <w:p>
      <w:pPr>
        <w:pStyle w:val="Caption"/>
        <w:keepNext w:val="true"/>
        <w:jc w:val="left"/>
        <w:rPr/>
      </w:pPr>
      <w:bookmarkStart w:id="94" w:name="_Toc441148074"/>
      <w:r>
        <w:rPr/>
        <w:t xml:space="preserve">Tableau </w:t>
      </w:r>
      <w:r>
        <w:rPr/>
        <w:fldChar w:fldCharType="begin"/>
      </w:r>
      <w:r>
        <w:rPr/>
        <w:instrText> SEQ Tableau \* ARABIC </w:instrText>
      </w:r>
      <w:r>
        <w:rPr/>
        <w:fldChar w:fldCharType="separate"/>
      </w:r>
      <w:r>
        <w:rPr/>
        <w:t>1</w:t>
      </w:r>
      <w:r>
        <w:rPr/>
        <w:fldChar w:fldCharType="end"/>
      </w:r>
      <w:r>
        <w:rPr/>
        <w:t> : Classement TIOBE 2014 de quelques langages de programmation</w:t>
      </w:r>
      <w:bookmarkEnd w:id="94"/>
      <w:r>
        <w:rPr/>
        <w:t xml:space="preserve"> (</w:t>
      </w:r>
      <w:r>
        <w:rPr>
          <w:b/>
          <w:bCs/>
          <w:color w:val="FF0000"/>
        </w:rPr>
        <w:t>exemple</w:t>
      </w:r>
      <w:r>
        <w:rPr/>
        <w:t>)</w:t>
      </w:r>
    </w:p>
    <w:tbl>
      <w:tblPr>
        <w:tblW w:w="8927" w:type="dxa"/>
        <w:jc w:val="left"/>
        <w:tblInd w:w="-113" w:type="dxa"/>
        <w:tblLayout w:type="fixed"/>
        <w:tblCellMar>
          <w:top w:w="0" w:type="dxa"/>
          <w:left w:w="108" w:type="dxa"/>
          <w:bottom w:w="0" w:type="dxa"/>
          <w:right w:w="108" w:type="dxa"/>
        </w:tblCellMar>
      </w:tblPr>
      <w:tblGrid>
        <w:gridCol w:w="1785"/>
        <w:gridCol w:w="1785"/>
        <w:gridCol w:w="1786"/>
        <w:gridCol w:w="1785"/>
        <w:gridCol w:w="1786"/>
      </w:tblGrid>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Language</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Share Jan ‘14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Trend</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26.2%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PhP</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Python</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10.2%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9.6%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-0.4%</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8.9%</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-0.2%</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JavaScript</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+0.3%</w:t>
            </w:r>
          </w:p>
        </w:tc>
      </w:tr>
    </w:tbl>
    <w:p>
      <w:pPr>
        <w:pStyle w:val="Normal"/>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jc w:val="left"/>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jc w:val="left"/>
        <w:rPr>
          <w:b/>
          <w:b/>
          <w:kern w:val="2"/>
          <w:sz w:val="36"/>
          <w:lang w:val="fr-FR"/>
        </w:rPr>
      </w:pPr>
      <w:r>
        <w:rPr>
          <w:b/>
          <w:kern w:val="2"/>
          <w:sz w:val="36"/>
          <w:lang w:val="fr-FR"/>
        </w:rPr>
      </w:r>
    </w:p>
    <w:p>
      <w:pPr>
        <w:pStyle w:val="Titre2"/>
        <w:jc w:val="left"/>
        <w:rPr/>
      </w:pPr>
      <w:bookmarkStart w:id="95" w:name="__RefHeading___Toc1358_3329970298"/>
      <w:bookmarkStart w:id="96" w:name="_Toc148087747"/>
      <w:bookmarkStart w:id="97" w:name="_Toc105039406"/>
      <w:bookmarkEnd w:id="95"/>
      <w:r>
        <w:rPr/>
        <w:t>Problèmes rencontrés et solutions</w:t>
      </w:r>
      <w:bookmarkEnd w:id="96"/>
      <w:bookmarkEnd w:id="97"/>
    </w:p>
    <w:p>
      <w:pPr>
        <w:pStyle w:val="Para"/>
        <w:jc w:val="left"/>
        <w:rPr>
          <w:b/>
          <w:b/>
          <w:kern w:val="2"/>
          <w:sz w:val="36"/>
          <w:lang w:val="fr-FR"/>
        </w:rPr>
      </w:pPr>
      <w:r>
        <w:rPr>
          <w:b/>
          <w:kern w:val="2"/>
          <w:sz w:val="36"/>
          <w:lang w:val="fr-FR"/>
        </w:rPr>
      </w:r>
    </w:p>
    <w:p>
      <w:pPr>
        <w:pStyle w:val="Para"/>
        <w:jc w:val="left"/>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b/>
          <w:b/>
          <w:kern w:val="2"/>
          <w:sz w:val="36"/>
          <w:lang w:val="fr-FR"/>
        </w:rPr>
      </w:pPr>
      <w:r>
        <w:rPr>
          <w:b/>
          <w:kern w:val="2"/>
          <w:sz w:val="36"/>
          <w:lang w:val="fr-FR"/>
        </w:rPr>
      </w:r>
      <w:r>
        <w:br w:type="page"/>
      </w:r>
    </w:p>
    <w:p>
      <w:pPr>
        <w:pStyle w:val="Titre1"/>
        <w:rPr/>
      </w:pPr>
      <w:bookmarkStart w:id="98" w:name="__RefHeading___Toc1360_3329970298"/>
      <w:bookmarkStart w:id="99" w:name="_Toc148087748"/>
      <w:bookmarkStart w:id="100" w:name="_Toc105039407"/>
      <w:bookmarkEnd w:id="98"/>
      <w:r>
        <w:rPr/>
        <w:t>Évaluation du projet et connaissances acquises</w:t>
      </w:r>
      <w:bookmarkEnd w:id="99"/>
      <w:bookmarkEnd w:id="100"/>
    </w:p>
    <w:p>
      <w:pPr>
        <w:pStyle w:val="Titre2"/>
        <w:jc w:val="left"/>
        <w:rPr/>
      </w:pPr>
      <w:bookmarkStart w:id="101" w:name="__RefHeading___Toc1362_3329970298"/>
      <w:bookmarkStart w:id="102" w:name="_Toc148087749"/>
      <w:bookmarkStart w:id="103" w:name="_Toc105039408"/>
      <w:bookmarkEnd w:id="101"/>
      <w:r>
        <w:rPr/>
        <w:t>Bilan pour l'entreprise</w:t>
      </w:r>
      <w:bookmarkEnd w:id="102"/>
      <w:bookmarkEnd w:id="103"/>
    </w:p>
    <w:p>
      <w:pPr>
        <w:pStyle w:val="Normal"/>
        <w:rPr>
          <w:b/>
          <w:b/>
          <w:bCs/>
          <w:color w:val="FF0000"/>
        </w:rPr>
      </w:pPr>
      <w:r>
        <w:rPr>
          <w:b/>
          <w:bCs/>
          <w:color w:val="FF0000"/>
        </w:rPr>
        <w:t>A faire avec le contrôle de votre encadreur d’entreprise</w:t>
      </w:r>
    </w:p>
    <w:p>
      <w:pPr>
        <w:pStyle w:val="Titre2"/>
        <w:jc w:val="left"/>
        <w:rPr/>
      </w:pPr>
      <w:bookmarkStart w:id="104" w:name="__RefHeading___Toc1364_3329970298"/>
      <w:bookmarkStart w:id="105" w:name="_Toc148087750"/>
      <w:bookmarkStart w:id="106" w:name="_Toc105039409"/>
      <w:bookmarkEnd w:id="104"/>
      <w:r>
        <w:rPr/>
        <w:t>Bilan personnel</w:t>
      </w:r>
      <w:bookmarkEnd w:id="105"/>
      <w:bookmarkEnd w:id="106"/>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7" w:name="__RefHeading___Toc1366_3329970298"/>
      <w:bookmarkStart w:id="108" w:name="_Toc148087751"/>
      <w:bookmarkStart w:id="109" w:name="_Toc105039410"/>
      <w:bookmarkEnd w:id="107"/>
      <w:r>
        <w:rPr/>
        <w:t>Extension et évolution de l’application</w:t>
      </w:r>
      <w:bookmarkEnd w:id="108"/>
      <w:bookmarkEnd w:id="109"/>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10" w:name="__RefHeading___Toc1368_3329970298"/>
      <w:bookmarkStart w:id="111" w:name="_Toc148087752"/>
      <w:bookmarkStart w:id="112" w:name="_Toc105039411"/>
      <w:bookmarkEnd w:id="110"/>
      <w:r>
        <w:rPr/>
        <w:t>Conclusion</w:t>
      </w:r>
      <w:bookmarkEnd w:id="111"/>
      <w:bookmarkEnd w:id="112"/>
    </w:p>
    <w:p>
      <w:pPr>
        <w:pStyle w:val="Para"/>
        <w:ind w:left="0" w:right="0" w:hanging="0"/>
        <w:jc w:val="left"/>
        <w:rPr/>
      </w:pPr>
      <w:r>
        <w:rPr/>
        <w:t xml:space="preserve">Doit inclure </w:t>
      </w:r>
      <w:r>
        <w:rPr>
          <w:b/>
        </w:rPr>
        <w:t>au moins</w:t>
      </w:r>
      <w:r>
        <w:rPr/>
        <w:t xml:space="preserve"> 3 points : </w:t>
      </w:r>
    </w:p>
    <w:p>
      <w:pPr>
        <w:pStyle w:val="Para"/>
        <w:numPr>
          <w:ilvl w:val="0"/>
          <w:numId w:val="8"/>
        </w:numPr>
        <w:ind w:left="720" w:right="0" w:hanging="360"/>
        <w:jc w:val="left"/>
        <w:rPr/>
      </w:pPr>
      <w:r>
        <w:rPr/>
        <w:t>Les avantages et satisfactions exprimés par l’entreprise/institution d’accueil au vu de l’atteinte des objectifs fixés au début du stage,</w:t>
      </w:r>
    </w:p>
    <w:p>
      <w:pPr>
        <w:pStyle w:val="Para"/>
        <w:numPr>
          <w:ilvl w:val="0"/>
          <w:numId w:val="8"/>
        </w:numPr>
        <w:ind w:left="720" w:right="0" w:hanging="360"/>
        <w:jc w:val="left"/>
        <w:rPr/>
      </w:pPr>
      <w:r>
        <w:rPr/>
        <w:t xml:space="preserve">Vos impressions personnelles </w:t>
      </w:r>
    </w:p>
    <w:p>
      <w:pPr>
        <w:pStyle w:val="Para"/>
        <w:numPr>
          <w:ilvl w:val="0"/>
          <w:numId w:val="8"/>
        </w:numPr>
        <w:ind w:left="720" w:right="0" w:hanging="360"/>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13" w:name="__RefHeading___Toc1370_3329970298"/>
      <w:bookmarkStart w:id="114" w:name="_Toc148087753"/>
      <w:bookmarkStart w:id="115" w:name="_Toc105039412"/>
      <w:bookmarkEnd w:id="113"/>
      <w:r>
        <w:rPr/>
        <w:t>Bibliographie</w:t>
      </w:r>
      <w:bookmarkEnd w:id="114"/>
      <w:bookmarkEnd w:id="115"/>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29">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30">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ind w:left="720" w:right="0" w:hanging="360"/>
        <w:jc w:val="left"/>
        <w:rPr/>
      </w:pPr>
      <w:r>
        <w:rPr/>
        <w:t>Wikipédia</w:t>
        <w:br/>
      </w:r>
      <w:hyperlink r:id="rId31">
        <w:r>
          <w:rPr>
            <w:rStyle w:val="LienInternet"/>
          </w:rPr>
          <w:t>https://fr.wikipedia.org/wiki/Modèle-vue-contrôleur</w:t>
        </w:r>
      </w:hyperlink>
      <w:r>
        <w:rPr/>
        <w:t xml:space="preserve"> (Consulté le 06-10-2022)</w:t>
      </w:r>
    </w:p>
    <w:p>
      <w:pPr>
        <w:pStyle w:val="Para"/>
        <w:numPr>
          <w:ilvl w:val="0"/>
          <w:numId w:val="9"/>
        </w:numPr>
        <w:ind w:left="720" w:right="0" w:hanging="360"/>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32">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33">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34"/>
          <w:headerReference w:type="first" r:id="rId35"/>
          <w:footerReference w:type="default" r:id="rId36"/>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6" w:name="__RefHeading___Toc1372_3329970298"/>
      <w:bookmarkStart w:id="117" w:name="_Toc148087754"/>
      <w:bookmarkStart w:id="118" w:name="_Toc105039413"/>
      <w:bookmarkEnd w:id="116"/>
      <w:r>
        <w:rPr/>
        <w:t>Annexe</w:t>
      </w:r>
      <w:bookmarkEnd w:id="117"/>
      <w:bookmarkEnd w:id="118"/>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37"/>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23</w:t>
      </w:r>
      <w:r>
        <w:rPr/>
        <w:fldChar w:fldCharType="end"/>
      </w:r>
      <w:r>
        <w:rPr/>
        <w:t xml:space="preserve">: </w:t>
      </w:r>
      <w:r>
        <w:rPr>
          <w:sz w:val="24"/>
          <w:lang w:val="fr-CA"/>
        </w:rPr>
        <w:t xml:space="preserve">Extrait de code source commenté </w:t>
      </w:r>
    </w:p>
    <w:sectPr>
      <w:headerReference w:type="default" r:id="rId38"/>
      <w:footerReference w:type="default" r:id="rId3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29</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fr.wikipedia.org/wiki/Mod&#232;le_en_cascade" TargetMode="External"/><Relationship Id="rId30" Type="http://schemas.openxmlformats.org/officeDocument/2006/relationships/hyperlink" Target="https://commons.wikimedia.org/w/index.php?curid=79395598" TargetMode="External"/><Relationship Id="rId31" Type="http://schemas.openxmlformats.org/officeDocument/2006/relationships/hyperlink" Target="https://fr.wikipedia.org/wiki/Mod&#232;le-vue-contr&#244;leur" TargetMode="External"/><Relationship Id="rId32" Type="http://schemas.openxmlformats.org/officeDocument/2006/relationships/hyperlink" Target="https://aws.amazon.com/fr/compare/the-difference-between-mysql-vs-postgresql/" TargetMode="External"/><Relationship Id="rId33" Type="http://schemas.openxmlformats.org/officeDocument/2006/relationships/hyperlink" Target="https://www.excellentwebworld.com/best-php-frameworks/" TargetMode="External"/><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3.xml"/><Relationship Id="rId37" Type="http://schemas.openxmlformats.org/officeDocument/2006/relationships/image" Target="media/image24.png"/><Relationship Id="rId38" Type="http://schemas.openxmlformats.org/officeDocument/2006/relationships/header" Target="header5.xml"/><Relationship Id="rId39" Type="http://schemas.openxmlformats.org/officeDocument/2006/relationships/footer" Target="footer4.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2350</TotalTime>
  <Application>LibreOffice/7.2.1.2$Windows_X86_64 LibreOffice_project/87b77fad49947c1441b67c559c339af8f3517e22</Application>
  <AppVersion>15.0000</AppVersion>
  <Pages>37</Pages>
  <Words>4248</Words>
  <Characters>24374</Characters>
  <CharactersWithSpaces>28281</CharactersWithSpaces>
  <Paragraphs>330</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2023-11-04T21:32:18Z</dcterms:modified>
  <cp:revision>37</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