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5F488" w14:textId="77777777" w:rsidR="00670E20" w:rsidRDefault="002E3AA5">
      <w:pPr>
        <w:spacing w:before="2880"/>
        <w:jc w:val="center"/>
      </w:pPr>
      <w:r>
        <w:rPr>
          <w:b/>
          <w:bCs/>
          <w:sz w:val="32"/>
          <w:szCs w:val="32"/>
        </w:rPr>
        <w:t>PROPOSAL</w:t>
      </w:r>
    </w:p>
    <w:p w14:paraId="5052F041" w14:textId="77777777" w:rsidR="00670E20" w:rsidRDefault="00670E20">
      <w:pPr>
        <w:spacing w:before="480" w:after="480"/>
        <w:jc w:val="center"/>
      </w:pPr>
    </w:p>
    <w:p w14:paraId="18D7C834" w14:textId="77777777" w:rsidR="00670E20" w:rsidRDefault="002E3AA5">
      <w:pPr>
        <w:spacing w:line="360" w:lineRule="auto"/>
        <w:jc w:val="center"/>
      </w:pPr>
      <w:r>
        <w:rPr>
          <w:b/>
          <w:bCs/>
          <w:sz w:val="28"/>
          <w:szCs w:val="28"/>
        </w:rPr>
        <w:t>Bayesian Hierarchical Analysis of Antibiotic Resistance Patterns in Nigeria</w:t>
      </w:r>
    </w:p>
    <w:p w14:paraId="29283D85" w14:textId="77777777" w:rsidR="00670E20" w:rsidRDefault="00670E20">
      <w:pPr>
        <w:spacing w:before="720" w:after="240"/>
        <w:jc w:val="center"/>
      </w:pPr>
    </w:p>
    <w:p w14:paraId="07CCEDDD" w14:textId="77777777" w:rsidR="00670E20" w:rsidRDefault="002E3AA5">
      <w:pPr>
        <w:spacing w:line="360" w:lineRule="auto"/>
        <w:jc w:val="center"/>
      </w:pPr>
      <w:proofErr w:type="gramStart"/>
      <w:r>
        <w:t>By</w:t>
      </w:r>
      <w:proofErr w:type="gramEnd"/>
    </w:p>
    <w:p w14:paraId="5BCDE2E4" w14:textId="77777777" w:rsidR="00670E20" w:rsidRDefault="002E3AA5">
      <w:pPr>
        <w:spacing w:before="120" w:line="360" w:lineRule="auto"/>
        <w:jc w:val="center"/>
      </w:pPr>
      <w:r>
        <w:rPr>
          <w:b/>
          <w:bCs/>
          <w:sz w:val="26"/>
          <w:szCs w:val="26"/>
        </w:rPr>
        <w:t>Omotayo Andoh</w:t>
      </w:r>
    </w:p>
    <w:p w14:paraId="04863A18" w14:textId="77777777" w:rsidR="00670E20" w:rsidRDefault="002E3AA5">
      <w:pPr>
        <w:spacing w:line="360" w:lineRule="auto"/>
        <w:jc w:val="center"/>
      </w:pPr>
      <w:r>
        <w:t>220911043</w:t>
      </w:r>
    </w:p>
    <w:p w14:paraId="2C6F6876" w14:textId="77777777" w:rsidR="00670E20" w:rsidRDefault="002E3AA5">
      <w:r>
        <w:br w:type="page"/>
      </w:r>
    </w:p>
    <w:p w14:paraId="4907441E" w14:textId="77777777" w:rsidR="00670E20" w:rsidRDefault="002E3AA5">
      <w:pPr>
        <w:pStyle w:val="Heading1"/>
      </w:pPr>
      <w:r>
        <w:lastRenderedPageBreak/>
        <w:t>1. Background of Study</w:t>
      </w:r>
    </w:p>
    <w:p w14:paraId="36CD1727" w14:textId="77777777" w:rsidR="00670E20" w:rsidRDefault="002E3AA5">
      <w:pPr>
        <w:spacing w:after="240" w:line="360" w:lineRule="auto"/>
        <w:jc w:val="both"/>
      </w:pPr>
      <w:r>
        <w:t>Antimicrobial resistance (AMR) represents one of the most pressing global health challenges, with projections estimating it could cause over 39 million deaths globally between 2025 and 2050 if left unaddressed (WHO, 2024). In Nigeria, the AMR crisis is particularly severe due to extensive antibiotic use across various sectors, inadequate infection prevention practices, and insufficient surveillance programs (</w:t>
      </w:r>
      <w:proofErr w:type="spellStart"/>
      <w:r>
        <w:t>Akinwotu</w:t>
      </w:r>
      <w:proofErr w:type="spellEnd"/>
      <w:r>
        <w:t xml:space="preserve"> </w:t>
      </w:r>
      <w:r w:rsidRPr="00E472C4">
        <w:rPr>
          <w:i/>
          <w:iCs/>
        </w:rPr>
        <w:t>et al</w:t>
      </w:r>
      <w:r>
        <w:t>., 2025). Antibiotic resistance patterns vary across population subgroups and epidemiological characteristics due to differences in healthcare access, prescribing practices, sanitation, and patient-related factors (Nigeria Centre for Disease Control and Prevention [NCDC], 2024a).</w:t>
      </w:r>
    </w:p>
    <w:p w14:paraId="74FE0E5A" w14:textId="77777777" w:rsidR="00670E20" w:rsidRDefault="002E3AA5">
      <w:pPr>
        <w:spacing w:after="240" w:line="360" w:lineRule="auto"/>
        <w:jc w:val="both"/>
      </w:pPr>
      <w:r>
        <w:t>Recent studies have documented alarming levels of antimicrobial resistance across Nigeria's healthcare settings. A comprehensive review analyzing surveillance data from 2018 to 2023 found that extended-spectrum β-lactamase (ESBL)-producing Enterobacteriaceae accounted for 60-80% of isolates, while methicillin-resistant Staphylococcus aureus (MRSA) prevalence exceeded 80% in healthcare facilities (</w:t>
      </w:r>
      <w:proofErr w:type="spellStart"/>
      <w:r>
        <w:t>Akinwotu</w:t>
      </w:r>
      <w:proofErr w:type="spellEnd"/>
      <w:r>
        <w:t xml:space="preserve"> </w:t>
      </w:r>
      <w:r w:rsidRPr="00E472C4">
        <w:rPr>
          <w:i/>
          <w:iCs/>
        </w:rPr>
        <w:t>et al</w:t>
      </w:r>
      <w:r>
        <w:t>., 2025). Between 2019 and 2021, Nigeria's national human health sentinel surveillance system reported antimicrobial susceptibility testing on 5,606 isolates, revealing widespread resistance to commonly prescribed antibiotics including amoxicillin, ciprofloxacin, and vancomycin across different specimen types and patient demographics (NCDC, 2024b).</w:t>
      </w:r>
    </w:p>
    <w:p w14:paraId="51799512" w14:textId="5BD86073" w:rsidR="00670E20" w:rsidRDefault="002E3AA5">
      <w:pPr>
        <w:spacing w:after="240" w:line="360" w:lineRule="auto"/>
        <w:jc w:val="both"/>
      </w:pPr>
      <w:r>
        <w:t xml:space="preserve">Statistical modeling provides a reliable framework for understanding variations in resistance patterns across epidemiological subgroups (Gelman </w:t>
      </w:r>
      <w:r w:rsidR="00E472C4">
        <w:t>and</w:t>
      </w:r>
      <w:r>
        <w:t xml:space="preserve"> Hill, 2006). Bayesian methods, which are grounded in probability theory, allow the incorporation of uncertainty and prior information into data analysis, making them particularly suitable for AMR surveillance data where sample sizes may vary across subgroups and measurement uncertainty is inherent (McElreath, 2020). Hierarchical models are especially appropriate for analyzing data with nested structures, such as observations clustered within epidemiological groupings like specimen types or age groups (Zhuang </w:t>
      </w:r>
      <w:r w:rsidR="00E472C4">
        <w:t xml:space="preserve">and </w:t>
      </w:r>
      <w:r>
        <w:t xml:space="preserve">Cressie, 2014). Previous applications of Bayesian hierarchical models to antimicrobial resistance data have demonstrated their utility in detecting temporal trends, quantifying uncertainty in resistance estimates, and providing actionable information for public health surveillance programs (Liang </w:t>
      </w:r>
      <w:r w:rsidRPr="00E472C4">
        <w:rPr>
          <w:i/>
          <w:iCs/>
        </w:rPr>
        <w:t>et al</w:t>
      </w:r>
      <w:r>
        <w:t xml:space="preserve">., 2020; </w:t>
      </w:r>
      <w:proofErr w:type="spellStart"/>
      <w:r>
        <w:t>Zhelyazkova</w:t>
      </w:r>
      <w:proofErr w:type="spellEnd"/>
      <w:r>
        <w:t xml:space="preserve"> </w:t>
      </w:r>
      <w:r w:rsidRPr="00E472C4">
        <w:rPr>
          <w:i/>
          <w:iCs/>
        </w:rPr>
        <w:t>et al</w:t>
      </w:r>
      <w:r>
        <w:t>., 2022).</w:t>
      </w:r>
    </w:p>
    <w:p w14:paraId="4058AF7A" w14:textId="77777777" w:rsidR="00670E20" w:rsidRDefault="002E3AA5">
      <w:pPr>
        <w:pStyle w:val="Heading1"/>
      </w:pPr>
      <w:r>
        <w:lastRenderedPageBreak/>
        <w:t>2. Statement of the Problem</w:t>
      </w:r>
    </w:p>
    <w:p w14:paraId="2550B04A" w14:textId="30992850" w:rsidR="00670E20" w:rsidRDefault="002E3AA5">
      <w:pPr>
        <w:spacing w:after="240" w:line="360" w:lineRule="auto"/>
        <w:jc w:val="both"/>
      </w:pPr>
      <w:r>
        <w:t xml:space="preserve">Despite the availability of antibiotic resistance data from surveillance reports and published studies in Nigeria, most existing analyses rely on simple descriptive statistics or meta-analytical approaches that do not adequately account for hierarchical data structures, between-group variability, and uncertainty in resistance estimates (Chukwu </w:t>
      </w:r>
      <w:r w:rsidRPr="00E472C4">
        <w:rPr>
          <w:i/>
          <w:iCs/>
        </w:rPr>
        <w:t>et al</w:t>
      </w:r>
      <w:r>
        <w:t xml:space="preserve">., 2024). A systematic review of antibiotic resistance genes in Nigeria employed meta-analysis to pool prevalence estimates across studies but did not model the nested structure of patients within healthcare facilities or account for variability across specimen types and patient demographics (Chukwu </w:t>
      </w:r>
      <w:r w:rsidRPr="00E472C4">
        <w:rPr>
          <w:i/>
          <w:iCs/>
        </w:rPr>
        <w:t>et al</w:t>
      </w:r>
      <w:r>
        <w:t>., 2024). Similarly, cross-sectional studies examining antibiotic misuse and awareness in Nigerian populations have used basic statistical methods such as chi-square tests and simple logistic regression, which do not capture the complex multilevel nature of resistance patterns or provide probabilistic estimates with appropriate uncertainty quantification (</w:t>
      </w:r>
      <w:proofErr w:type="spellStart"/>
      <w:r>
        <w:t>Enechukwu</w:t>
      </w:r>
      <w:proofErr w:type="spellEnd"/>
      <w:r>
        <w:t xml:space="preserve"> </w:t>
      </w:r>
      <w:r w:rsidR="00E472C4">
        <w:t>and</w:t>
      </w:r>
      <w:r>
        <w:t xml:space="preserve"> </w:t>
      </w:r>
      <w:proofErr w:type="spellStart"/>
      <w:r>
        <w:t>Sholeye</w:t>
      </w:r>
      <w:proofErr w:type="spellEnd"/>
      <w:r>
        <w:t xml:space="preserve">, 2024; Popoola </w:t>
      </w:r>
      <w:r w:rsidRPr="00E472C4">
        <w:rPr>
          <w:i/>
          <w:iCs/>
        </w:rPr>
        <w:t>et al</w:t>
      </w:r>
      <w:r>
        <w:t>., 2024).</w:t>
      </w:r>
    </w:p>
    <w:p w14:paraId="2387DFFA" w14:textId="263591CF" w:rsidR="00670E20" w:rsidRDefault="002E3AA5">
      <w:pPr>
        <w:spacing w:after="240" w:line="360" w:lineRule="auto"/>
        <w:jc w:val="both"/>
      </w:pPr>
      <w:r>
        <w:t xml:space="preserve">Recent advancements in Bayesian statistical methods have demonstrated the value of hierarchical modeling approaches for antimicrobial resistance surveillance. Studies in clinical settings have successfully applied Bayesian network models and hierarchical frameworks to reveal cross-resistance patterns while </w:t>
      </w:r>
      <w:r w:rsidR="00E472C4">
        <w:t>controlling</w:t>
      </w:r>
      <w:r>
        <w:t xml:space="preserve"> confounding factors such as previous antibiotic exposure and patient characteristics (Cherny </w:t>
      </w:r>
      <w:r w:rsidRPr="00E472C4">
        <w:rPr>
          <w:i/>
          <w:iCs/>
        </w:rPr>
        <w:t>et al</w:t>
      </w:r>
      <w:r>
        <w:t>., 2021, 2023). However, such sophisticated statistical approaches have not yet been applied to Nigerian AMR surveillance data, representing a significant gap in the country's capacity to generate evidence-based insights for antimicrobial stewardship programs and treatment guidelines.</w:t>
      </w:r>
    </w:p>
    <w:p w14:paraId="2EA82C2C" w14:textId="77777777" w:rsidR="00670E20" w:rsidRDefault="002E3AA5">
      <w:pPr>
        <w:spacing w:after="240" w:line="360" w:lineRule="auto"/>
        <w:jc w:val="both"/>
      </w:pPr>
      <w:r>
        <w:t>There is therefore a need for a statistical approach that incorporates both probability theory and hierarchical structure to better understand how antibiotic resistance varies across specimen types, age groups, multidrug resistance (MDR) status, and resistance gene profiles in Nigeria. Such an approach would enable more accurate estimation of resistance prevalence while appropriately quantifying uncertainty in these estimates, thereby providing valuable information for clinical decision-making and public health interventions.</w:t>
      </w:r>
    </w:p>
    <w:p w14:paraId="365CCE9B" w14:textId="77777777" w:rsidR="00E472C4" w:rsidRDefault="00E472C4">
      <w:pPr>
        <w:spacing w:after="240" w:line="360" w:lineRule="auto"/>
        <w:jc w:val="both"/>
      </w:pPr>
    </w:p>
    <w:p w14:paraId="382D7910" w14:textId="77777777" w:rsidR="00E472C4" w:rsidRDefault="00E472C4">
      <w:pPr>
        <w:spacing w:after="240" w:line="360" w:lineRule="auto"/>
        <w:jc w:val="both"/>
      </w:pPr>
    </w:p>
    <w:p w14:paraId="04B3703A" w14:textId="77777777" w:rsidR="00670E20" w:rsidRDefault="002E3AA5">
      <w:pPr>
        <w:pStyle w:val="Heading1"/>
      </w:pPr>
      <w:r>
        <w:lastRenderedPageBreak/>
        <w:t>3. Aim and Objectives of the Study</w:t>
      </w:r>
    </w:p>
    <w:p w14:paraId="72E5052F" w14:textId="77777777" w:rsidR="00670E20" w:rsidRDefault="002E3AA5">
      <w:pPr>
        <w:pStyle w:val="Heading2"/>
      </w:pPr>
      <w:r>
        <w:t>Aim</w:t>
      </w:r>
    </w:p>
    <w:p w14:paraId="5704CB0B" w14:textId="77777777" w:rsidR="00670E20" w:rsidRDefault="002E3AA5">
      <w:pPr>
        <w:spacing w:after="240" w:line="360" w:lineRule="auto"/>
        <w:jc w:val="both"/>
      </w:pPr>
      <w:r>
        <w:t>The aim of this study is to analyze antibiotic resistance patterns in Nigeria using a Bayesian hierarchical modeling approach, accounting for variability across epidemiological subgroups and quantifying uncertainty in resistance estimates.</w:t>
      </w:r>
    </w:p>
    <w:p w14:paraId="6DEE3F48" w14:textId="1F07E72C" w:rsidR="00670E20" w:rsidRDefault="002E3AA5">
      <w:pPr>
        <w:pStyle w:val="Heading2"/>
      </w:pPr>
      <w:r>
        <w:t>Objectives</w:t>
      </w:r>
      <w:r w:rsidR="00E472C4">
        <w:t xml:space="preserve"> are to:</w:t>
      </w:r>
    </w:p>
    <w:p w14:paraId="67FEA8A3" w14:textId="5A7FB2F7" w:rsidR="00670E20" w:rsidRDefault="002E3AA5">
      <w:pPr>
        <w:spacing w:after="120" w:line="360" w:lineRule="auto"/>
        <w:jc w:val="both"/>
      </w:pPr>
      <w:r>
        <w:t xml:space="preserve">1. </w:t>
      </w:r>
      <w:r w:rsidR="00E472C4">
        <w:t>Present the</w:t>
      </w:r>
      <w:r>
        <w:t xml:space="preserve"> antibiotic resistance patterns across specimen types, age groups, and multidrug resistance status in </w:t>
      </w:r>
      <w:r w:rsidR="00E472C4">
        <w:t>Nigeria.</w:t>
      </w:r>
    </w:p>
    <w:p w14:paraId="2F985C3E" w14:textId="7D3AB6BF" w:rsidR="00670E20" w:rsidRDefault="002E3AA5">
      <w:pPr>
        <w:spacing w:after="120" w:line="360" w:lineRule="auto"/>
        <w:jc w:val="both"/>
      </w:pPr>
      <w:r>
        <w:t xml:space="preserve">2. </w:t>
      </w:r>
      <w:r w:rsidR="00E472C4">
        <w:t>A</w:t>
      </w:r>
      <w:r>
        <w:t>pply a Bayesian hierarchical logistic regression model to antibiotic resistance data that accounts for random effects across epidemiological groupings.</w:t>
      </w:r>
    </w:p>
    <w:p w14:paraId="38A2C1A0" w14:textId="1705AC91" w:rsidR="00670E20" w:rsidRDefault="002E3AA5" w:rsidP="00E472C4">
      <w:pPr>
        <w:spacing w:after="120" w:line="360" w:lineRule="auto"/>
        <w:jc w:val="both"/>
      </w:pPr>
      <w:r>
        <w:t xml:space="preserve">3. </w:t>
      </w:r>
      <w:r w:rsidR="00E472C4">
        <w:t>E</w:t>
      </w:r>
      <w:r>
        <w:t>stimate posterior distributions of antibiotic resistance prevalence and quantify between-group variability using Bayesian inference</w:t>
      </w:r>
      <w:r w:rsidR="00E472C4">
        <w:t xml:space="preserve"> and a</w:t>
      </w:r>
      <w:r>
        <w:t>ssess uncertainty in resistance estimates using 95% credible intervals and posterior predictive checks.</w:t>
      </w:r>
    </w:p>
    <w:p w14:paraId="56EADA90" w14:textId="77777777" w:rsidR="00670E20" w:rsidRDefault="002E3AA5">
      <w:pPr>
        <w:pStyle w:val="Heading1"/>
      </w:pPr>
      <w:r>
        <w:t>4. Research Questions</w:t>
      </w:r>
    </w:p>
    <w:p w14:paraId="0ACFA314" w14:textId="77777777" w:rsidR="00670E20" w:rsidRDefault="002E3AA5">
      <w:pPr>
        <w:spacing w:after="120" w:line="360" w:lineRule="auto"/>
        <w:jc w:val="both"/>
      </w:pPr>
      <w:r>
        <w:t>1. What is the prevalence of resistance to commonly prescribed antibiotics (amoxicillin, ciprofloxacin, meropenem, vancomycin, colistin) across different specimen types and age groups in Nigeria?</w:t>
      </w:r>
    </w:p>
    <w:p w14:paraId="5AAFE4CB" w14:textId="77777777" w:rsidR="00670E20" w:rsidRDefault="002E3AA5">
      <w:pPr>
        <w:spacing w:after="120" w:line="360" w:lineRule="auto"/>
        <w:jc w:val="both"/>
      </w:pPr>
      <w:r>
        <w:t>2. How does multidrug resistance status and resistance gene detection influence the probability of antibiotic resistance?</w:t>
      </w:r>
    </w:p>
    <w:p w14:paraId="28E9383C" w14:textId="77777777" w:rsidR="00670E20" w:rsidRDefault="002E3AA5">
      <w:pPr>
        <w:spacing w:after="240" w:line="360" w:lineRule="auto"/>
        <w:jc w:val="both"/>
      </w:pPr>
      <w:r>
        <w:t>3. What is the level of between-group variability and uncertainty in antibiotic resistance estimates across epidemiological subgroups?</w:t>
      </w:r>
    </w:p>
    <w:p w14:paraId="29DBD909" w14:textId="77777777" w:rsidR="00E472C4" w:rsidRDefault="00E472C4">
      <w:pPr>
        <w:spacing w:after="240" w:line="360" w:lineRule="auto"/>
        <w:jc w:val="both"/>
      </w:pPr>
    </w:p>
    <w:p w14:paraId="1E3F101D" w14:textId="77777777" w:rsidR="00E472C4" w:rsidRDefault="00E472C4">
      <w:pPr>
        <w:spacing w:after="240" w:line="360" w:lineRule="auto"/>
        <w:jc w:val="both"/>
      </w:pPr>
    </w:p>
    <w:p w14:paraId="396DCD54" w14:textId="77777777" w:rsidR="00E472C4" w:rsidRDefault="00E472C4">
      <w:pPr>
        <w:spacing w:after="240" w:line="360" w:lineRule="auto"/>
        <w:jc w:val="both"/>
      </w:pPr>
    </w:p>
    <w:p w14:paraId="51F7B737" w14:textId="77777777" w:rsidR="00E472C4" w:rsidRDefault="00E472C4">
      <w:pPr>
        <w:spacing w:after="240" w:line="360" w:lineRule="auto"/>
        <w:jc w:val="both"/>
      </w:pPr>
    </w:p>
    <w:p w14:paraId="5C9C7425" w14:textId="77777777" w:rsidR="00E472C4" w:rsidRDefault="00E472C4">
      <w:pPr>
        <w:spacing w:after="240" w:line="360" w:lineRule="auto"/>
        <w:jc w:val="both"/>
      </w:pPr>
    </w:p>
    <w:p w14:paraId="161F0C46" w14:textId="4FB9F6F7" w:rsidR="00670E20" w:rsidRDefault="002E3AA5">
      <w:pPr>
        <w:pStyle w:val="Heading1"/>
      </w:pPr>
      <w:r>
        <w:lastRenderedPageBreak/>
        <w:t>5. Data Source and Description</w:t>
      </w:r>
    </w:p>
    <w:p w14:paraId="40268EEE" w14:textId="77777777" w:rsidR="00670E20" w:rsidRDefault="002E3AA5">
      <w:pPr>
        <w:spacing w:after="240" w:line="360" w:lineRule="auto"/>
        <w:jc w:val="both"/>
      </w:pPr>
      <w:r>
        <w:t>The study will use secondary data obtained from a publicly available antimicrobial resistance surveillance database provided by the Nigeria Centre for Disease Control and Prevention (NCDC). Since 2017, Nigeria has participated in the WHO Global Antimicrobial Resistance Surveillance System (GLASS), with surveillance data collected through a network of national reference laboratories and sentinel surveillance sites across the country (NCDC, 2018). The surveillance system follows standardized protocols for specimen collection, processing, and antimicrobial susceptibility testing in accordance with WHO guidelines.</w:t>
      </w:r>
    </w:p>
    <w:p w14:paraId="22460E77" w14:textId="77777777" w:rsidR="00670E20" w:rsidRDefault="002E3AA5">
      <w:pPr>
        <w:pStyle w:val="Heading2"/>
      </w:pPr>
      <w:r>
        <w:t>Dataset Variables</w:t>
      </w:r>
    </w:p>
    <w:p w14:paraId="74A5A213" w14:textId="77777777" w:rsidR="00670E20" w:rsidRDefault="002E3AA5">
      <w:pPr>
        <w:spacing w:after="120" w:line="360" w:lineRule="auto"/>
        <w:jc w:val="both"/>
      </w:pPr>
      <w:r>
        <w:t>The dataset contains the following key variables:</w:t>
      </w:r>
    </w:p>
    <w:p w14:paraId="1147B19C" w14:textId="77777777" w:rsidR="00670E20" w:rsidRDefault="002E3AA5">
      <w:pPr>
        <w:spacing w:after="120" w:line="360" w:lineRule="auto"/>
        <w:jc w:val="both"/>
      </w:pPr>
      <w:r>
        <w:t>• Patient characteristics: Patient ID, Age, Gender, Age Group (Child, Teenager, Adult, Senior)</w:t>
      </w:r>
    </w:p>
    <w:p w14:paraId="06756725" w14:textId="77777777" w:rsidR="00670E20" w:rsidRDefault="002E3AA5">
      <w:pPr>
        <w:spacing w:after="120" w:line="360" w:lineRule="auto"/>
        <w:jc w:val="both"/>
      </w:pPr>
      <w:r>
        <w:t>• Clinical variables: Specimen Type (Blood, Sputum, Urine, Stool, Wound swab), Test Method, Outcome (Recovered, Deceased, ICU)</w:t>
      </w:r>
    </w:p>
    <w:p w14:paraId="6102B621" w14:textId="77777777" w:rsidR="00670E20" w:rsidRDefault="002E3AA5">
      <w:pPr>
        <w:spacing w:after="120" w:line="360" w:lineRule="auto"/>
        <w:jc w:val="both"/>
      </w:pPr>
      <w:r>
        <w:t>• Antibiotic resistance data: Resistance status for Amoxicillin, Ciprofloxacin, Meropenem, Vancomycin, and Colistin (coded as Resistant, Intermediate, or Sensitive)</w:t>
      </w:r>
    </w:p>
    <w:p w14:paraId="4011F8F7" w14:textId="77777777" w:rsidR="00670E20" w:rsidRDefault="002E3AA5">
      <w:pPr>
        <w:spacing w:after="120" w:line="360" w:lineRule="auto"/>
        <w:jc w:val="both"/>
      </w:pPr>
      <w:r>
        <w:t>• Resistance characteristics: Resistance Genes (e.g., KPC, OXA-48, VIM, NDM-1), Resistance Score, MDR Status (Yes/No), Gene Detected (Yes/No)</w:t>
      </w:r>
    </w:p>
    <w:p w14:paraId="0C88E191" w14:textId="77777777" w:rsidR="00670E20" w:rsidRDefault="002E3AA5">
      <w:pPr>
        <w:spacing w:after="240" w:line="360" w:lineRule="auto"/>
        <w:jc w:val="both"/>
      </w:pPr>
      <w:r>
        <w:t>For the analysis, antibiotic resistance will be recoded as a binary outcome variable, where resistant and intermediate isolates are coded as 1 (resistant) and sensitive isolates as 0 (non-resistant), following standard practice in antimicrobial resistance surveillance (NCDC, 2018).</w:t>
      </w:r>
    </w:p>
    <w:p w14:paraId="74628FF3" w14:textId="77777777" w:rsidR="00E472C4" w:rsidRDefault="00E472C4">
      <w:pPr>
        <w:spacing w:after="240" w:line="360" w:lineRule="auto"/>
        <w:jc w:val="both"/>
      </w:pPr>
    </w:p>
    <w:p w14:paraId="2898BFDD" w14:textId="77777777" w:rsidR="00E472C4" w:rsidRDefault="00E472C4">
      <w:pPr>
        <w:spacing w:after="240" w:line="360" w:lineRule="auto"/>
        <w:jc w:val="both"/>
      </w:pPr>
    </w:p>
    <w:p w14:paraId="6F0ABFE5" w14:textId="77777777" w:rsidR="00E472C4" w:rsidRDefault="00E472C4">
      <w:pPr>
        <w:spacing w:after="240" w:line="360" w:lineRule="auto"/>
        <w:jc w:val="both"/>
      </w:pPr>
    </w:p>
    <w:p w14:paraId="1FE80279" w14:textId="77777777" w:rsidR="00E472C4" w:rsidRDefault="00E472C4">
      <w:pPr>
        <w:spacing w:after="240" w:line="360" w:lineRule="auto"/>
        <w:jc w:val="both"/>
      </w:pPr>
    </w:p>
    <w:p w14:paraId="61275DBD" w14:textId="77777777" w:rsidR="00E472C4" w:rsidRDefault="00E472C4">
      <w:pPr>
        <w:spacing w:after="240" w:line="360" w:lineRule="auto"/>
        <w:jc w:val="both"/>
      </w:pPr>
    </w:p>
    <w:p w14:paraId="7A42363D" w14:textId="77777777" w:rsidR="00670E20" w:rsidRDefault="002E3AA5">
      <w:pPr>
        <w:pStyle w:val="Heading1"/>
      </w:pPr>
      <w:r>
        <w:lastRenderedPageBreak/>
        <w:t>6. Methodology</w:t>
      </w:r>
    </w:p>
    <w:p w14:paraId="5927B5B3" w14:textId="77777777" w:rsidR="00670E20" w:rsidRDefault="002E3AA5">
      <w:pPr>
        <w:pStyle w:val="Heading2"/>
      </w:pPr>
      <w:r>
        <w:t>Study Design</w:t>
      </w:r>
    </w:p>
    <w:p w14:paraId="090B6F39" w14:textId="3E441126" w:rsidR="00E472C4" w:rsidRDefault="002E3AA5">
      <w:pPr>
        <w:spacing w:after="240" w:line="360" w:lineRule="auto"/>
        <w:jc w:val="both"/>
      </w:pPr>
      <w:r>
        <w:t xml:space="preserve">The study will adopt a quantitative research design based on secondary data analysis. Data cleaning and preparation will be conducted using Microsoft Excel and Python, including </w:t>
      </w:r>
      <w:proofErr w:type="gramStart"/>
      <w:r w:rsidR="00E472C4">
        <w:t>recoding</w:t>
      </w:r>
      <w:proofErr w:type="gramEnd"/>
      <w:r>
        <w:t xml:space="preserve"> of variables, handling of missing values, and </w:t>
      </w:r>
      <w:proofErr w:type="gramStart"/>
      <w:r>
        <w:t>creation</w:t>
      </w:r>
      <w:proofErr w:type="gramEnd"/>
      <w:r>
        <w:t xml:space="preserve"> of derived variables where necessary.</w:t>
      </w:r>
    </w:p>
    <w:p w14:paraId="3877A91D" w14:textId="77777777" w:rsidR="00670E20" w:rsidRDefault="002E3AA5">
      <w:pPr>
        <w:pStyle w:val="Heading2"/>
      </w:pPr>
      <w:r>
        <w:t>Data Preparation</w:t>
      </w:r>
    </w:p>
    <w:p w14:paraId="619F90EE" w14:textId="77777777" w:rsidR="00670E20" w:rsidRDefault="002E3AA5">
      <w:pPr>
        <w:spacing w:after="240" w:line="360" w:lineRule="auto"/>
        <w:jc w:val="both"/>
      </w:pPr>
      <w:r>
        <w:t xml:space="preserve">Antibiotic resistance outcome will be treated as a binary variable for each antibiotic </w:t>
      </w:r>
      <w:proofErr w:type="gramStart"/>
      <w:r>
        <w:t>tested</w:t>
      </w:r>
      <w:proofErr w:type="gramEnd"/>
      <w:r>
        <w:t>. Resistant and intermediate isolates will be coded as 1 (resistant) and sensitive isolates as 0 (non-resistant), consistent with Clinical and Laboratory Standards Institute (CLSI) guidelines for reporting antimicrobial susceptibility data (NCDC, 2018). Descriptive statistics will be used to summarize resistance rates, patient demographics, and clinical characteristics across the dataset.</w:t>
      </w:r>
    </w:p>
    <w:p w14:paraId="4187DAAB" w14:textId="77777777" w:rsidR="00670E20" w:rsidRDefault="002E3AA5">
      <w:pPr>
        <w:pStyle w:val="Heading2"/>
      </w:pPr>
      <w:r>
        <w:t>Statistical Model</w:t>
      </w:r>
    </w:p>
    <w:p w14:paraId="13DCB4A8" w14:textId="4B6CAB5B" w:rsidR="00670E20" w:rsidRDefault="002E3AA5">
      <w:pPr>
        <w:spacing w:after="240" w:line="360" w:lineRule="auto"/>
        <w:jc w:val="both"/>
      </w:pPr>
      <w:r>
        <w:t xml:space="preserve">A Bayesian hierarchical logistic regression model will be applied to analyze antibiotic resistance patterns (Gelman </w:t>
      </w:r>
      <w:r w:rsidR="00E472C4">
        <w:t>and</w:t>
      </w:r>
      <w:r>
        <w:t xml:space="preserve"> Hill, 2006). This modeling approach has been successfully used in previous antimicrobial resistance studies to account for clustering in surveillance data and to quantify uncertainty in resistance estimates (Liang </w:t>
      </w:r>
      <w:r w:rsidRPr="00E472C4">
        <w:rPr>
          <w:i/>
          <w:iCs/>
        </w:rPr>
        <w:t>et al</w:t>
      </w:r>
      <w:r>
        <w:t xml:space="preserve">., 2020; Cherny </w:t>
      </w:r>
      <w:r w:rsidRPr="00E472C4">
        <w:rPr>
          <w:i/>
          <w:iCs/>
        </w:rPr>
        <w:t>et al</w:t>
      </w:r>
      <w:r>
        <w:t>., 2021). The model structure will be specified as follows:</w:t>
      </w:r>
    </w:p>
    <w:p w14:paraId="150B3F0A" w14:textId="5FDE1188" w:rsidR="00670E20" w:rsidRDefault="002E3AA5">
      <w:pPr>
        <w:spacing w:after="240" w:line="360" w:lineRule="auto"/>
        <w:jc w:val="both"/>
      </w:pPr>
      <w:r>
        <w:t xml:space="preserve">Level 1 (Observation level): The resistance outcome for patient </w:t>
      </w:r>
      <w:proofErr w:type="spellStart"/>
      <w:r>
        <w:t>i</w:t>
      </w:r>
      <w:proofErr w:type="spellEnd"/>
      <w:r>
        <w:t xml:space="preserve"> in group j, Yij, is assumed to follow a Bernoulli distribution with probability pij. The probability of resistance is modeled using a logit link function that relates the linear predictor to the probability scale:</w:t>
      </w:r>
    </w:p>
    <w:p w14:paraId="720175A5" w14:textId="77777777" w:rsidR="00A71707" w:rsidRDefault="002E3AA5">
      <w:pPr>
        <w:spacing w:after="240" w:line="360" w:lineRule="auto"/>
        <w:jc w:val="both"/>
      </w:pPr>
      <w:r>
        <w:t>Yij ~ Bernoulli(pij)</w:t>
      </w:r>
    </w:p>
    <w:p w14:paraId="082C2ACC" w14:textId="0016492A" w:rsidR="00A71707" w:rsidRDefault="00A71707">
      <w:pPr>
        <w:spacing w:after="240" w:line="360" w:lineRule="auto"/>
        <w:jc w:val="both"/>
      </w:pPr>
      <m:oMathPara>
        <m:oMath>
          <m:r>
            <w:rPr>
              <w:rFonts w:ascii="Cambria Math" w:hAnsi="Cambria Math"/>
            </w:rPr>
            <m:t>logit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ij</m:t>
                  </m:r>
                </m:sub>
              </m:sSub>
            </m:e>
          </m:d>
          <m:r>
            <w:rPr>
              <w:rFonts w:ascii="Cambria Math" w:hAnsi="Cambria Math"/>
            </w:rPr>
            <m:t>=α+</m:t>
          </m:r>
          <m:sSub>
            <m:sSubPr>
              <m:ctrlPr>
                <w:rPr>
                  <w:rFonts w:ascii="Cambria Math" w:hAnsi="Cambria Math"/>
                  <w:i/>
                </w:rPr>
              </m:ctrlPr>
            </m:sSubPr>
            <m:e>
              <m:r>
                <w:rPr>
                  <w:rFonts w:ascii="Cambria Math" w:hAnsi="Cambria Math"/>
                </w:rPr>
                <m:t>β</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2ij</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j</m:t>
              </m:r>
            </m:sub>
          </m:sSub>
        </m:oMath>
      </m:oMathPara>
    </w:p>
    <w:p w14:paraId="2B4E4357" w14:textId="7BDDCB1B" w:rsidR="00670E20" w:rsidRDefault="002E3AA5">
      <w:pPr>
        <w:spacing w:after="240" w:line="360" w:lineRule="auto"/>
        <w:jc w:val="both"/>
      </w:pPr>
      <w:r>
        <w:t>where α is the intercept, β₁ and β₂ are regression coefficients for fixed effects (MDR status and resistance gene detection), and uj represents group-specific random effects.</w:t>
      </w:r>
    </w:p>
    <w:p w14:paraId="747A20E4" w14:textId="48915FE1" w:rsidR="00670E20" w:rsidRDefault="002E3AA5">
      <w:pPr>
        <w:spacing w:after="240" w:line="360" w:lineRule="auto"/>
        <w:jc w:val="both"/>
      </w:pPr>
      <w:r>
        <w:t xml:space="preserve">Level 2 (Group level): Random effects will be introduced to account for variability across epidemiological groupings such as specimen type and age group (Zhuang </w:t>
      </w:r>
      <w:r w:rsidR="00E472C4">
        <w:t>and</w:t>
      </w:r>
      <w:r>
        <w:t xml:space="preserve"> Cressie, 2014). These random effects are assumed to follow a normal distribution:</w:t>
      </w:r>
    </w:p>
    <w:p w14:paraId="0C4CC531" w14:textId="52A3F83E" w:rsidR="00670E20" w:rsidRDefault="002E3AA5">
      <w:pPr>
        <w:spacing w:after="240" w:line="360" w:lineRule="auto"/>
        <w:jc w:val="both"/>
      </w:pPr>
      <w:r>
        <w:lastRenderedPageBreak/>
        <w:t xml:space="preserve">uj ~ </w:t>
      </w:r>
      <w:r w:rsidR="00E472C4">
        <w:t>Normal (</w:t>
      </w:r>
      <w:r>
        <w:t>0, σ²)</w:t>
      </w:r>
    </w:p>
    <w:p w14:paraId="78358DBD" w14:textId="7777335E" w:rsidR="00670E20" w:rsidRDefault="002E3AA5">
      <w:pPr>
        <w:spacing w:after="240" w:line="360" w:lineRule="auto"/>
        <w:jc w:val="both"/>
      </w:pPr>
      <w:r>
        <w:t>where σ²u represents the between-group variance to be estimated from the data.</w:t>
      </w:r>
    </w:p>
    <w:p w14:paraId="398B7A8E" w14:textId="77777777" w:rsidR="00670E20" w:rsidRDefault="002E3AA5">
      <w:pPr>
        <w:pStyle w:val="Heading2"/>
      </w:pPr>
      <w:r>
        <w:t>Prior Distributions</w:t>
      </w:r>
    </w:p>
    <w:p w14:paraId="36E96CD5" w14:textId="77777777" w:rsidR="00670E20" w:rsidRDefault="002E3AA5">
      <w:pPr>
        <w:spacing w:after="240" w:line="360" w:lineRule="auto"/>
        <w:jc w:val="both"/>
      </w:pPr>
      <w:r>
        <w:t xml:space="preserve">Weakly informative prior distributions will be assigned to model parameters to allow the data to primarily drive the inference while maintaining computational stability (McElreath, 2020). These prior specifications follow recommended practices for Bayesian logistic regression in epidemiological applications (Gelman </w:t>
      </w:r>
      <w:r w:rsidRPr="00E472C4">
        <w:rPr>
          <w:i/>
          <w:iCs/>
        </w:rPr>
        <w:t>et al</w:t>
      </w:r>
      <w:r>
        <w:t>., 2008). Specifically:</w:t>
      </w:r>
    </w:p>
    <w:p w14:paraId="3400F9A7" w14:textId="639138D3" w:rsidR="00670E20" w:rsidRDefault="002E3AA5">
      <w:pPr>
        <w:spacing w:after="120" w:line="360" w:lineRule="auto"/>
        <w:jc w:val="both"/>
      </w:pPr>
      <w:r>
        <w:t xml:space="preserve">• Regression coefficients (fixed effects) will be assigned normal priors: β ~ </w:t>
      </w:r>
      <w:r w:rsidR="00E472C4">
        <w:t>Normal (</w:t>
      </w:r>
      <w:r>
        <w:t xml:space="preserve">0, 2.5), which are weakly informative on the logit scale and appropriate for logistic regression (Gelman </w:t>
      </w:r>
      <w:r w:rsidRPr="00E472C4">
        <w:rPr>
          <w:i/>
          <w:iCs/>
        </w:rPr>
        <w:t>et al</w:t>
      </w:r>
      <w:r>
        <w:t>., 2008).</w:t>
      </w:r>
    </w:p>
    <w:p w14:paraId="24764014" w14:textId="674C4B13" w:rsidR="00670E20" w:rsidRDefault="002E3AA5">
      <w:pPr>
        <w:spacing w:after="240" w:line="360" w:lineRule="auto"/>
        <w:jc w:val="both"/>
      </w:pPr>
      <w:r>
        <w:t>• Random effect standard deviations will be assigned half-Cauchy priors: σu ~ Half-</w:t>
      </w:r>
      <w:r w:rsidR="00E472C4">
        <w:t>Cauchy (</w:t>
      </w:r>
      <w:r>
        <w:t>0, 2.5), which are commonly used weakly informative priors for variance parameters in hierarchical models (Gelman, 2006).</w:t>
      </w:r>
    </w:p>
    <w:p w14:paraId="678512E2" w14:textId="77777777" w:rsidR="00670E20" w:rsidRDefault="002E3AA5">
      <w:pPr>
        <w:pStyle w:val="Heading2"/>
      </w:pPr>
      <w:r>
        <w:t>Posterior Inference and Model Assessment</w:t>
      </w:r>
    </w:p>
    <w:p w14:paraId="77325D36" w14:textId="6FF11EAB" w:rsidR="00670E20" w:rsidRDefault="002E3AA5">
      <w:pPr>
        <w:spacing w:after="240" w:line="360" w:lineRule="auto"/>
        <w:jc w:val="both"/>
      </w:pPr>
      <w:r>
        <w:t xml:space="preserve">Posterior distributions will be obtained using Markov Chain Monte Carlo (MCMC) sampling methods, specifically the No-U-Turn Sampler (NUTS), an efficient variant of Hamiltonian Monte Carlo (Hoffman </w:t>
      </w:r>
      <w:r w:rsidR="00E472C4">
        <w:t>and</w:t>
      </w:r>
      <w:r>
        <w:t xml:space="preserve"> Gelman, 2014). The analysis will be implemented using PyMC version 5.0 or higher, a modern probabilistic programming library in Python that provides robust tools for Bayesian inference (Abril-Pla </w:t>
      </w:r>
      <w:r w:rsidRPr="00E472C4">
        <w:rPr>
          <w:i/>
          <w:iCs/>
        </w:rPr>
        <w:t>et al</w:t>
      </w:r>
      <w:r>
        <w:t>., 2023).</w:t>
      </w:r>
    </w:p>
    <w:p w14:paraId="622EDD25" w14:textId="2CE1DDE3" w:rsidR="00670E20" w:rsidRDefault="002E3AA5">
      <w:pPr>
        <w:spacing w:after="240" w:line="360" w:lineRule="auto"/>
        <w:jc w:val="both"/>
      </w:pPr>
      <w:r>
        <w:t xml:space="preserve">Model convergence will be assessed using standard diagnostic measures including trace plots, R-hat statistics (target value &lt; 1.01 indicating convergence), and effective sample size (Gelman </w:t>
      </w:r>
      <w:r w:rsidR="00E472C4">
        <w:t>and</w:t>
      </w:r>
      <w:r>
        <w:t xml:space="preserve"> Rubin, 1992; Vehtari </w:t>
      </w:r>
      <w:r w:rsidRPr="00E472C4">
        <w:rPr>
          <w:i/>
          <w:iCs/>
        </w:rPr>
        <w:t>et al</w:t>
      </w:r>
      <w:r>
        <w:t xml:space="preserve">., 2021). Results will be summarized using posterior means, posterior standard deviations, and 95% credible intervals to quantify uncertainty in resistance estimates. Posterior predictive checks will be conducted to assess model fit by comparing observed data patterns with data simulated from the posterior predictive distribution (Gelman </w:t>
      </w:r>
      <w:r w:rsidRPr="00E472C4">
        <w:rPr>
          <w:i/>
          <w:iCs/>
        </w:rPr>
        <w:t>et al</w:t>
      </w:r>
      <w:r>
        <w:t>., 2013).</w:t>
      </w:r>
    </w:p>
    <w:p w14:paraId="4F4DDB9F" w14:textId="77777777" w:rsidR="00E472C4" w:rsidRDefault="00E472C4">
      <w:pPr>
        <w:spacing w:after="240" w:line="360" w:lineRule="auto"/>
        <w:jc w:val="both"/>
      </w:pPr>
    </w:p>
    <w:p w14:paraId="0DB26916" w14:textId="77777777" w:rsidR="00E472C4" w:rsidRDefault="00E472C4">
      <w:pPr>
        <w:spacing w:after="240" w:line="360" w:lineRule="auto"/>
        <w:jc w:val="both"/>
      </w:pPr>
    </w:p>
    <w:p w14:paraId="3AE6D073" w14:textId="77777777" w:rsidR="00670E20" w:rsidRDefault="002E3AA5">
      <w:pPr>
        <w:pStyle w:val="Heading2"/>
      </w:pPr>
      <w:r>
        <w:lastRenderedPageBreak/>
        <w:t>Software and Tools</w:t>
      </w:r>
    </w:p>
    <w:p w14:paraId="43D796DB" w14:textId="77777777" w:rsidR="00670E20" w:rsidRDefault="002E3AA5">
      <w:pPr>
        <w:spacing w:after="120" w:line="360" w:lineRule="auto"/>
        <w:jc w:val="both"/>
      </w:pPr>
      <w:r>
        <w:t>All statistical analyses will be conducted using:</w:t>
      </w:r>
    </w:p>
    <w:p w14:paraId="40C3298C" w14:textId="77777777" w:rsidR="00670E20" w:rsidRDefault="002E3AA5">
      <w:pPr>
        <w:spacing w:after="120" w:line="360" w:lineRule="auto"/>
        <w:jc w:val="both"/>
      </w:pPr>
      <w:r>
        <w:t>• Microsoft Excel for initial data cleaning and exploration</w:t>
      </w:r>
    </w:p>
    <w:p w14:paraId="1A1DBF78" w14:textId="77777777" w:rsidR="00670E20" w:rsidRDefault="002E3AA5">
      <w:pPr>
        <w:spacing w:after="120" w:line="360" w:lineRule="auto"/>
        <w:jc w:val="both"/>
      </w:pPr>
      <w:r>
        <w:t>• Python (version 3.8 or higher) with the following packages:</w:t>
      </w:r>
    </w:p>
    <w:p w14:paraId="02472FBF" w14:textId="77777777" w:rsidR="00670E20" w:rsidRDefault="002E3AA5">
      <w:pPr>
        <w:spacing w:after="120" w:line="360" w:lineRule="auto"/>
        <w:ind w:left="720"/>
        <w:jc w:val="both"/>
      </w:pPr>
      <w:r>
        <w:t xml:space="preserve">○ PyMC (version 5.0 or higher) for Bayesian hierarchical modeling (Abril-Pla </w:t>
      </w:r>
      <w:r w:rsidRPr="00E472C4">
        <w:rPr>
          <w:i/>
          <w:iCs/>
        </w:rPr>
        <w:t>et al</w:t>
      </w:r>
      <w:r>
        <w:t>., 2023)</w:t>
      </w:r>
    </w:p>
    <w:p w14:paraId="7FFF5AFF" w14:textId="77777777" w:rsidR="00670E20" w:rsidRDefault="002E3AA5">
      <w:pPr>
        <w:spacing w:after="120" w:line="360" w:lineRule="auto"/>
        <w:ind w:left="720"/>
        <w:jc w:val="both"/>
      </w:pPr>
      <w:r>
        <w:t xml:space="preserve">○ </w:t>
      </w:r>
      <w:proofErr w:type="spellStart"/>
      <w:r>
        <w:t>ArviZ</w:t>
      </w:r>
      <w:proofErr w:type="spellEnd"/>
      <w:r>
        <w:t xml:space="preserve"> for model diagnostics and visualization (Kumar </w:t>
      </w:r>
      <w:r w:rsidRPr="00E472C4">
        <w:rPr>
          <w:i/>
          <w:iCs/>
        </w:rPr>
        <w:t>et al</w:t>
      </w:r>
      <w:r>
        <w:t>., 2019)</w:t>
      </w:r>
    </w:p>
    <w:p w14:paraId="0252D3B7" w14:textId="77777777" w:rsidR="00670E20" w:rsidRDefault="002E3AA5">
      <w:pPr>
        <w:spacing w:after="120" w:line="360" w:lineRule="auto"/>
        <w:ind w:left="720"/>
        <w:jc w:val="both"/>
      </w:pPr>
      <w:r>
        <w:t>○ Pandas for data manipulation (McKinney, 2010)</w:t>
      </w:r>
    </w:p>
    <w:p w14:paraId="3E90CD40" w14:textId="77777777" w:rsidR="00670E20" w:rsidRDefault="002E3AA5">
      <w:pPr>
        <w:spacing w:after="120" w:line="360" w:lineRule="auto"/>
        <w:ind w:left="720"/>
        <w:jc w:val="both"/>
      </w:pPr>
      <w:r>
        <w:t>○ Matplotlib and Seaborn for data visualization (Hunter, 2007; Waskom, 2021)</w:t>
      </w:r>
    </w:p>
    <w:p w14:paraId="541EEBD0" w14:textId="77777777" w:rsidR="00670E20" w:rsidRDefault="002E3AA5">
      <w:pPr>
        <w:spacing w:after="240" w:line="360" w:lineRule="auto"/>
        <w:jc w:val="both"/>
      </w:pPr>
      <w:r>
        <w:t>• Microsoft Word for documentation and report writing</w:t>
      </w:r>
    </w:p>
    <w:p w14:paraId="41497A0E" w14:textId="77777777" w:rsidR="00670E20" w:rsidRDefault="002E3AA5">
      <w:pPr>
        <w:pStyle w:val="Heading1"/>
      </w:pPr>
      <w:r>
        <w:t>7. Expected Outcomes</w:t>
      </w:r>
    </w:p>
    <w:p w14:paraId="3ADC4FB7" w14:textId="77777777" w:rsidR="00670E20" w:rsidRDefault="002E3AA5">
      <w:pPr>
        <w:spacing w:after="120" w:line="360" w:lineRule="auto"/>
        <w:jc w:val="both"/>
      </w:pPr>
      <w:r>
        <w:t>The study is expected to:</w:t>
      </w:r>
    </w:p>
    <w:p w14:paraId="30EAF726" w14:textId="77777777" w:rsidR="00670E20" w:rsidRDefault="002E3AA5">
      <w:pPr>
        <w:spacing w:after="120" w:line="360" w:lineRule="auto"/>
        <w:jc w:val="both"/>
      </w:pPr>
      <w:r>
        <w:t>• Provide probabilistic estimates of antibiotic resistance prevalence with appropriately quantified uncertainty across different specimen types, age groups, and MDR status in Nigeria, addressing a key gap identified in Nigeria's National Action Plan on AMR 2.0 (NCDC, 2024a).</w:t>
      </w:r>
    </w:p>
    <w:p w14:paraId="41183436" w14:textId="77777777" w:rsidR="00670E20" w:rsidRDefault="002E3AA5">
      <w:pPr>
        <w:spacing w:after="120" w:line="360" w:lineRule="auto"/>
        <w:jc w:val="both"/>
      </w:pPr>
      <w:r>
        <w:t>• Identify significant differences in resistance patterns across epidemiological subgroups and quantify the magnitude of between-group variability, providing evidence to inform targeted antimicrobial stewardship interventions.</w:t>
      </w:r>
    </w:p>
    <w:p w14:paraId="5897D96D" w14:textId="77777777" w:rsidR="00670E20" w:rsidRDefault="002E3AA5">
      <w:pPr>
        <w:spacing w:after="120" w:line="360" w:lineRule="auto"/>
        <w:jc w:val="both"/>
      </w:pPr>
      <w:r>
        <w:t>• Demonstrate the practical applicability of Bayesian hierarchical models to public health surveillance data in the Nigerian context, contributing to the country's capacity for advanced statistical analysis of AMR data.</w:t>
      </w:r>
    </w:p>
    <w:p w14:paraId="547D1452" w14:textId="77777777" w:rsidR="00670E20" w:rsidRDefault="002E3AA5">
      <w:pPr>
        <w:spacing w:after="240" w:line="360" w:lineRule="auto"/>
        <w:jc w:val="both"/>
      </w:pPr>
      <w:r>
        <w:t>• Provide evidence-based insights that can inform antimicrobial stewardship programs, clinical treatment guidelines, and policy decisions aimed at combating antimicrobial resistance in Nigeria.</w:t>
      </w:r>
    </w:p>
    <w:p w14:paraId="78616766" w14:textId="77777777" w:rsidR="00E472C4" w:rsidRDefault="00E472C4">
      <w:pPr>
        <w:spacing w:after="240" w:line="360" w:lineRule="auto"/>
        <w:jc w:val="both"/>
      </w:pPr>
    </w:p>
    <w:p w14:paraId="6A4E4109" w14:textId="77777777" w:rsidR="00E472C4" w:rsidRDefault="00E472C4">
      <w:pPr>
        <w:spacing w:after="240" w:line="360" w:lineRule="auto"/>
        <w:jc w:val="both"/>
      </w:pPr>
    </w:p>
    <w:p w14:paraId="4BF97D23" w14:textId="77777777" w:rsidR="00E472C4" w:rsidRDefault="00E472C4">
      <w:pPr>
        <w:spacing w:after="240" w:line="360" w:lineRule="auto"/>
        <w:jc w:val="both"/>
      </w:pPr>
    </w:p>
    <w:p w14:paraId="5D8172F1" w14:textId="77777777" w:rsidR="00670E20" w:rsidRDefault="002E3AA5">
      <w:pPr>
        <w:pStyle w:val="Heading1"/>
      </w:pPr>
      <w:r>
        <w:lastRenderedPageBreak/>
        <w:t>8. References</w:t>
      </w:r>
    </w:p>
    <w:p w14:paraId="4A2369A2" w14:textId="77777777" w:rsidR="00670E20" w:rsidRDefault="002E3AA5">
      <w:pPr>
        <w:spacing w:after="240" w:line="360" w:lineRule="auto"/>
        <w:jc w:val="both"/>
      </w:pPr>
      <w:r>
        <w:t xml:space="preserve">Abril-Pla, O., Andreani, V., Carroll, C., Dong, L., Fonnesbeck, C. J., </w:t>
      </w:r>
      <w:proofErr w:type="spellStart"/>
      <w:r>
        <w:t>Kochurov</w:t>
      </w:r>
      <w:proofErr w:type="spellEnd"/>
      <w:r>
        <w:t xml:space="preserve">, M., Kumar, R., Lao, J., Luhmann, C. C., Martin, O. A., </w:t>
      </w:r>
      <w:proofErr w:type="spellStart"/>
      <w:r>
        <w:t>Osthege</w:t>
      </w:r>
      <w:proofErr w:type="spellEnd"/>
      <w:r>
        <w:t xml:space="preserve">, M., Vieira, R., </w:t>
      </w:r>
      <w:proofErr w:type="spellStart"/>
      <w:r>
        <w:t>Wiecki</w:t>
      </w:r>
      <w:proofErr w:type="spellEnd"/>
      <w:r>
        <w:t xml:space="preserve">, T., &amp; Zinkov, R. (2023). PyMC: A modern, and comprehensive probabilistic programming framework in Python. </w:t>
      </w:r>
      <w:proofErr w:type="spellStart"/>
      <w:r>
        <w:rPr>
          <w:i/>
          <w:iCs/>
        </w:rPr>
        <w:t>PeerJ</w:t>
      </w:r>
      <w:proofErr w:type="spellEnd"/>
      <w:r>
        <w:rPr>
          <w:i/>
          <w:iCs/>
        </w:rPr>
        <w:t xml:space="preserve"> Computer Science</w:t>
      </w:r>
      <w:r>
        <w:t xml:space="preserve">, </w:t>
      </w:r>
      <w:r>
        <w:rPr>
          <w:i/>
          <w:iCs/>
        </w:rPr>
        <w:t>9</w:t>
      </w:r>
      <w:r>
        <w:t>, e1516. https://doi.org/10.7717/peerj-cs.1516</w:t>
      </w:r>
    </w:p>
    <w:p w14:paraId="4B983CC6" w14:textId="77777777" w:rsidR="00670E20" w:rsidRDefault="002E3AA5">
      <w:pPr>
        <w:spacing w:after="240" w:line="360" w:lineRule="auto"/>
        <w:jc w:val="both"/>
      </w:pPr>
      <w:proofErr w:type="spellStart"/>
      <w:r>
        <w:t>Akinwotu</w:t>
      </w:r>
      <w:proofErr w:type="spellEnd"/>
      <w:r>
        <w:t xml:space="preserve">, O., Adeyemo, A., Ajani, T., Dairo, T., Inyang, B., Jimoh, M., &amp; Ugwu, M. (2025). A review of antimicrobial resistance challenges in Nigeria: The need for a one health approach. </w:t>
      </w:r>
      <w:r>
        <w:rPr>
          <w:i/>
          <w:iCs/>
        </w:rPr>
        <w:t>One Health</w:t>
      </w:r>
      <w:r>
        <w:t xml:space="preserve">, </w:t>
      </w:r>
      <w:r>
        <w:rPr>
          <w:i/>
          <w:iCs/>
        </w:rPr>
        <w:t>20</w:t>
      </w:r>
      <w:r>
        <w:t>, Article 100898. https://doi.org/10.1016/j.onehlt.2025.100898</w:t>
      </w:r>
    </w:p>
    <w:p w14:paraId="2A60585D" w14:textId="77777777" w:rsidR="00670E20" w:rsidRDefault="002E3AA5">
      <w:pPr>
        <w:spacing w:after="240" w:line="360" w:lineRule="auto"/>
        <w:jc w:val="both"/>
      </w:pPr>
      <w:r>
        <w:t xml:space="preserve">Cherny, S. S., Nevo, D., Baraz, A., Baruch, S., Lewin-Epstein, O., Stein, G. Y., &amp; </w:t>
      </w:r>
      <w:proofErr w:type="spellStart"/>
      <w:r>
        <w:t>Obolski</w:t>
      </w:r>
      <w:proofErr w:type="spellEnd"/>
      <w:r>
        <w:t xml:space="preserve">, U. (2021). Revealing antibiotic cross-resistance patterns in hospitalized patients through Bayesian network modelling. </w:t>
      </w:r>
      <w:r>
        <w:rPr>
          <w:i/>
          <w:iCs/>
        </w:rPr>
        <w:t>Journal of Antimicrobial Chemotherapy</w:t>
      </w:r>
      <w:r>
        <w:t xml:space="preserve">, </w:t>
      </w:r>
      <w:r>
        <w:rPr>
          <w:i/>
          <w:iCs/>
        </w:rPr>
        <w:t>76</w:t>
      </w:r>
      <w:r>
        <w:t>(1), 239–248. https://doi.org/10.1093/jac/dkaa408</w:t>
      </w:r>
    </w:p>
    <w:p w14:paraId="4D2AB8DB" w14:textId="77777777" w:rsidR="00670E20" w:rsidRDefault="002E3AA5">
      <w:pPr>
        <w:spacing w:after="240" w:line="360" w:lineRule="auto"/>
        <w:jc w:val="both"/>
      </w:pPr>
      <w:r>
        <w:t xml:space="preserve">Cherny, S. S., </w:t>
      </w:r>
      <w:proofErr w:type="spellStart"/>
      <w:r>
        <w:t>Chowers</w:t>
      </w:r>
      <w:proofErr w:type="spellEnd"/>
      <w:r>
        <w:t xml:space="preserve">, M., &amp; </w:t>
      </w:r>
      <w:proofErr w:type="spellStart"/>
      <w:r>
        <w:t>Obolski</w:t>
      </w:r>
      <w:proofErr w:type="spellEnd"/>
      <w:r>
        <w:t xml:space="preserve">, U. (2023). Bayesian network </w:t>
      </w:r>
      <w:proofErr w:type="gramStart"/>
      <w:r>
        <w:t>modeling of</w:t>
      </w:r>
      <w:proofErr w:type="gramEnd"/>
      <w:r>
        <w:t xml:space="preserve"> patterns of antibiotic cross-resistance by bacterial sample source. </w:t>
      </w:r>
      <w:r>
        <w:rPr>
          <w:i/>
          <w:iCs/>
        </w:rPr>
        <w:t>Communications Medicine</w:t>
      </w:r>
      <w:r>
        <w:t xml:space="preserve">, </w:t>
      </w:r>
      <w:r>
        <w:rPr>
          <w:i/>
          <w:iCs/>
        </w:rPr>
        <w:t>3</w:t>
      </w:r>
      <w:r>
        <w:t>(1), Article 61. https://doi.org/10.1038/s43856-023-00289-7</w:t>
      </w:r>
    </w:p>
    <w:p w14:paraId="7B0297ED" w14:textId="77777777" w:rsidR="00670E20" w:rsidRDefault="002E3AA5">
      <w:pPr>
        <w:spacing w:after="240" w:line="360" w:lineRule="auto"/>
        <w:jc w:val="both"/>
      </w:pPr>
      <w:r>
        <w:t xml:space="preserve">Chukwu, E. E., Osagie, M. T., Nwankwo, E. N., Adeola, M. D., Anaga, I. M., Iroha, I. R., Eneh, A. U., Edeh, H. O., Ezema, G. C., &amp; </w:t>
      </w:r>
      <w:proofErr w:type="spellStart"/>
      <w:r>
        <w:t>Esimone</w:t>
      </w:r>
      <w:proofErr w:type="spellEnd"/>
      <w:r>
        <w:t xml:space="preserve">, C. O. (2024). Antibiotic resistance genes circulating in Nigeria: A systematic review and meta-analysis from the One Health perspective. </w:t>
      </w:r>
      <w:r>
        <w:rPr>
          <w:i/>
          <w:iCs/>
        </w:rPr>
        <w:t>Scientific African</w:t>
      </w:r>
      <w:r>
        <w:t xml:space="preserve">, </w:t>
      </w:r>
      <w:r>
        <w:rPr>
          <w:i/>
          <w:iCs/>
        </w:rPr>
        <w:t>26</w:t>
      </w:r>
      <w:r>
        <w:t>, e02355. https://doi.org/10.1016/j.sciaf.2024.e02355</w:t>
      </w:r>
    </w:p>
    <w:p w14:paraId="2D8B4E4B" w14:textId="77777777" w:rsidR="00670E20" w:rsidRDefault="002E3AA5">
      <w:pPr>
        <w:spacing w:after="240" w:line="360" w:lineRule="auto"/>
        <w:jc w:val="both"/>
      </w:pPr>
      <w:proofErr w:type="spellStart"/>
      <w:r>
        <w:t>Enechukwu</w:t>
      </w:r>
      <w:proofErr w:type="spellEnd"/>
      <w:r>
        <w:t xml:space="preserve">, O. H., &amp; </w:t>
      </w:r>
      <w:proofErr w:type="spellStart"/>
      <w:r>
        <w:t>Sholeye</w:t>
      </w:r>
      <w:proofErr w:type="spellEnd"/>
      <w:r>
        <w:t xml:space="preserve">, M. J. (2024). Perception of antibiotic misuse and awareness of antibiotic resistance among adults in Delta state Nigeria. </w:t>
      </w:r>
      <w:r>
        <w:rPr>
          <w:i/>
          <w:iCs/>
        </w:rPr>
        <w:t>Discover Public Health</w:t>
      </w:r>
      <w:r>
        <w:t xml:space="preserve">, </w:t>
      </w:r>
      <w:r>
        <w:rPr>
          <w:i/>
          <w:iCs/>
        </w:rPr>
        <w:t>21</w:t>
      </w:r>
      <w:r>
        <w:t>(1), Article 124. https://doi.org/10.1186/s12982-024-00289-x</w:t>
      </w:r>
    </w:p>
    <w:p w14:paraId="54475C00" w14:textId="77777777" w:rsidR="00670E20" w:rsidRDefault="002E3AA5">
      <w:pPr>
        <w:spacing w:after="240" w:line="360" w:lineRule="auto"/>
        <w:jc w:val="both"/>
      </w:pPr>
      <w:r>
        <w:t xml:space="preserve">Gelman, A. (2006). Prior distributions for variance parameters in hierarchical models. </w:t>
      </w:r>
      <w:r>
        <w:rPr>
          <w:i/>
          <w:iCs/>
        </w:rPr>
        <w:t>Bayesian Analysis</w:t>
      </w:r>
      <w:r>
        <w:t xml:space="preserve">, </w:t>
      </w:r>
      <w:r>
        <w:rPr>
          <w:i/>
          <w:iCs/>
        </w:rPr>
        <w:t>1</w:t>
      </w:r>
      <w:r>
        <w:t>(3), 515–533. https://doi.org/10.1214/06-BA117A</w:t>
      </w:r>
    </w:p>
    <w:p w14:paraId="50A15426" w14:textId="77777777" w:rsidR="00670E20" w:rsidRDefault="002E3AA5">
      <w:pPr>
        <w:spacing w:after="240" w:line="360" w:lineRule="auto"/>
        <w:jc w:val="both"/>
      </w:pPr>
      <w:r>
        <w:t xml:space="preserve">Gelman, A., &amp; Hill, J. (2006). </w:t>
      </w:r>
      <w:r>
        <w:rPr>
          <w:i/>
          <w:iCs/>
        </w:rPr>
        <w:t>Data Analysis Using Regression and Multilevel/Hierarchical Models</w:t>
      </w:r>
      <w:r>
        <w:t>. Cambridge University Press.</w:t>
      </w:r>
    </w:p>
    <w:p w14:paraId="58262213" w14:textId="77777777" w:rsidR="00670E20" w:rsidRDefault="002E3AA5">
      <w:pPr>
        <w:spacing w:after="240" w:line="360" w:lineRule="auto"/>
        <w:jc w:val="both"/>
      </w:pPr>
      <w:r>
        <w:lastRenderedPageBreak/>
        <w:t xml:space="preserve">Gelman, A., </w:t>
      </w:r>
      <w:proofErr w:type="spellStart"/>
      <w:r>
        <w:t>Jakulin</w:t>
      </w:r>
      <w:proofErr w:type="spellEnd"/>
      <w:r>
        <w:t xml:space="preserve">, A., </w:t>
      </w:r>
      <w:proofErr w:type="spellStart"/>
      <w:r>
        <w:t>Pittau</w:t>
      </w:r>
      <w:proofErr w:type="spellEnd"/>
      <w:r>
        <w:t xml:space="preserve">, M. G., &amp; Su, Y. S. (2008). A weakly informative default prior distribution for logistic and other regression models. </w:t>
      </w:r>
      <w:r>
        <w:rPr>
          <w:i/>
          <w:iCs/>
        </w:rPr>
        <w:t>The Annals of Applied Statistics</w:t>
      </w:r>
      <w:r>
        <w:t xml:space="preserve">, </w:t>
      </w:r>
      <w:r>
        <w:rPr>
          <w:i/>
          <w:iCs/>
        </w:rPr>
        <w:t>2</w:t>
      </w:r>
      <w:r>
        <w:t>(4), 1360–1383. https://doi.org/10.1214/08-AOAS191</w:t>
      </w:r>
    </w:p>
    <w:p w14:paraId="49F61ECC" w14:textId="77777777" w:rsidR="00670E20" w:rsidRDefault="002E3AA5">
      <w:pPr>
        <w:spacing w:after="240" w:line="360" w:lineRule="auto"/>
        <w:jc w:val="both"/>
      </w:pPr>
      <w:r>
        <w:t xml:space="preserve">Gelman, A., &amp; Rubin, D. B. (1992). Inference from iterative simulation using multiple sequences. </w:t>
      </w:r>
      <w:r>
        <w:rPr>
          <w:i/>
          <w:iCs/>
        </w:rPr>
        <w:t>Statistical Science</w:t>
      </w:r>
      <w:r>
        <w:t xml:space="preserve">, </w:t>
      </w:r>
      <w:r>
        <w:rPr>
          <w:i/>
          <w:iCs/>
        </w:rPr>
        <w:t>7</w:t>
      </w:r>
      <w:r>
        <w:t>(4), 457–472. https://doi.org/10.1214/ss/1177011136</w:t>
      </w:r>
    </w:p>
    <w:p w14:paraId="02086788" w14:textId="77777777" w:rsidR="00670E20" w:rsidRDefault="002E3AA5">
      <w:pPr>
        <w:spacing w:after="240" w:line="360" w:lineRule="auto"/>
        <w:jc w:val="both"/>
      </w:pPr>
      <w:r>
        <w:t xml:space="preserve">Gelman, A., Carlin, J. B., Stern, H. S., Dunson, D. B., Vehtari, A., &amp; Rubin, D. B. (2013). </w:t>
      </w:r>
      <w:r>
        <w:rPr>
          <w:i/>
          <w:iCs/>
        </w:rPr>
        <w:t>Bayesian Data Analysis</w:t>
      </w:r>
      <w:r>
        <w:t xml:space="preserve"> (3rd ed.). CRC Press.</w:t>
      </w:r>
    </w:p>
    <w:p w14:paraId="177883B5" w14:textId="77777777" w:rsidR="00670E20" w:rsidRDefault="002E3AA5">
      <w:pPr>
        <w:spacing w:after="240" w:line="360" w:lineRule="auto"/>
        <w:jc w:val="both"/>
      </w:pPr>
      <w:r>
        <w:t xml:space="preserve">Hoffman, M. D., &amp; Gelman, A. (2014). The No-U-Turn sampler: Adaptively setting path lengths in Hamiltonian Monte Carlo. </w:t>
      </w:r>
      <w:r>
        <w:rPr>
          <w:i/>
          <w:iCs/>
        </w:rPr>
        <w:t>Journal of Machine Learning Research</w:t>
      </w:r>
      <w:r>
        <w:t xml:space="preserve">, </w:t>
      </w:r>
      <w:r>
        <w:rPr>
          <w:i/>
          <w:iCs/>
        </w:rPr>
        <w:t>15</w:t>
      </w:r>
      <w:r>
        <w:t>(1), 1593–1623.</w:t>
      </w:r>
    </w:p>
    <w:p w14:paraId="05616C2F" w14:textId="77777777" w:rsidR="00670E20" w:rsidRDefault="002E3AA5">
      <w:pPr>
        <w:spacing w:after="240" w:line="360" w:lineRule="auto"/>
        <w:jc w:val="both"/>
      </w:pPr>
      <w:r>
        <w:t xml:space="preserve">Hunter, J. D. (2007). Matplotlib: A 2D graphics environment. </w:t>
      </w:r>
      <w:r>
        <w:rPr>
          <w:i/>
          <w:iCs/>
        </w:rPr>
        <w:t>Computing in Science &amp; Engineering</w:t>
      </w:r>
      <w:r>
        <w:t xml:space="preserve">, </w:t>
      </w:r>
      <w:r>
        <w:rPr>
          <w:i/>
          <w:iCs/>
        </w:rPr>
        <w:t>9</w:t>
      </w:r>
      <w:r>
        <w:t>(3), 90–95. https://doi.org/10.1109/MCSE.2007.55</w:t>
      </w:r>
    </w:p>
    <w:p w14:paraId="057FFEC0" w14:textId="77777777" w:rsidR="00670E20" w:rsidRDefault="002E3AA5">
      <w:pPr>
        <w:spacing w:after="240" w:line="360" w:lineRule="auto"/>
        <w:jc w:val="both"/>
      </w:pPr>
      <w:r>
        <w:t xml:space="preserve">Kumar, R., Carroll, C., Hartikainen, A., &amp; Martin, O. (2019). </w:t>
      </w:r>
      <w:proofErr w:type="spellStart"/>
      <w:r>
        <w:t>ArviZ</w:t>
      </w:r>
      <w:proofErr w:type="spellEnd"/>
      <w:r>
        <w:t xml:space="preserve">: A unified library for </w:t>
      </w:r>
      <w:proofErr w:type="gramStart"/>
      <w:r>
        <w:t>exploratory</w:t>
      </w:r>
      <w:proofErr w:type="gramEnd"/>
      <w:r>
        <w:t xml:space="preserve"> analysis of Bayesian models in Python. </w:t>
      </w:r>
      <w:r>
        <w:rPr>
          <w:i/>
          <w:iCs/>
        </w:rPr>
        <w:t xml:space="preserve">Journal of </w:t>
      </w:r>
      <w:proofErr w:type="gramStart"/>
      <w:r>
        <w:rPr>
          <w:i/>
          <w:iCs/>
        </w:rPr>
        <w:t>Open Source</w:t>
      </w:r>
      <w:proofErr w:type="gramEnd"/>
      <w:r>
        <w:rPr>
          <w:i/>
          <w:iCs/>
        </w:rPr>
        <w:t xml:space="preserve"> Software</w:t>
      </w:r>
      <w:r>
        <w:t xml:space="preserve">, </w:t>
      </w:r>
      <w:r>
        <w:rPr>
          <w:i/>
          <w:iCs/>
        </w:rPr>
        <w:t>4</w:t>
      </w:r>
      <w:r>
        <w:t>(33), Article 1143. https://doi.org/10.21105/joss.01143</w:t>
      </w:r>
    </w:p>
    <w:p w14:paraId="1A5CBDA8" w14:textId="77777777" w:rsidR="00670E20" w:rsidRDefault="002E3AA5">
      <w:pPr>
        <w:spacing w:after="240" w:line="360" w:lineRule="auto"/>
        <w:jc w:val="both"/>
      </w:pPr>
      <w:r>
        <w:t xml:space="preserve">Liang, S., Liu, S., Zhang, W., Zhang, Y., </w:t>
      </w:r>
      <w:proofErr w:type="gramStart"/>
      <w:r>
        <w:t>Chen, Y.</w:t>
      </w:r>
      <w:proofErr w:type="gramEnd"/>
      <w:r>
        <w:t xml:space="preserve">, Ye, C., Gu, L., &amp; O'Connor, A. M. (2020). A hierarchical Bayesian latent class mixture model with censorship for detection of linear temporal changes in antibiotic resistance. </w:t>
      </w:r>
      <w:r>
        <w:rPr>
          <w:i/>
          <w:iCs/>
        </w:rPr>
        <w:t>PLOS ONE</w:t>
      </w:r>
      <w:r>
        <w:t xml:space="preserve">, </w:t>
      </w:r>
      <w:r>
        <w:rPr>
          <w:i/>
          <w:iCs/>
        </w:rPr>
        <w:t>15</w:t>
      </w:r>
      <w:r>
        <w:t>(1), e0220427. https://doi.org/10.1371/journal.pone.0220427</w:t>
      </w:r>
    </w:p>
    <w:p w14:paraId="72E48875" w14:textId="77777777" w:rsidR="00670E20" w:rsidRDefault="002E3AA5">
      <w:pPr>
        <w:spacing w:after="240" w:line="360" w:lineRule="auto"/>
        <w:jc w:val="both"/>
      </w:pPr>
      <w:r>
        <w:t xml:space="preserve">McElreath, R. (2020). </w:t>
      </w:r>
      <w:r>
        <w:rPr>
          <w:i/>
          <w:iCs/>
        </w:rPr>
        <w:t>Statistical Rethinking: A Bayesian Course with Examples in R and Stan</w:t>
      </w:r>
      <w:r>
        <w:t xml:space="preserve"> (2nd ed.). CRC Press.</w:t>
      </w:r>
    </w:p>
    <w:p w14:paraId="4453D3B6" w14:textId="77777777" w:rsidR="00670E20" w:rsidRDefault="002E3AA5">
      <w:pPr>
        <w:spacing w:after="240" w:line="360" w:lineRule="auto"/>
        <w:jc w:val="both"/>
      </w:pPr>
      <w:r>
        <w:t xml:space="preserve">McKinney, W. (2010). Data structures for statistical computing in Python. In S. van der Walt &amp; J. Millman (Eds.), </w:t>
      </w:r>
      <w:r>
        <w:rPr>
          <w:i/>
          <w:iCs/>
        </w:rPr>
        <w:t>Proceedings of the 9th Python in Science Conference</w:t>
      </w:r>
      <w:r>
        <w:t xml:space="preserve"> (pp. 56–61). https://doi.org/10.25080/Majora-92bf1922-00a</w:t>
      </w:r>
    </w:p>
    <w:p w14:paraId="5EEDB379" w14:textId="77777777" w:rsidR="00670E20" w:rsidRDefault="002E3AA5">
      <w:pPr>
        <w:spacing w:after="240" w:line="360" w:lineRule="auto"/>
        <w:jc w:val="both"/>
      </w:pPr>
      <w:r>
        <w:t xml:space="preserve">Nigeria Centre for Disease Control and Prevention. (2018). </w:t>
      </w:r>
      <w:r>
        <w:rPr>
          <w:i/>
          <w:iCs/>
        </w:rPr>
        <w:t>Guideline for Antimicrobial Resistance Laboratory Surveillance for Laboratories in Nigeria</w:t>
      </w:r>
      <w:r>
        <w:t>. https://ncdc.gov.ng/themes/common/docs/protocols/120_1581793668.pdf</w:t>
      </w:r>
    </w:p>
    <w:p w14:paraId="600B184D" w14:textId="77777777" w:rsidR="00670E20" w:rsidRDefault="002E3AA5">
      <w:pPr>
        <w:spacing w:after="240" w:line="360" w:lineRule="auto"/>
        <w:jc w:val="both"/>
      </w:pPr>
      <w:r>
        <w:lastRenderedPageBreak/>
        <w:t xml:space="preserve">Nigeria Centre for Disease Control and Prevention. (2024a). </w:t>
      </w:r>
      <w:r>
        <w:rPr>
          <w:i/>
          <w:iCs/>
        </w:rPr>
        <w:t>One Health National Action Plan on Antimicrobial Resistance 2.0 (2024-2028)</w:t>
      </w:r>
      <w:r>
        <w:t>. Federal Ministries of Agriculture and Food Security, Environment, and Health and Social Welfare.</w:t>
      </w:r>
    </w:p>
    <w:p w14:paraId="24B018AB" w14:textId="77777777" w:rsidR="00670E20" w:rsidRDefault="002E3AA5">
      <w:pPr>
        <w:spacing w:after="240" w:line="360" w:lineRule="auto"/>
        <w:jc w:val="both"/>
      </w:pPr>
      <w:r>
        <w:t>Nigeria Centre for Disease Control and Prevention. (2024b). Antimicrobial resistance factsheet. Retrieved February 7, 2026, from https://ncdc.gov.ng/diseases/factsheet/70</w:t>
      </w:r>
    </w:p>
    <w:p w14:paraId="12AF11AB" w14:textId="77777777" w:rsidR="00670E20" w:rsidRDefault="002E3AA5">
      <w:pPr>
        <w:spacing w:after="240" w:line="360" w:lineRule="auto"/>
        <w:jc w:val="both"/>
      </w:pPr>
      <w:r>
        <w:t xml:space="preserve">Popoola, O. O., Ayeni, J. A., Ayeni, F. A., &amp; Akinyemi, K. O. (2024). A national survey of the antibiotic use, self-medication practices, and knowledge of antibiotic resistance among graduates of tertiary institutions in Nigeria. </w:t>
      </w:r>
      <w:r>
        <w:rPr>
          <w:i/>
          <w:iCs/>
        </w:rPr>
        <w:t>Scientific African</w:t>
      </w:r>
      <w:r>
        <w:t xml:space="preserve">, </w:t>
      </w:r>
      <w:r>
        <w:rPr>
          <w:i/>
          <w:iCs/>
        </w:rPr>
        <w:t>23</w:t>
      </w:r>
      <w:r>
        <w:t>, e01978. https://doi.org/10.1016/j.sciaf.2024.e01978</w:t>
      </w:r>
    </w:p>
    <w:p w14:paraId="614593C7" w14:textId="77777777" w:rsidR="00670E20" w:rsidRDefault="002E3AA5">
      <w:pPr>
        <w:spacing w:after="240" w:line="360" w:lineRule="auto"/>
        <w:jc w:val="both"/>
      </w:pPr>
      <w:r>
        <w:t xml:space="preserve">Vehtari, A., Gelman, A., Simpson, D., Carpenter, B., &amp; </w:t>
      </w:r>
      <w:proofErr w:type="spellStart"/>
      <w:r>
        <w:t>Bürkner</w:t>
      </w:r>
      <w:proofErr w:type="spellEnd"/>
      <w:r>
        <w:t xml:space="preserve">, P. C. (2021). Rank-normalization, folding, and localization: An improved R̂ for assessing convergence of MCMC (with discussion). </w:t>
      </w:r>
      <w:r>
        <w:rPr>
          <w:i/>
          <w:iCs/>
        </w:rPr>
        <w:t>Bayesian Analysis</w:t>
      </w:r>
      <w:r>
        <w:t xml:space="preserve">, </w:t>
      </w:r>
      <w:r>
        <w:rPr>
          <w:i/>
          <w:iCs/>
        </w:rPr>
        <w:t>16</w:t>
      </w:r>
      <w:r>
        <w:t>(2), 667–718. https://doi.org/10.1214/20-BA1221</w:t>
      </w:r>
    </w:p>
    <w:p w14:paraId="45431E25" w14:textId="1ECC67FE" w:rsidR="00670E20" w:rsidRDefault="002E3AA5">
      <w:pPr>
        <w:spacing w:after="240" w:line="360" w:lineRule="auto"/>
        <w:jc w:val="both"/>
      </w:pPr>
      <w:r>
        <w:t xml:space="preserve">Waskom, M. L. (2021). Seaborn: Statistical data visualization. </w:t>
      </w:r>
      <w:r>
        <w:rPr>
          <w:i/>
          <w:iCs/>
        </w:rPr>
        <w:t xml:space="preserve">Journal of </w:t>
      </w:r>
      <w:r w:rsidR="00E472C4">
        <w:rPr>
          <w:i/>
          <w:iCs/>
        </w:rPr>
        <w:t>Open-Source</w:t>
      </w:r>
      <w:r>
        <w:rPr>
          <w:i/>
          <w:iCs/>
        </w:rPr>
        <w:t xml:space="preserve"> Software</w:t>
      </w:r>
      <w:r>
        <w:t xml:space="preserve">, </w:t>
      </w:r>
      <w:r>
        <w:rPr>
          <w:i/>
          <w:iCs/>
        </w:rPr>
        <w:t>6</w:t>
      </w:r>
      <w:r>
        <w:t>(60), Article 3021. https://doi.org/10.21105/joss.03021</w:t>
      </w:r>
    </w:p>
    <w:p w14:paraId="3AE85E03" w14:textId="77777777" w:rsidR="00670E20" w:rsidRDefault="002E3AA5">
      <w:pPr>
        <w:spacing w:after="240" w:line="360" w:lineRule="auto"/>
        <w:jc w:val="both"/>
      </w:pPr>
      <w:r>
        <w:t xml:space="preserve">World Health Organization. (2024). </w:t>
      </w:r>
      <w:r>
        <w:rPr>
          <w:i/>
          <w:iCs/>
        </w:rPr>
        <w:t>Antimicrobial Resistance: Global Report 2024</w:t>
      </w:r>
      <w:r>
        <w:t>. WHO.</w:t>
      </w:r>
    </w:p>
    <w:p w14:paraId="7F6B7A7E" w14:textId="77777777" w:rsidR="00670E20" w:rsidRDefault="002E3AA5">
      <w:pPr>
        <w:spacing w:after="240" w:line="360" w:lineRule="auto"/>
        <w:jc w:val="both"/>
      </w:pPr>
      <w:r>
        <w:t xml:space="preserve">Zhelyazkova, M., Kostov, K., Hadzhidekov, V., &amp; Atanassov, K. (2022). Bayesian hierarchical modelling for antimicrobial resistance. In S. S. Sotirov, T. </w:t>
      </w:r>
      <w:proofErr w:type="spellStart"/>
      <w:r>
        <w:t>Pencheva</w:t>
      </w:r>
      <w:proofErr w:type="spellEnd"/>
      <w:r>
        <w:t xml:space="preserve">, J. Kacprzyk, K. T. Atanassov, E. </w:t>
      </w:r>
      <w:proofErr w:type="spellStart"/>
      <w:r>
        <w:t>Sotirova</w:t>
      </w:r>
      <w:proofErr w:type="spellEnd"/>
      <w:r>
        <w:t xml:space="preserve">, &amp; G. </w:t>
      </w:r>
      <w:proofErr w:type="spellStart"/>
      <w:r>
        <w:t>Staneva</w:t>
      </w:r>
      <w:proofErr w:type="spellEnd"/>
      <w:r>
        <w:t xml:space="preserve"> (Eds.), </w:t>
      </w:r>
      <w:r>
        <w:rPr>
          <w:i/>
          <w:iCs/>
        </w:rPr>
        <w:t>Contemporary Methods in Bioinformatics and Biomedicine and Their Applications</w:t>
      </w:r>
      <w:r>
        <w:t xml:space="preserve"> (pp. 75–82). Springer. https://doi.org/10.1007/978-3-030-96638-6_9</w:t>
      </w:r>
    </w:p>
    <w:p w14:paraId="59473912" w14:textId="77777777" w:rsidR="00670E20" w:rsidRDefault="002E3AA5">
      <w:pPr>
        <w:spacing w:after="240" w:line="360" w:lineRule="auto"/>
        <w:jc w:val="both"/>
      </w:pPr>
      <w:r>
        <w:t xml:space="preserve">Zhuang, L., &amp; Cressie, N. (2014). Bayesian hierarchical statistical SIRS models. </w:t>
      </w:r>
      <w:r>
        <w:rPr>
          <w:i/>
          <w:iCs/>
        </w:rPr>
        <w:t>Statistical Methods &amp; Applications</w:t>
      </w:r>
      <w:r>
        <w:t xml:space="preserve">, </w:t>
      </w:r>
      <w:r>
        <w:rPr>
          <w:i/>
          <w:iCs/>
        </w:rPr>
        <w:t>23</w:t>
      </w:r>
      <w:r>
        <w:t>(4), 601–646. https://doi.org/10.1007/s10260-014-0280-9</w:t>
      </w:r>
    </w:p>
    <w:sectPr w:rsidR="00670E2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33E68"/>
    <w:multiLevelType w:val="hybridMultilevel"/>
    <w:tmpl w:val="7BA60936"/>
    <w:lvl w:ilvl="0" w:tplc="9A82FB7C">
      <w:start w:val="1"/>
      <w:numFmt w:val="bullet"/>
      <w:lvlText w:val="●"/>
      <w:lvlJc w:val="left"/>
      <w:pPr>
        <w:ind w:left="720" w:hanging="360"/>
      </w:pPr>
    </w:lvl>
    <w:lvl w:ilvl="1" w:tplc="7200F920">
      <w:start w:val="1"/>
      <w:numFmt w:val="bullet"/>
      <w:lvlText w:val="○"/>
      <w:lvlJc w:val="left"/>
      <w:pPr>
        <w:ind w:left="1440" w:hanging="360"/>
      </w:pPr>
    </w:lvl>
    <w:lvl w:ilvl="2" w:tplc="F2B807DE">
      <w:start w:val="1"/>
      <w:numFmt w:val="bullet"/>
      <w:lvlText w:val="■"/>
      <w:lvlJc w:val="left"/>
      <w:pPr>
        <w:ind w:left="2160" w:hanging="360"/>
      </w:pPr>
    </w:lvl>
    <w:lvl w:ilvl="3" w:tplc="0A14F9A0">
      <w:start w:val="1"/>
      <w:numFmt w:val="bullet"/>
      <w:lvlText w:val="●"/>
      <w:lvlJc w:val="left"/>
      <w:pPr>
        <w:ind w:left="2880" w:hanging="360"/>
      </w:pPr>
    </w:lvl>
    <w:lvl w:ilvl="4" w:tplc="2318CC28">
      <w:start w:val="1"/>
      <w:numFmt w:val="bullet"/>
      <w:lvlText w:val="○"/>
      <w:lvlJc w:val="left"/>
      <w:pPr>
        <w:ind w:left="3600" w:hanging="360"/>
      </w:pPr>
    </w:lvl>
    <w:lvl w:ilvl="5" w:tplc="B214551E">
      <w:start w:val="1"/>
      <w:numFmt w:val="bullet"/>
      <w:lvlText w:val="■"/>
      <w:lvlJc w:val="left"/>
      <w:pPr>
        <w:ind w:left="4320" w:hanging="360"/>
      </w:pPr>
    </w:lvl>
    <w:lvl w:ilvl="6" w:tplc="BC4EA952">
      <w:start w:val="1"/>
      <w:numFmt w:val="bullet"/>
      <w:lvlText w:val="●"/>
      <w:lvlJc w:val="left"/>
      <w:pPr>
        <w:ind w:left="5040" w:hanging="360"/>
      </w:pPr>
    </w:lvl>
    <w:lvl w:ilvl="7" w:tplc="32404FB6">
      <w:start w:val="1"/>
      <w:numFmt w:val="bullet"/>
      <w:lvlText w:val="●"/>
      <w:lvlJc w:val="left"/>
      <w:pPr>
        <w:ind w:left="5760" w:hanging="360"/>
      </w:pPr>
    </w:lvl>
    <w:lvl w:ilvl="8" w:tplc="8ADA536C">
      <w:start w:val="1"/>
      <w:numFmt w:val="bullet"/>
      <w:lvlText w:val="●"/>
      <w:lvlJc w:val="left"/>
      <w:pPr>
        <w:ind w:left="6480" w:hanging="360"/>
      </w:pPr>
    </w:lvl>
  </w:abstractNum>
  <w:num w:numId="1" w16cid:durableId="9573774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E20"/>
    <w:rsid w:val="000B72A7"/>
    <w:rsid w:val="001830B2"/>
    <w:rsid w:val="002E3AA5"/>
    <w:rsid w:val="00670E20"/>
    <w:rsid w:val="00A71707"/>
    <w:rsid w:val="00E47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4D92B"/>
  <w15:docId w15:val="{699C358C-3032-4989-A210-BE6E96284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PlaceholderText">
    <w:name w:val="Placeholder Text"/>
    <w:basedOn w:val="DefaultParagraphFont"/>
    <w:uiPriority w:val="99"/>
    <w:semiHidden/>
    <w:rsid w:val="00A7170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2832</Words>
  <Characters>16145</Characters>
  <Application>Microsoft Office Word</Application>
  <DocSecurity>0</DocSecurity>
  <Lines>134</Lines>
  <Paragraphs>37</Paragraphs>
  <ScaleCrop>false</ScaleCrop>
  <Company/>
  <LinksUpToDate>false</LinksUpToDate>
  <CharactersWithSpaces>18940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Andoh Omotayo</cp:lastModifiedBy>
  <cp:revision>3</cp:revision>
  <dcterms:created xsi:type="dcterms:W3CDTF">2026-02-17T20:40:00Z</dcterms:created>
  <dcterms:modified xsi:type="dcterms:W3CDTF">2026-02-18T11:14:00Z</dcterms:modified>
</cp:coreProperties>
</file>