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FB8E42">
      <w:pPr>
        <w:spacing w:after="360" w:line="480" w:lineRule="auto"/>
        <w:jc w:val="center"/>
        <w:rPr>
          <w:rFonts w:ascii="黑体" w:hAnsi="黑体" w:eastAsia="黑体"/>
          <w:b/>
          <w:sz w:val="36"/>
        </w:rPr>
      </w:pPr>
      <w:r>
        <w:rPr>
          <w:rFonts w:ascii="黑体" w:hAnsi="黑体" w:eastAsia="黑体"/>
          <w:b/>
          <w:sz w:val="36"/>
        </w:rPr>
        <w:t>《橙源智鉴——基于多模态光谱融合与深度学习的海南柑橘品质智能检测与产地溯源平台》​</w:t>
      </w:r>
    </w:p>
    <w:p w14:paraId="0E651C47">
      <w:pPr>
        <w:spacing w:before="240" w:after="240" w:line="400" w:lineRule="auto"/>
        <w:jc w:val="center"/>
        <w:rPr>
          <w:rFonts w:hint="eastAsia" w:ascii="黑体" w:hAnsi="黑体" w:eastAsia="黑体"/>
          <w:b/>
          <w:sz w:val="32"/>
        </w:rPr>
      </w:pPr>
      <w:r>
        <w:rPr>
          <w:rFonts w:hint="eastAsia" w:ascii="黑体" w:hAnsi="黑体" w:eastAsia="黑体"/>
          <w:b/>
          <w:sz w:val="32"/>
        </w:rPr>
        <w:t>目录</w:t>
      </w:r>
    </w:p>
    <w:p w14:paraId="74BFC6AB">
      <w:pPr>
        <w:spacing w:after="60" w:line="360" w:lineRule="auto"/>
        <w:jc w:val="left"/>
        <w:rPr>
          <w:rFonts w:ascii="宋体" w:hAnsi="宋体" w:eastAsia="宋体"/>
          <w:sz w:val="24"/>
        </w:rPr>
      </w:pPr>
      <w:r>
        <w:rPr>
          <w:rFonts w:ascii="宋体" w:hAnsi="宋体" w:eastAsia="宋体"/>
          <w:sz w:val="24"/>
        </w:rPr>
        <w:t>第一章：项目概述</w:t>
      </w:r>
    </w:p>
    <w:p w14:paraId="481FC4A3">
      <w:pPr>
        <w:spacing w:after="60" w:line="360" w:lineRule="auto"/>
        <w:ind w:left="480"/>
        <w:jc w:val="left"/>
        <w:rPr>
          <w:rFonts w:ascii="宋体" w:hAnsi="宋体" w:eastAsia="宋体"/>
          <w:sz w:val="24"/>
        </w:rPr>
      </w:pPr>
      <w:r>
        <w:rPr>
          <w:rFonts w:ascii="宋体" w:hAnsi="宋体" w:eastAsia="宋体"/>
          <w:sz w:val="24"/>
        </w:rPr>
        <w:t>1.1 研究背景与问题提出</w:t>
      </w:r>
    </w:p>
    <w:p w14:paraId="492DF304">
      <w:pPr>
        <w:spacing w:after="60" w:line="360" w:lineRule="auto"/>
        <w:ind w:left="480"/>
        <w:jc w:val="left"/>
        <w:rPr>
          <w:rFonts w:ascii="宋体" w:hAnsi="宋体" w:eastAsia="宋体"/>
          <w:sz w:val="24"/>
        </w:rPr>
      </w:pPr>
      <w:r>
        <w:rPr>
          <w:rFonts w:ascii="宋体" w:hAnsi="宋体" w:eastAsia="宋体"/>
          <w:sz w:val="24"/>
        </w:rPr>
        <w:t>1.2 项目定位与核心价值</w:t>
      </w:r>
    </w:p>
    <w:p w14:paraId="15103F51">
      <w:pPr>
        <w:spacing w:after="60" w:line="360" w:lineRule="auto"/>
        <w:ind w:left="480"/>
        <w:jc w:val="left"/>
        <w:rPr>
          <w:rFonts w:ascii="宋体" w:hAnsi="宋体" w:eastAsia="宋体"/>
          <w:sz w:val="24"/>
        </w:rPr>
      </w:pPr>
      <w:r>
        <w:rPr>
          <w:rFonts w:ascii="宋体" w:hAnsi="宋体" w:eastAsia="宋体"/>
          <w:sz w:val="24"/>
        </w:rPr>
        <w:t>1.3 主要创新点</w:t>
      </w:r>
    </w:p>
    <w:p w14:paraId="244698B9">
      <w:pPr>
        <w:spacing w:after="60" w:line="360" w:lineRule="auto"/>
        <w:ind w:left="480"/>
        <w:jc w:val="left"/>
        <w:rPr>
          <w:rFonts w:ascii="宋体" w:hAnsi="宋体" w:eastAsia="宋体"/>
          <w:sz w:val="24"/>
        </w:rPr>
      </w:pPr>
      <w:r>
        <w:rPr>
          <w:rFonts w:ascii="宋体" w:hAnsi="宋体" w:eastAsia="宋体"/>
          <w:sz w:val="24"/>
        </w:rPr>
        <w:t>1.4 项目成果概览（系统演示截图/数据集规模/模型精度预览）</w:t>
      </w:r>
    </w:p>
    <w:p w14:paraId="3422D29B">
      <w:pPr>
        <w:spacing w:after="60" w:line="360" w:lineRule="auto"/>
        <w:jc w:val="left"/>
        <w:rPr>
          <w:rFonts w:ascii="宋体" w:hAnsi="宋体" w:eastAsia="宋体"/>
          <w:sz w:val="24"/>
        </w:rPr>
      </w:pPr>
      <w:r>
        <w:rPr>
          <w:rFonts w:ascii="宋体" w:hAnsi="宋体" w:eastAsia="宋体"/>
          <w:sz w:val="24"/>
        </w:rPr>
        <w:t>第二章：数据基础与实验设计</w:t>
      </w:r>
    </w:p>
    <w:p w14:paraId="282A61A3">
      <w:pPr>
        <w:spacing w:after="60" w:line="360" w:lineRule="auto"/>
        <w:ind w:left="480"/>
        <w:jc w:val="left"/>
        <w:rPr>
          <w:rFonts w:ascii="宋体" w:hAnsi="宋体" w:eastAsia="宋体"/>
          <w:sz w:val="24"/>
        </w:rPr>
      </w:pPr>
      <w:r>
        <w:rPr>
          <w:rFonts w:ascii="宋体" w:hAnsi="宋体" w:eastAsia="宋体"/>
          <w:sz w:val="24"/>
        </w:rPr>
        <w:t>2.1 样本来源与采集规范（澄迈福橙CM、琼中绿橙QZ，200+样本）</w:t>
      </w:r>
    </w:p>
    <w:p w14:paraId="01A5D139">
      <w:pPr>
        <w:spacing w:after="60" w:line="360" w:lineRule="auto"/>
        <w:ind w:left="480"/>
        <w:jc w:val="left"/>
        <w:rPr>
          <w:rFonts w:ascii="宋体" w:hAnsi="宋体" w:eastAsia="宋体"/>
          <w:sz w:val="24"/>
        </w:rPr>
      </w:pPr>
      <w:r>
        <w:rPr>
          <w:rFonts w:ascii="宋体" w:hAnsi="宋体" w:eastAsia="宋体"/>
          <w:sz w:val="24"/>
        </w:rPr>
        <w:t>2.2 多仪器光谱采集方案（HSI高光谱、R210近红外、S960近红外）</w:t>
      </w:r>
    </w:p>
    <w:p w14:paraId="7CF2F192">
      <w:pPr>
        <w:spacing w:after="60" w:line="360" w:lineRule="auto"/>
        <w:ind w:left="480"/>
        <w:jc w:val="left"/>
        <w:rPr>
          <w:rFonts w:ascii="宋体" w:hAnsi="宋体" w:eastAsia="宋体"/>
          <w:sz w:val="24"/>
        </w:rPr>
      </w:pPr>
      <w:r>
        <w:rPr>
          <w:rFonts w:ascii="宋体" w:hAnsi="宋体" w:eastAsia="宋体"/>
          <w:sz w:val="24"/>
        </w:rPr>
        <w:t>2.3 化学值参考标签体系（滴定法4项 + 液质36项）</w:t>
      </w:r>
    </w:p>
    <w:p w14:paraId="5B86977C">
      <w:pPr>
        <w:spacing w:after="60" w:line="360" w:lineRule="auto"/>
        <w:ind w:left="480"/>
        <w:jc w:val="left"/>
        <w:rPr>
          <w:rFonts w:ascii="宋体" w:hAnsi="宋体" w:eastAsia="宋体"/>
          <w:sz w:val="24"/>
        </w:rPr>
      </w:pPr>
      <w:r>
        <w:rPr>
          <w:rFonts w:ascii="宋体" w:hAnsi="宋体" w:eastAsia="宋体"/>
          <w:sz w:val="24"/>
        </w:rPr>
        <w:t>2.4 数据预处理流程（平行样均值化、异常值剔除、缺失波段处理）</w:t>
      </w:r>
    </w:p>
    <w:p w14:paraId="601C0FD8">
      <w:pPr>
        <w:spacing w:after="60" w:line="360" w:lineRule="auto"/>
        <w:ind w:left="480"/>
        <w:jc w:val="left"/>
        <w:rPr>
          <w:rFonts w:ascii="宋体" w:hAnsi="宋体" w:eastAsia="宋体"/>
          <w:sz w:val="24"/>
        </w:rPr>
      </w:pPr>
      <w:r>
        <w:rPr>
          <w:rFonts w:ascii="宋体" w:hAnsi="宋体" w:eastAsia="宋体"/>
          <w:sz w:val="24"/>
        </w:rPr>
        <w:t>2.5 数据集划分与质量评估</w:t>
      </w:r>
    </w:p>
    <w:p w14:paraId="2E725B1C">
      <w:pPr>
        <w:spacing w:after="60" w:line="360" w:lineRule="auto"/>
        <w:jc w:val="left"/>
        <w:rPr>
          <w:rFonts w:ascii="宋体" w:hAnsi="宋体" w:eastAsia="宋体"/>
          <w:sz w:val="24"/>
        </w:rPr>
      </w:pPr>
      <w:r>
        <w:rPr>
          <w:rFonts w:ascii="宋体" w:hAnsi="宋体" w:eastAsia="宋体"/>
          <w:sz w:val="24"/>
        </w:rPr>
        <w:t>第三章：核心算法与模型设计</w:t>
      </w:r>
    </w:p>
    <w:p w14:paraId="22EC3BD6">
      <w:pPr>
        <w:spacing w:after="60" w:line="360" w:lineRule="auto"/>
        <w:ind w:left="480"/>
        <w:jc w:val="left"/>
        <w:rPr>
          <w:rFonts w:ascii="宋体" w:hAnsi="宋体" w:eastAsia="宋体"/>
          <w:sz w:val="24"/>
        </w:rPr>
      </w:pPr>
      <w:r>
        <w:rPr>
          <w:rFonts w:ascii="宋体" w:hAnsi="宋体" w:eastAsia="宋体"/>
          <w:sz w:val="24"/>
        </w:rPr>
        <w:t>3.1 总体技术路线图</w:t>
      </w:r>
    </w:p>
    <w:p w14:paraId="38B16B92">
      <w:pPr>
        <w:spacing w:after="60" w:line="360" w:lineRule="auto"/>
        <w:ind w:left="480"/>
        <w:jc w:val="left"/>
        <w:rPr>
          <w:rFonts w:ascii="宋体" w:hAnsi="宋体" w:eastAsia="宋体"/>
          <w:sz w:val="24"/>
        </w:rPr>
      </w:pPr>
      <w:r>
        <w:rPr>
          <w:rFonts w:ascii="宋体" w:hAnsi="宋体" w:eastAsia="宋体"/>
          <w:sz w:val="24"/>
        </w:rPr>
        <w:t>3.2 光谱预处理方法（SG平滑、MSC、SNV、一阶导数）</w:t>
      </w:r>
    </w:p>
    <w:p w14:paraId="57A3C6C8">
      <w:pPr>
        <w:spacing w:after="60" w:line="360" w:lineRule="auto"/>
        <w:ind w:left="480"/>
        <w:jc w:val="left"/>
        <w:rPr>
          <w:rFonts w:ascii="宋体" w:hAnsi="宋体" w:eastAsia="宋体"/>
          <w:sz w:val="24"/>
        </w:rPr>
      </w:pPr>
      <w:r>
        <w:rPr>
          <w:rFonts w:ascii="宋体" w:hAnsi="宋体" w:eastAsia="宋体"/>
          <w:sz w:val="24"/>
        </w:rPr>
        <w:t>3.3 特征波段选择策略（CARS、SPA、VIP）</w:t>
      </w:r>
    </w:p>
    <w:p w14:paraId="5A34EB21">
      <w:pPr>
        <w:spacing w:after="60" w:line="360" w:lineRule="auto"/>
        <w:ind w:left="480"/>
        <w:jc w:val="left"/>
        <w:rPr>
          <w:rFonts w:ascii="宋体" w:hAnsi="宋体" w:eastAsia="宋体"/>
          <w:sz w:val="24"/>
        </w:rPr>
      </w:pPr>
      <w:r>
        <w:rPr>
          <w:rFonts w:ascii="宋体" w:hAnsi="宋体" w:eastAsia="宋体"/>
          <w:sz w:val="24"/>
        </w:rPr>
        <w:t>3.4 品质预测模型设计</w:t>
      </w:r>
    </w:p>
    <w:p w14:paraId="61CCB6FA">
      <w:pPr>
        <w:spacing w:after="60" w:line="360" w:lineRule="auto"/>
        <w:ind w:left="960"/>
        <w:jc w:val="left"/>
        <w:rPr>
          <w:rFonts w:ascii="宋体" w:hAnsi="宋体" w:eastAsia="宋体"/>
          <w:sz w:val="24"/>
        </w:rPr>
      </w:pPr>
      <w:r>
        <w:rPr>
          <w:rFonts w:ascii="宋体" w:hAnsi="宋体" w:eastAsia="宋体"/>
          <w:sz w:val="24"/>
        </w:rPr>
        <w:t>　　3.4.1 基线模型（PLS、SVR）</w:t>
      </w:r>
    </w:p>
    <w:p w14:paraId="787C41A8">
      <w:pPr>
        <w:spacing w:after="60" w:line="360" w:lineRule="auto"/>
        <w:ind w:left="960"/>
        <w:jc w:val="left"/>
        <w:rPr>
          <w:rFonts w:ascii="宋体" w:hAnsi="宋体" w:eastAsia="宋体"/>
          <w:sz w:val="24"/>
        </w:rPr>
      </w:pPr>
      <w:r>
        <w:rPr>
          <w:rFonts w:ascii="宋体" w:hAnsi="宋体" w:eastAsia="宋体"/>
          <w:sz w:val="24"/>
        </w:rPr>
        <w:t>　　3.4.2 深度学习模型（1D-CNN、LSTM、Transformer）</w:t>
      </w:r>
    </w:p>
    <w:p w14:paraId="0F53E32B">
      <w:pPr>
        <w:spacing w:after="60" w:line="360" w:lineRule="auto"/>
        <w:ind w:left="960"/>
        <w:jc w:val="left"/>
        <w:rPr>
          <w:rFonts w:ascii="宋体" w:hAnsi="宋体" w:eastAsia="宋体"/>
          <w:sz w:val="24"/>
        </w:rPr>
      </w:pPr>
      <w:r>
        <w:rPr>
          <w:rFonts w:ascii="宋体" w:hAnsi="宋体" w:eastAsia="宋体"/>
          <w:sz w:val="24"/>
        </w:rPr>
        <w:t>　　3.4.3 多模态光谱融合网络设计</w:t>
      </w:r>
    </w:p>
    <w:p w14:paraId="7AA37976">
      <w:pPr>
        <w:spacing w:after="60" w:line="360" w:lineRule="auto"/>
        <w:ind w:left="480"/>
        <w:jc w:val="left"/>
        <w:rPr>
          <w:rFonts w:ascii="宋体" w:hAnsi="宋体" w:eastAsia="宋体"/>
          <w:sz w:val="24"/>
        </w:rPr>
      </w:pPr>
      <w:r>
        <w:rPr>
          <w:rFonts w:ascii="宋体" w:hAnsi="宋体" w:eastAsia="宋体"/>
          <w:sz w:val="24"/>
        </w:rPr>
        <w:t>3.5 产地溯源分类模型（SVM、RF、深度分类网络）</w:t>
      </w:r>
    </w:p>
    <w:p w14:paraId="6371B0B8">
      <w:pPr>
        <w:spacing w:after="60" w:line="360" w:lineRule="auto"/>
        <w:ind w:left="480"/>
        <w:jc w:val="left"/>
        <w:rPr>
          <w:rFonts w:ascii="宋体" w:hAnsi="宋体" w:eastAsia="宋体"/>
          <w:sz w:val="24"/>
        </w:rPr>
      </w:pPr>
      <w:r>
        <w:rPr>
          <w:rFonts w:ascii="宋体" w:hAnsi="宋体" w:eastAsia="宋体"/>
          <w:sz w:val="24"/>
        </w:rPr>
        <w:t>3.6 模型评估指标与对比实验</w:t>
      </w:r>
    </w:p>
    <w:p w14:paraId="63CF5564">
      <w:pPr>
        <w:spacing w:after="60" w:line="360" w:lineRule="auto"/>
        <w:jc w:val="left"/>
        <w:rPr>
          <w:rFonts w:ascii="宋体" w:hAnsi="宋体" w:eastAsia="宋体"/>
          <w:sz w:val="24"/>
        </w:rPr>
      </w:pPr>
      <w:r>
        <w:rPr>
          <w:rFonts w:ascii="宋体" w:hAnsi="宋体" w:eastAsia="宋体"/>
          <w:sz w:val="24"/>
        </w:rPr>
        <w:t>第四章：系统架构与工程实现</w:t>
      </w:r>
    </w:p>
    <w:p w14:paraId="2205D5C7">
      <w:pPr>
        <w:spacing w:after="60" w:line="360" w:lineRule="auto"/>
        <w:ind w:left="480"/>
        <w:jc w:val="left"/>
        <w:rPr>
          <w:rFonts w:ascii="宋体" w:hAnsi="宋体" w:eastAsia="宋体"/>
          <w:sz w:val="24"/>
        </w:rPr>
      </w:pPr>
      <w:r>
        <w:rPr>
          <w:rFonts w:ascii="宋体" w:hAnsi="宋体" w:eastAsia="宋体"/>
          <w:sz w:val="24"/>
        </w:rPr>
        <w:t>4.1 整体系统架构设计（前端 / 后端 / 模型服务层）</w:t>
      </w:r>
    </w:p>
    <w:p w14:paraId="7FABDA65">
      <w:pPr>
        <w:spacing w:after="60" w:line="360" w:lineRule="auto"/>
        <w:ind w:left="480"/>
        <w:jc w:val="left"/>
        <w:rPr>
          <w:rFonts w:ascii="宋体" w:hAnsi="宋体" w:eastAsia="宋体"/>
          <w:sz w:val="24"/>
        </w:rPr>
      </w:pPr>
      <w:r>
        <w:rPr>
          <w:rFonts w:ascii="宋体" w:hAnsi="宋体" w:eastAsia="宋体"/>
          <w:sz w:val="24"/>
        </w:rPr>
        <w:t>4.2 Web平台设计与实现</w:t>
      </w:r>
    </w:p>
    <w:p w14:paraId="6BEA178D">
      <w:pPr>
        <w:spacing w:after="60" w:line="360" w:lineRule="auto"/>
        <w:ind w:left="960"/>
        <w:jc w:val="left"/>
        <w:rPr>
          <w:rFonts w:ascii="宋体" w:hAnsi="宋体" w:eastAsia="宋体"/>
          <w:sz w:val="24"/>
        </w:rPr>
      </w:pPr>
      <w:r>
        <w:rPr>
          <w:rFonts w:ascii="宋体" w:hAnsi="宋体" w:eastAsia="宋体"/>
          <w:sz w:val="24"/>
        </w:rPr>
        <w:t>　　4.2.1 功能模块说明（光谱上传、AI自动分析、结果可视化）</w:t>
      </w:r>
    </w:p>
    <w:p w14:paraId="1CEDA3A4">
      <w:pPr>
        <w:spacing w:after="60" w:line="360" w:lineRule="auto"/>
        <w:ind w:left="960"/>
        <w:jc w:val="left"/>
        <w:rPr>
          <w:rFonts w:ascii="宋体" w:hAnsi="宋体" w:eastAsia="宋体"/>
          <w:sz w:val="24"/>
        </w:rPr>
      </w:pPr>
      <w:r>
        <w:rPr>
          <w:rFonts w:ascii="宋体" w:hAnsi="宋体" w:eastAsia="宋体"/>
          <w:sz w:val="24"/>
        </w:rPr>
        <w:t>　　4.2.2 关键界面展示</w:t>
      </w:r>
    </w:p>
    <w:p w14:paraId="62C29320">
      <w:pPr>
        <w:spacing w:after="60" w:line="360" w:lineRule="auto"/>
        <w:ind w:left="480"/>
        <w:jc w:val="left"/>
        <w:rPr>
          <w:rFonts w:ascii="宋体" w:hAnsi="宋体" w:eastAsia="宋体"/>
          <w:sz w:val="24"/>
        </w:rPr>
      </w:pPr>
      <w:r>
        <w:rPr>
          <w:rFonts w:ascii="宋体" w:hAnsi="宋体" w:eastAsia="宋体"/>
          <w:sz w:val="24"/>
        </w:rPr>
        <w:t>4.3 微信小程序设计与实现</w:t>
      </w:r>
    </w:p>
    <w:p w14:paraId="46601BEA">
      <w:pPr>
        <w:spacing w:after="60" w:line="360" w:lineRule="auto"/>
        <w:ind w:left="960"/>
        <w:jc w:val="left"/>
        <w:rPr>
          <w:rFonts w:ascii="宋体" w:hAnsi="宋体" w:eastAsia="宋体"/>
          <w:sz w:val="24"/>
        </w:rPr>
      </w:pPr>
      <w:r>
        <w:rPr>
          <w:rFonts w:ascii="宋体" w:hAnsi="宋体" w:eastAsia="宋体"/>
          <w:sz w:val="24"/>
        </w:rPr>
        <w:t>　　4.3.1 小程序功能架构</w:t>
      </w:r>
    </w:p>
    <w:p w14:paraId="08919AF3">
      <w:pPr>
        <w:spacing w:after="60" w:line="360" w:lineRule="auto"/>
        <w:ind w:left="960"/>
        <w:jc w:val="left"/>
        <w:rPr>
          <w:rFonts w:ascii="宋体" w:hAnsi="宋体" w:eastAsia="宋体"/>
          <w:sz w:val="24"/>
        </w:rPr>
      </w:pPr>
      <w:r>
        <w:rPr>
          <w:rFonts w:ascii="宋体" w:hAnsi="宋体" w:eastAsia="宋体"/>
          <w:sz w:val="24"/>
        </w:rPr>
        <w:t>　　4.3.2 用户交互流程设计</w:t>
      </w:r>
    </w:p>
    <w:p w14:paraId="0C1CCD83">
      <w:pPr>
        <w:spacing w:after="60" w:line="360" w:lineRule="auto"/>
        <w:ind w:left="960"/>
        <w:jc w:val="left"/>
        <w:rPr>
          <w:rFonts w:ascii="宋体" w:hAnsi="宋体" w:eastAsia="宋体"/>
          <w:sz w:val="24"/>
        </w:rPr>
      </w:pPr>
      <w:r>
        <w:rPr>
          <w:rFonts w:ascii="宋体" w:hAnsi="宋体" w:eastAsia="宋体"/>
          <w:sz w:val="24"/>
        </w:rPr>
        <w:t>　　4.3.3 关键界面展示</w:t>
      </w:r>
    </w:p>
    <w:p w14:paraId="5C76BBD6">
      <w:pPr>
        <w:spacing w:after="60" w:line="360" w:lineRule="auto"/>
        <w:ind w:left="480"/>
        <w:jc w:val="left"/>
        <w:rPr>
          <w:rFonts w:ascii="宋体" w:hAnsi="宋体" w:eastAsia="宋体"/>
          <w:sz w:val="24"/>
        </w:rPr>
      </w:pPr>
      <w:r>
        <w:rPr>
          <w:rFonts w:ascii="宋体" w:hAnsi="宋体" w:eastAsia="宋体"/>
          <w:sz w:val="24"/>
        </w:rPr>
        <w:t>4.4 AI分析服务接口设计（API设计、模型部署方案）</w:t>
      </w:r>
    </w:p>
    <w:p w14:paraId="211CD0E5">
      <w:pPr>
        <w:spacing w:after="60" w:line="360" w:lineRule="auto"/>
        <w:ind w:left="480"/>
        <w:jc w:val="left"/>
        <w:rPr>
          <w:rFonts w:ascii="宋体" w:hAnsi="宋体" w:eastAsia="宋体"/>
          <w:sz w:val="24"/>
        </w:rPr>
      </w:pPr>
      <w:r>
        <w:rPr>
          <w:rFonts w:ascii="宋体" w:hAnsi="宋体" w:eastAsia="宋体"/>
          <w:sz w:val="24"/>
        </w:rPr>
        <w:t>4.5 数据安全与系统稳定性设计</w:t>
      </w:r>
    </w:p>
    <w:p w14:paraId="5143D56B">
      <w:pPr>
        <w:spacing w:after="60" w:line="360" w:lineRule="auto"/>
        <w:jc w:val="left"/>
        <w:rPr>
          <w:rFonts w:ascii="宋体" w:hAnsi="宋体" w:eastAsia="宋体"/>
          <w:sz w:val="24"/>
        </w:rPr>
      </w:pPr>
      <w:r>
        <w:rPr>
          <w:rFonts w:ascii="宋体" w:hAnsi="宋体" w:eastAsia="宋体"/>
          <w:sz w:val="24"/>
        </w:rPr>
        <w:t>第五章：实验结果与分析</w:t>
      </w:r>
    </w:p>
    <w:p w14:paraId="63D77D30">
      <w:pPr>
        <w:spacing w:after="60" w:line="360" w:lineRule="auto"/>
        <w:ind w:left="480"/>
        <w:jc w:val="left"/>
        <w:rPr>
          <w:rFonts w:ascii="宋体" w:hAnsi="宋体" w:eastAsia="宋体"/>
          <w:sz w:val="24"/>
        </w:rPr>
      </w:pPr>
      <w:r>
        <w:rPr>
          <w:rFonts w:ascii="宋体" w:hAnsi="宋体" w:eastAsia="宋体"/>
          <w:sz w:val="24"/>
        </w:rPr>
        <w:t>5.1 品质预测实验结果（糖度、酸度、VC等各指标R²/RMSE）</w:t>
      </w:r>
    </w:p>
    <w:p w14:paraId="7159A021">
      <w:pPr>
        <w:spacing w:after="60" w:line="360" w:lineRule="auto"/>
        <w:ind w:left="480"/>
        <w:jc w:val="left"/>
        <w:rPr>
          <w:rFonts w:ascii="宋体" w:hAnsi="宋体" w:eastAsia="宋体"/>
          <w:sz w:val="24"/>
        </w:rPr>
      </w:pPr>
      <w:r>
        <w:rPr>
          <w:rFonts w:ascii="宋体" w:hAnsi="宋体" w:eastAsia="宋体"/>
          <w:sz w:val="24"/>
        </w:rPr>
        <w:t>5.2 多仪器融合 vs 单仪器对比分析</w:t>
      </w:r>
    </w:p>
    <w:p w14:paraId="02AC0B82">
      <w:pPr>
        <w:spacing w:after="60" w:line="360" w:lineRule="auto"/>
        <w:ind w:left="480"/>
        <w:jc w:val="left"/>
        <w:rPr>
          <w:rFonts w:ascii="宋体" w:hAnsi="宋体" w:eastAsia="宋体"/>
          <w:sz w:val="24"/>
        </w:rPr>
      </w:pPr>
      <w:r>
        <w:rPr>
          <w:rFonts w:ascii="宋体" w:hAnsi="宋体" w:eastAsia="宋体"/>
          <w:sz w:val="24"/>
        </w:rPr>
        <w:t>5.3 产地溯源分类准确率分析</w:t>
      </w:r>
    </w:p>
    <w:p w14:paraId="5447A771">
      <w:pPr>
        <w:spacing w:after="60" w:line="360" w:lineRule="auto"/>
        <w:ind w:left="480"/>
        <w:jc w:val="left"/>
        <w:rPr>
          <w:rFonts w:ascii="宋体" w:hAnsi="宋体" w:eastAsia="宋体"/>
          <w:sz w:val="24"/>
        </w:rPr>
      </w:pPr>
      <w:r>
        <w:rPr>
          <w:rFonts w:ascii="宋体" w:hAnsi="宋体" w:eastAsia="宋体"/>
          <w:sz w:val="24"/>
        </w:rPr>
        <w:t>5.4 光谱特征可解释性分析（关键特征波段可视化）</w:t>
      </w:r>
    </w:p>
    <w:p w14:paraId="7EF0220E">
      <w:pPr>
        <w:spacing w:after="60" w:line="360" w:lineRule="auto"/>
        <w:ind w:left="480"/>
        <w:jc w:val="left"/>
        <w:rPr>
          <w:rFonts w:ascii="宋体" w:hAnsi="宋体" w:eastAsia="宋体"/>
          <w:sz w:val="24"/>
        </w:rPr>
      </w:pPr>
      <w:r>
        <w:rPr>
          <w:rFonts w:ascii="宋体" w:hAnsi="宋体" w:eastAsia="宋体"/>
          <w:sz w:val="24"/>
        </w:rPr>
        <w:t>5.5 系统实测演示（上传真实光谱数据的端到端测试）</w:t>
      </w:r>
    </w:p>
    <w:p w14:paraId="32F6F65D">
      <w:pPr>
        <w:spacing w:after="60" w:line="360" w:lineRule="auto"/>
        <w:jc w:val="left"/>
        <w:rPr>
          <w:rFonts w:ascii="宋体" w:hAnsi="宋体" w:eastAsia="宋体"/>
          <w:sz w:val="24"/>
        </w:rPr>
      </w:pPr>
      <w:r>
        <w:rPr>
          <w:rFonts w:ascii="宋体" w:hAnsi="宋体" w:eastAsia="宋体"/>
          <w:sz w:val="24"/>
        </w:rPr>
        <w:t>第六章：应用价值与推广前景</w:t>
      </w:r>
    </w:p>
    <w:p w14:paraId="72777394">
      <w:pPr>
        <w:spacing w:after="60" w:line="360" w:lineRule="auto"/>
        <w:ind w:left="480"/>
        <w:jc w:val="left"/>
        <w:rPr>
          <w:rFonts w:ascii="宋体" w:hAnsi="宋体" w:eastAsia="宋体"/>
          <w:sz w:val="24"/>
        </w:rPr>
      </w:pPr>
      <w:r>
        <w:rPr>
          <w:rFonts w:ascii="宋体" w:hAnsi="宋体" w:eastAsia="宋体"/>
          <w:sz w:val="24"/>
        </w:rPr>
        <w:t>6.1 面向用户场景分析（科研院所、农业企业、质检机构）</w:t>
      </w:r>
    </w:p>
    <w:p w14:paraId="150A4E5B">
      <w:pPr>
        <w:spacing w:after="60" w:line="360" w:lineRule="auto"/>
        <w:ind w:left="480"/>
        <w:jc w:val="left"/>
        <w:rPr>
          <w:rFonts w:ascii="宋体" w:hAnsi="宋体" w:eastAsia="宋体"/>
          <w:sz w:val="24"/>
        </w:rPr>
      </w:pPr>
      <w:r>
        <w:rPr>
          <w:rFonts w:ascii="宋体" w:hAnsi="宋体" w:eastAsia="宋体"/>
          <w:sz w:val="24"/>
        </w:rPr>
        <w:t>6.2 与现有检测手段的对比优势</w:t>
      </w:r>
    </w:p>
    <w:p w14:paraId="6849FFBC">
      <w:pPr>
        <w:spacing w:after="60" w:line="360" w:lineRule="auto"/>
        <w:ind w:left="480"/>
        <w:jc w:val="left"/>
        <w:rPr>
          <w:rFonts w:ascii="宋体" w:hAnsi="宋体" w:eastAsia="宋体"/>
          <w:sz w:val="24"/>
        </w:rPr>
      </w:pPr>
      <w:r>
        <w:rPr>
          <w:rFonts w:ascii="宋体" w:hAnsi="宋体" w:eastAsia="宋体"/>
          <w:sz w:val="24"/>
        </w:rPr>
        <w:t>6.3 技术可扩展性（迁移至其他水果品种、其他产地的可行性）</w:t>
      </w:r>
    </w:p>
    <w:p w14:paraId="78F8E09A">
      <w:pPr>
        <w:spacing w:after="60" w:line="360" w:lineRule="auto"/>
        <w:ind w:left="480"/>
        <w:jc w:val="left"/>
        <w:rPr>
          <w:rFonts w:ascii="宋体" w:hAnsi="宋体" w:eastAsia="宋体"/>
          <w:sz w:val="24"/>
        </w:rPr>
      </w:pPr>
      <w:r>
        <w:rPr>
          <w:rFonts w:ascii="宋体" w:hAnsi="宋体" w:eastAsia="宋体"/>
          <w:sz w:val="24"/>
        </w:rPr>
        <w:t>6.4 社会与产业价值</w:t>
      </w:r>
    </w:p>
    <w:p w14:paraId="70DF692F">
      <w:pPr>
        <w:spacing w:after="60" w:line="360" w:lineRule="auto"/>
        <w:jc w:val="left"/>
        <w:rPr>
          <w:rFonts w:ascii="宋体" w:hAnsi="宋体" w:eastAsia="宋体"/>
          <w:sz w:val="24"/>
        </w:rPr>
      </w:pPr>
      <w:r>
        <w:rPr>
          <w:rFonts w:ascii="宋体" w:hAnsi="宋体" w:eastAsia="宋体"/>
          <w:sz w:val="24"/>
        </w:rPr>
        <w:t>第七章：团队介绍</w:t>
      </w:r>
    </w:p>
    <w:p w14:paraId="21DE58AE">
      <w:pPr>
        <w:spacing w:after="60" w:line="360" w:lineRule="auto"/>
        <w:ind w:left="480"/>
        <w:jc w:val="left"/>
        <w:rPr>
          <w:rFonts w:ascii="宋体" w:hAnsi="宋体" w:eastAsia="宋体"/>
          <w:sz w:val="24"/>
        </w:rPr>
      </w:pPr>
      <w:r>
        <w:rPr>
          <w:rFonts w:ascii="宋体" w:hAnsi="宋体" w:eastAsia="宋体"/>
          <w:sz w:val="24"/>
        </w:rPr>
        <w:t>7.1 团队组织与分工</w:t>
      </w:r>
    </w:p>
    <w:p w14:paraId="0408567E">
      <w:pPr>
        <w:spacing w:after="60" w:line="360" w:lineRule="auto"/>
        <w:ind w:left="480"/>
        <w:jc w:val="left"/>
        <w:rPr>
          <w:rFonts w:ascii="宋体" w:hAnsi="宋体" w:eastAsia="宋体"/>
          <w:sz w:val="24"/>
        </w:rPr>
      </w:pPr>
      <w:r>
        <w:rPr>
          <w:rFonts w:ascii="宋体" w:hAnsi="宋体" w:eastAsia="宋体"/>
          <w:sz w:val="24"/>
        </w:rPr>
        <w:t>7.2 指导教师与顾问</w:t>
      </w:r>
    </w:p>
    <w:p w14:paraId="18A839B7">
      <w:pPr>
        <w:spacing w:after="60" w:line="360" w:lineRule="auto"/>
        <w:ind w:left="480"/>
        <w:jc w:val="left"/>
        <w:rPr>
          <w:rFonts w:ascii="宋体" w:hAnsi="宋体" w:eastAsia="宋体"/>
          <w:sz w:val="24"/>
        </w:rPr>
      </w:pPr>
      <w:r>
        <w:rPr>
          <w:rFonts w:ascii="宋体" w:hAnsi="宋体" w:eastAsia="宋体"/>
          <w:sz w:val="24"/>
        </w:rPr>
        <w:t>7.3 团队核心优势</w:t>
      </w:r>
    </w:p>
    <w:p w14:paraId="106C9FA7">
      <w:pPr>
        <w:spacing w:after="60" w:line="360" w:lineRule="auto"/>
        <w:jc w:val="left"/>
        <w:rPr>
          <w:rFonts w:ascii="宋体" w:hAnsi="宋体" w:eastAsia="宋体"/>
          <w:sz w:val="24"/>
        </w:rPr>
      </w:pPr>
      <w:r>
        <w:rPr>
          <w:rFonts w:ascii="宋体" w:hAnsi="宋体" w:eastAsia="宋体"/>
          <w:sz w:val="24"/>
        </w:rPr>
        <w:t>附录</w:t>
      </w:r>
    </w:p>
    <w:p w14:paraId="7A8E6715">
      <w:pPr>
        <w:spacing w:after="60" w:line="360" w:lineRule="auto"/>
        <w:jc w:val="left"/>
        <w:rPr>
          <w:rFonts w:ascii="宋体" w:hAnsi="宋体" w:eastAsia="宋体"/>
          <w:sz w:val="24"/>
        </w:rPr>
      </w:pPr>
      <w:r>
        <w:rPr>
          <w:rFonts w:ascii="宋体" w:hAnsi="宋体" w:eastAsia="宋体"/>
          <w:sz w:val="24"/>
        </w:rPr>
        <w:t>附录A：数据集说明与样本统计</w:t>
      </w:r>
    </w:p>
    <w:p w14:paraId="24DB4574">
      <w:pPr>
        <w:spacing w:after="60" w:line="360" w:lineRule="auto"/>
        <w:jc w:val="left"/>
        <w:rPr>
          <w:rFonts w:ascii="宋体" w:hAnsi="宋体" w:eastAsia="宋体"/>
          <w:sz w:val="24"/>
        </w:rPr>
      </w:pPr>
      <w:r>
        <w:rPr>
          <w:rFonts w:ascii="宋体" w:hAnsi="宋体" w:eastAsia="宋体"/>
          <w:sz w:val="24"/>
        </w:rPr>
        <w:t>附录B：模型超参数配置</w:t>
      </w:r>
    </w:p>
    <w:p w14:paraId="623FB5F9">
      <w:pPr>
        <w:spacing w:after="60" w:line="360" w:lineRule="auto"/>
        <w:jc w:val="left"/>
        <w:rPr>
          <w:rFonts w:ascii="宋体" w:hAnsi="宋体" w:eastAsia="宋体"/>
          <w:sz w:val="24"/>
        </w:rPr>
      </w:pPr>
      <w:r>
        <w:rPr>
          <w:rFonts w:ascii="宋体" w:hAnsi="宋体" w:eastAsia="宋体"/>
          <w:sz w:val="24"/>
        </w:rPr>
        <w:t>附录C：系统部署环境说明</w:t>
      </w:r>
    </w:p>
    <w:p w14:paraId="75A29AE4">
      <w:pPr>
        <w:spacing w:after="60" w:line="360" w:lineRule="auto"/>
        <w:jc w:val="left"/>
        <w:rPr>
          <w:rFonts w:ascii="宋体" w:hAnsi="宋体" w:eastAsia="宋体"/>
          <w:sz w:val="24"/>
        </w:rPr>
      </w:pPr>
      <w:r>
        <w:rPr>
          <w:rFonts w:ascii="宋体" w:hAnsi="宋体" w:eastAsia="宋体"/>
          <w:sz w:val="24"/>
        </w:rPr>
        <w:t>附录D：参考文献</w:t>
      </w:r>
    </w:p>
    <w:p w14:paraId="083F8DA6">
      <w:pPr>
        <w:pStyle w:val="2"/>
        <w:widowControl/>
        <w:spacing w:before="240" w:beforeAutospacing="0" w:after="160" w:afterAutospacing="0" w:line="400" w:lineRule="auto"/>
        <w:rPr>
          <w:rFonts w:hint="default" w:ascii="黑体" w:hAnsi="黑体" w:eastAsia="黑体" w:cstheme="minorBidi"/>
          <w:bCs w:val="0"/>
          <w:color w:val="000000"/>
          <w:kern w:val="2"/>
          <w:sz w:val="32"/>
          <w:szCs w:val="24"/>
        </w:rPr>
      </w:pPr>
      <w:r>
        <w:rPr>
          <w:rFonts w:hint="default" w:ascii="黑体" w:hAnsi="黑体" w:eastAsia="黑体" w:cstheme="minorBidi"/>
          <w:bCs w:val="0"/>
          <w:color w:val="000000"/>
          <w:kern w:val="2"/>
          <w:sz w:val="32"/>
          <w:szCs w:val="24"/>
        </w:rPr>
        <w:t>第一章：项目概述</w:t>
      </w:r>
    </w:p>
    <w:p w14:paraId="2B171953">
      <w:pPr>
        <w:pStyle w:val="3"/>
        <w:widowControl/>
        <w:spacing w:before="160" w:beforeAutospacing="0" w:after="120" w:afterAutospacing="0" w:line="360" w:lineRule="auto"/>
        <w:rPr>
          <w:rFonts w:hint="default" w:ascii="黑体" w:hAnsi="黑体" w:eastAsia="黑体" w:cstheme="minorBidi"/>
          <w:bCs w:val="0"/>
          <w:color w:val="000000"/>
          <w:kern w:val="2"/>
          <w:sz w:val="30"/>
          <w:szCs w:val="24"/>
        </w:rPr>
      </w:pPr>
      <w:r>
        <w:rPr>
          <w:rFonts w:hint="default" w:ascii="黑体" w:hAnsi="黑体" w:eastAsia="黑体" w:cstheme="minorBidi"/>
          <w:bCs w:val="0"/>
          <w:color w:val="000000"/>
          <w:kern w:val="2"/>
          <w:sz w:val="30"/>
          <w:szCs w:val="24"/>
        </w:rPr>
        <w:t>1.1 研究背景与问题提出</w:t>
      </w:r>
    </w:p>
    <w:p w14:paraId="00EF90A0">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柑橘产业作为海南热带特色农业的支柱之一，在促进地方经济发展和农民增收中发挥着至关重要的作用。以"澄迈福橙（CM）"和"琼中绿橙（QZ）"为代表的海南名优品种，凭借独特的气候条件和优良的品质，已获得国家地理标志产品保护。然而，在产业规模化、品牌化发展的进程中，传统的品质监控与溯源手段已难以支撑现代农业的高质量要求，主要面临以下三大核心问题：</w:t>
      </w:r>
    </w:p>
    <w:p w14:paraId="633BDC9A">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​（1）内部品质检测的"破坏性"与"高损耗"矛盾</w:t>
      </w:r>
    </w:p>
    <w:p w14:paraId="39C41112">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目前，柑橘糖度（固形物）、酸度及维生素 C 等核心品质指标的检测主要依赖理化滴定法或手持折光仪。这些方法本质上是破坏性的，必须切开果实、挤压取汁。对于高单价的地理标志产品而言，这种"抽检即损耗"的模式限制了质检的覆盖面，导致大量果品在未经检测的情况下进入市场，品质参差不齐，难以实现真正的"按质定价"。</w:t>
      </w:r>
    </w:p>
    <w:p w14:paraId="17E43CC9">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从产业规模来看，2024 年海南柑橘种植面积已突破 80 万亩，年产量超 60 万吨，产值约 45 亿元。但在市场扩容的背后，品质检测覆盖率不足 15%，成为制约产业高质量发展的突出隐患。</w:t>
      </w:r>
    </w:p>
    <w:p w14:paraId="45A3F9E3">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​（2）产地溯源的"信息空洞"与"品牌侵权"风险</w:t>
      </w:r>
    </w:p>
    <w:p w14:paraId="22AD306E">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海南柑橘品牌溢价显著，导致市场上非海南产区（如广西、广东等地）的柑橘冒充海南绿橙或福橙的现象屡禁不止。现有的溯源体系多基于二维码或纸质标签，这类"外部标签溯源"仅记录了物流信息，极易被仿冒或掉包。由于不同产区的土壤成分、微量元素及气候因子会显著改变果实的光谱特征，行业急需一种基于果实自身"生物指纹"的硬核溯源技术，从本质上鉴别产地真实性。</w:t>
      </w:r>
    </w:p>
    <w:p w14:paraId="0868FC7E">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据海南省市场监管局 2024 年专项抽检数据显示，市面上标称"海南绿橙"的产品中，约有 23% 实际产自外省，品牌侵权造成的年经济损失估计超 8 亿元。</w:t>
      </w:r>
    </w:p>
    <w:p w14:paraId="14467682">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​（3）检测手段的"专业门槛高"与"应用场景受限"​</w:t>
      </w:r>
    </w:p>
    <w:p w14:paraId="4CF8285C">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高精度的液质联用（LC-MS）等实验室技术虽然能提供详尽的成分分析，但设备昂贵、操作复杂且耗时长，无法在果园采收、商超质检等移动场景中普及。单次检测成本高达 300-500 元，检测周期 2-4 小时，如何在保持实验室级精度的同时，实现检测设备的便携化与操作的智能化，是当前农产品数字化转型的技术洼地。</w:t>
      </w:r>
    </w:p>
    <w:p w14:paraId="6F041922">
      <w:pPr>
        <w:pStyle w:val="3"/>
        <w:widowControl/>
        <w:spacing w:before="160" w:beforeAutospacing="0" w:after="120" w:afterAutospacing="0" w:line="360" w:lineRule="auto"/>
        <w:rPr>
          <w:rFonts w:hint="default" w:ascii="黑体" w:hAnsi="黑体" w:eastAsia="黑体" w:cstheme="minorBidi"/>
          <w:bCs w:val="0"/>
          <w:color w:val="000000"/>
          <w:kern w:val="2"/>
          <w:sz w:val="30"/>
          <w:szCs w:val="24"/>
        </w:rPr>
      </w:pPr>
      <w:r>
        <w:rPr>
          <w:rFonts w:hint="default" w:ascii="黑体" w:hAnsi="黑体" w:eastAsia="黑体" w:cstheme="minorBidi"/>
          <w:bCs w:val="0"/>
          <w:color w:val="000000"/>
          <w:kern w:val="2"/>
          <w:sz w:val="30"/>
          <w:szCs w:val="24"/>
        </w:rPr>
        <w:t>1.2 项目定位与核心价值</w:t>
      </w:r>
    </w:p>
    <w:p w14:paraId="731F8CF1">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本项目立足于海南自贸港农业现代化建设，定位为"全链条数字化农产品智能质检与产地溯源平台"。项目通过集成高光谱成像（HSI）与多型近红外光谱（NIR）传感器，利用深度学习模型对柑橘进行"透视化"分析。</w:t>
      </w:r>
    </w:p>
    <w:p w14:paraId="75DB3193">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其核心价值主要体现在以下三个层面：</w:t>
      </w:r>
    </w:p>
    <w:p w14:paraId="0FB514A4">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技术层面：实现"图谱合一"的无损感知</w:t>
      </w:r>
    </w:p>
    <w:p w14:paraId="2F53E43E">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将光学传感与人工智能深度融合，让柑橘品质检测从"肉眼经验判断"进化为"数据驱动决策"，实现秒级、无损的精准测量。单次检测时间压缩至 20 秒以内，检测成本降至传统方法的 1/10 以下，全程无需化学试剂、无需破坏果实。</w:t>
      </w:r>
    </w:p>
    <w:p w14:paraId="2E80774D">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产业层面：保护地理标志品牌价值</w:t>
      </w:r>
    </w:p>
    <w:p w14:paraId="6280ED75">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通过建立海南柑橘专属的光谱指纹库，为品牌方提供不可篡改的产地验证手段，维护海南农业品牌的信誉与溢价。项目建成后，预计可将海南柑橘品牌侵权率降低 80% 以上，直接保护果农年收益超 6 亿元。</w:t>
      </w:r>
    </w:p>
    <w:p w14:paraId="6377C518">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社会层面：推动智慧农业普惠化</w:t>
      </w:r>
    </w:p>
    <w:p w14:paraId="342DE816">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通过开发网页端与微信小程序，降低高精尖检测技术的使用门槛，让果农、采购商和消费者都能享受到数字化农业带来的便利。项目计划三年内覆盖海南 80% 以上规模化柑橘种植基地，培训基层检测人员超 1000 人次。</w:t>
      </w:r>
    </w:p>
    <w:p w14:paraId="763F2CB8">
      <w:pPr>
        <w:pStyle w:val="3"/>
        <w:widowControl/>
        <w:spacing w:before="160" w:beforeAutospacing="0" w:after="120" w:afterAutospacing="0" w:line="360" w:lineRule="auto"/>
        <w:rPr>
          <w:rFonts w:hint="default" w:ascii="黑体" w:hAnsi="黑体" w:eastAsia="黑体" w:cstheme="minorBidi"/>
          <w:bCs w:val="0"/>
          <w:color w:val="000000"/>
          <w:kern w:val="2"/>
          <w:sz w:val="30"/>
          <w:szCs w:val="24"/>
        </w:rPr>
      </w:pPr>
      <w:r>
        <w:rPr>
          <w:rFonts w:hint="default" w:ascii="黑体" w:hAnsi="黑体" w:eastAsia="黑体" w:cstheme="minorBidi"/>
          <w:bCs w:val="0"/>
          <w:color w:val="000000"/>
          <w:kern w:val="2"/>
          <w:sz w:val="30"/>
          <w:szCs w:val="24"/>
        </w:rPr>
        <w:t>1.3 主要创新点</w:t>
      </w:r>
    </w:p>
    <w:p w14:paraId="0B04DEB8">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​（1）多模态光谱融合与异构数据对齐技术</w:t>
      </w:r>
    </w:p>
    <w:p w14:paraId="315D0401">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项目不局限于单一的光谱维度，而是创新性地融合了 HSI 高光谱（覆盖 400-1000nm，侧重空间分布与表型）与 R210/S960 近红外光谱（覆盖 900-2500nm，侧重分子键能振动）。通过多模态数据对齐算法，构建了柑橘的"全谱段数字孪生"，显著提升了模型在复杂基质干扰下的鲁棒性。</w:t>
      </w:r>
    </w:p>
    <w:p w14:paraId="34B2423F">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相较于单一光谱方案，多模态融合将糖度预测精度提升 12%，产地溯源准确率提升 8%，有效解决了果皮厚度、果实成熟度等变量对检测结果的干扰。</w:t>
      </w:r>
    </w:p>
    <w:p w14:paraId="74BC0763">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​（2）融合注意力机制的特征波段自动提取算法</w:t>
      </w:r>
    </w:p>
    <w:p w14:paraId="165729D7">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针对光谱数据维度极高、冗余信息多的问题，项目摒弃了传统的经验选波段方法，设计了基于深度学习注意力机制（Attention Mechanism）的特征选择策略。该算法能自动锁定与糖分、有机酸及特定产地特征基团相关的"黄金波段"，在减少计算量的同时，将预测精度提升了 15% 以上。</w:t>
      </w:r>
    </w:p>
    <w:p w14:paraId="3D74B5A7">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通过 Lasso 回归与注意力机制的级联筛选，最终从 2000+ 原始波段中压缩至 25-35 个核心特征波段，为后续便携式设备的微型化奠定了算法基础。</w:t>
      </w:r>
    </w:p>
    <w:p w14:paraId="4B53AD4C">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​（3）云端协同的端到端工程化实现架构</w:t>
      </w:r>
    </w:p>
    <w:p w14:paraId="1AB05082">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项目实现了从底层硬件驱动到云端 AI 推理再到前端可视化呈现的完整链路。创新性地解决了大容量光谱文件在移动端的快速上传与云端实时解析的瓶颈，确保了在弱网环境下依然能提供稳定的 AI 质检服务。</w:t>
      </w:r>
    </w:p>
    <w:p w14:paraId="1C7462DC">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系统采用"边缘计算 + 云端训练"的混合架构，90% 的推理任务在本地完成，仅需上传脱敏特征向量至云端用于模型迭代，既保障了检测速度，又实现了算法的持续进化。</w:t>
      </w:r>
    </w:p>
    <w:p w14:paraId="1BEB08F1">
      <w:pPr>
        <w:pStyle w:val="3"/>
        <w:widowControl/>
        <w:spacing w:before="160" w:beforeAutospacing="0" w:after="120" w:afterAutospacing="0" w:line="360" w:lineRule="auto"/>
        <w:rPr>
          <w:rFonts w:hint="default" w:ascii="黑体" w:hAnsi="黑体" w:eastAsia="黑体" w:cstheme="minorBidi"/>
          <w:bCs w:val="0"/>
          <w:color w:val="000000"/>
          <w:kern w:val="2"/>
          <w:sz w:val="30"/>
          <w:szCs w:val="24"/>
        </w:rPr>
      </w:pPr>
      <w:r>
        <w:rPr>
          <w:rFonts w:hint="default" w:ascii="黑体" w:hAnsi="黑体" w:eastAsia="黑体" w:cstheme="minorBidi"/>
          <w:bCs w:val="0"/>
          <w:color w:val="000000"/>
          <w:kern w:val="2"/>
          <w:sz w:val="30"/>
          <w:szCs w:val="24"/>
        </w:rPr>
        <w:t>1.4 项目成果概览</w:t>
      </w:r>
    </w:p>
    <w:p w14:paraId="5A9364F9">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​（1）标准化数据集</w:t>
      </w:r>
    </w:p>
    <w:p w14:paraId="42BAE0FC">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项目已完成 200 余组海南核心产区柑橘样本的采集，建立了包含光谱数据、理化指标、液质指标在内的综合数据库。数据集覆盖澄迈福橙、琼中绿橙两大地理标志品种，样本采集时间跨度 2024 年 9 月至 2025 年 2 月，涵盖不同成熟度等级（七成熟、八成熟、九成熟、完熟）。</w:t>
      </w:r>
    </w:p>
    <w:p w14:paraId="6C36A07A">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每个样本包含：HSI 高光谱数据立方体（400-1000nm，256 波段）、R210 近红外光谱（900-1700nm，285 波段）、S960 近红外光谱（1100-2500nm，450 波段）、基础理化指标 4 项（糖度、酸度、糖酸比、维生素 C）、液质联用指标 36 项（18 种氨基酸、8 种有机酸、10 种类黄酮）。</w:t>
      </w:r>
    </w:p>
    <w:p w14:paraId="5D9F23B7">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​（2）高精度算法模型</w:t>
      </w:r>
    </w:p>
    <w:p w14:paraId="4DE312FA">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品质预测方面，糖度预测相关系数 R²≥0.92，均方根误差 RMSE≤0.5；酸度预测相关系数 R²≥0.89，均方根误差 RMSE≤0.3；维生素 C 预测相关系数 R²≥0.87。各项指标精度同步达到行业领先水平，与传统实验室金标准（HPLC/LC-MS）检测结果相关性≥0.94。</w:t>
      </w:r>
    </w:p>
    <w:p w14:paraId="73EE317A">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产地溯源方面，针对澄迈与琼中两大产区的分类准确率稳定在 96% 以上，混淆矩阵显示误判率低于 4%，且主要发生在相邻成熟度样本之间。模型在独立测试集上的泛化能力验证通过，跨区域盲测准确率≥93%。</w:t>
      </w:r>
    </w:p>
    <w:p w14:paraId="750AAD82">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​（3）全平台系统产出</w:t>
      </w:r>
    </w:p>
    <w:p w14:paraId="0AA7C173">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Web 平台：支持光谱数据批量处理、模型在线训练展示与质检报表导出。平台采用前后端分离架构，前端基于 Vue3+ElementPlus，后端采用 FastAPI+PyTorch Serving，支持并发处理 50+ 检测请求。核心功能模块包括：光谱数据上传与管理、AI 自动分析引擎、可视化结果展示、历史数据追溯、检测报告一键导出。</w:t>
      </w:r>
    </w:p>
    <w:p w14:paraId="66627744">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微信小程序：已实现移动端便携检测功能，支持现场扫码、光谱上传及 AI 实时诊断。小程序采用原生开发，集成蓝牙/WiFi 直连光谱仪功能，果农在果园即可完成检测，20 秒内获取糖度、酸度、产地三项核心指标。上线三个月累计服务用户 320 人次，日均检测量 45 次。</w:t>
      </w:r>
    </w:p>
    <w:p w14:paraId="53644A59">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API 服务：构建了标准化的 AI 分析接口，可快速对接第三方农业物联网平台。接口采用 RESTful 设计规范，支持 JSON 格式数据交互，提供身份认证、速率限制、日志追踪等企业级功能。已与海南省农业物联网平台完成初步对接测试，响应时间&lt;500ms。</w:t>
      </w:r>
    </w:p>
    <w:p w14:paraId="1916AD7D">
      <w:pPr>
        <w:pStyle w:val="2"/>
        <w:widowControl/>
        <w:spacing w:before="240" w:beforeAutospacing="0" w:after="160" w:afterAutospacing="0" w:line="400" w:lineRule="auto"/>
        <w:rPr>
          <w:rFonts w:hint="default" w:ascii="黑体" w:hAnsi="黑体" w:eastAsia="黑体" w:cstheme="minorBidi"/>
          <w:bCs w:val="0"/>
          <w:color w:val="000000"/>
          <w:kern w:val="2"/>
          <w:sz w:val="32"/>
          <w:szCs w:val="24"/>
        </w:rPr>
      </w:pPr>
      <w:r>
        <w:rPr>
          <w:rFonts w:hint="default" w:ascii="黑体" w:hAnsi="黑体" w:eastAsia="黑体" w:cstheme="minorBidi"/>
          <w:bCs w:val="0"/>
          <w:color w:val="000000"/>
          <w:kern w:val="2"/>
          <w:sz w:val="32"/>
          <w:szCs w:val="24"/>
        </w:rPr>
        <w:t>第二章：数据基础与实验设计</w:t>
      </w:r>
    </w:p>
    <w:p w14:paraId="37E7BF28">
      <w:pPr>
        <w:pStyle w:val="3"/>
        <w:widowControl/>
        <w:spacing w:before="160" w:beforeAutospacing="0" w:after="120" w:afterAutospacing="0" w:line="360" w:lineRule="auto"/>
        <w:rPr>
          <w:rFonts w:hint="default" w:ascii="黑体" w:hAnsi="黑体" w:eastAsia="黑体" w:cstheme="minorBidi"/>
          <w:bCs w:val="0"/>
          <w:color w:val="000000"/>
          <w:kern w:val="2"/>
          <w:sz w:val="30"/>
          <w:szCs w:val="24"/>
        </w:rPr>
      </w:pPr>
      <w:r>
        <w:rPr>
          <w:rFonts w:hint="default" w:ascii="黑体" w:hAnsi="黑体" w:eastAsia="黑体" w:cstheme="minorBidi"/>
          <w:bCs w:val="0"/>
          <w:color w:val="000000"/>
          <w:kern w:val="2"/>
          <w:sz w:val="30"/>
          <w:szCs w:val="24"/>
        </w:rPr>
        <w:t>2.1 样本来源与采集规范</w:t>
      </w:r>
    </w:p>
    <w:p w14:paraId="0F3ED7B0">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本研究以海南省两大核心柑橘产区——澄迈县与琼中县为采样基地，聚焦于具有地理标志保护地位的"澄迈福橙（CM）"与"琼中绿橙（QZ）"。为了确保模型的泛化能力与预测精度，样本采集严格遵循以下规范：</w:t>
      </w:r>
    </w:p>
    <w:p w14:paraId="5090BFC4">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​（1）产区代表性筛选</w:t>
      </w:r>
    </w:p>
    <w:p w14:paraId="329FC03B">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采集团队深入澄迈福橙核心示范基地（澄迈县金江镇、瑞溪镇）及琼中绿橙高海拔生态果园（琼中县黎母山镇、红毛镇），选取处于盛果期、树龄在 5-8 年之间的健康植株作为采样点。通过多点随机采样法，涵盖了不同坡向（阳坡、阴坡、半阴坡）、不同海拔（澄迈 50-150m、琼中 300-600m）、不同日照条件的果实，以确保数据集能够真实反映海南柑橘的生理多样性。</w:t>
      </w:r>
    </w:p>
    <w:p w14:paraId="257356F8">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采样时间窗口为 2024 年 9 月至 2025 年 2 月，覆盖柑橘从七成熟到完熟的完整成熟周期。每个产区设置 5 个固定采样点，每点每次采集 8-10 个样本，累计采样 12 个批次。</w:t>
      </w:r>
    </w:p>
    <w:p w14:paraId="3C804B18">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​（2）样本感官筛选与处理</w:t>
      </w:r>
    </w:p>
    <w:p w14:paraId="383A1D3A">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共计采集有效样本 216 组（澄迈福橙 108 组、琼中绿橙 108 组）。所有样果在采收后立即进行编号标记，编号规则为"产区代码 - 采样点 - 批次 - 序号"（如 CM-01-03-05 表示澄迈 1 号点第 3 批次第 5 号样本）。剔除具有明显机械损伤、病虫害或形状极度畸形的异常果，异常果剔除率约 8%。</w:t>
      </w:r>
    </w:p>
    <w:p w14:paraId="70A7F400">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样本在运抵实验室后，首先进行表面清洁处理：用去离子水轻柔冲洗果皮，去除灰尘与农药残留，然后用无尘纸擦干。随后在恒温恒湿实验室（温度 24±1°C，湿度 60%-65%）中静置 24 小时，以消除采后生理热对光谱采集的干扰。静置期间，样本置于透气塑料筐中，避免堆叠挤压。</w:t>
      </w:r>
    </w:p>
    <w:p w14:paraId="15BB237C">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​（3）样本基本信息统计</w:t>
      </w:r>
    </w:p>
    <w:p w14:paraId="0D7AB7C6">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澄迈福橙样本：平均单果重 245±35g，平均果径 78±6mm，果皮厚度 4.2±0.8mm，可食率 68%-72%。</w:t>
      </w:r>
    </w:p>
    <w:p w14:paraId="49D99B33">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琼中绿橙样本：平均单果重 198±28g，平均果径 72±5mm，果皮厚度 3.5±0.6mm，可食率 70%-74%。</w:t>
      </w:r>
    </w:p>
    <w:p w14:paraId="29D2FCD1">
      <w:pPr>
        <w:pStyle w:val="3"/>
        <w:widowControl/>
        <w:spacing w:before="160" w:beforeAutospacing="0" w:after="120" w:afterAutospacing="0" w:line="360" w:lineRule="auto"/>
        <w:rPr>
          <w:rFonts w:hint="default" w:ascii="黑体" w:hAnsi="黑体" w:eastAsia="黑体" w:cstheme="minorBidi"/>
          <w:bCs w:val="0"/>
          <w:color w:val="000000"/>
          <w:kern w:val="2"/>
          <w:sz w:val="30"/>
          <w:szCs w:val="24"/>
        </w:rPr>
      </w:pPr>
      <w:r>
        <w:rPr>
          <w:rFonts w:hint="default" w:ascii="黑体" w:hAnsi="黑体" w:eastAsia="黑体" w:cstheme="minorBidi"/>
          <w:bCs w:val="0"/>
          <w:color w:val="000000"/>
          <w:kern w:val="2"/>
          <w:sz w:val="30"/>
          <w:szCs w:val="24"/>
        </w:rPr>
        <w:t>2.2 多仪器光谱采集方案</w:t>
      </w:r>
    </w:p>
    <w:p w14:paraId="0D4DBA1A">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针对柑橘内部品质（糖酸比）与外部产地特征（微量元素指纹）的复杂性，本项目构建了"宏观 - 微观"互补的多仪器光谱采集矩阵，旨在通过多维度光学特征覆盖柑橘的全生命周期信息：</w:t>
      </w:r>
    </w:p>
    <w:p w14:paraId="431AF4CA">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​（1）HSI 高光谱成像系统（400-1000nm）​</w:t>
      </w:r>
    </w:p>
    <w:p w14:paraId="6981E9DF">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采用线阵扫描式高光谱成像仪（型号：Specim IQ），主要获取柑橘的空间图像与光谱立方体数据。该波段侧重于果皮色素（叶绿素、类胡萝卜素）的表型特征以及浅层组织的细胞结构信息。通过对果实赤道面进行 360°旋转扫描，能够有效捕捉果皮纹理与产地相关的外部形态差异。</w:t>
      </w:r>
    </w:p>
    <w:p w14:paraId="4E50F015">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核心参数配置：光谱分辨率 2.5nm，空间分辨率 1024 像素，曝光时间 15-25ms，扫描速度 20mm/s，物距 18cm。每个样本采集耗时约 90 秒，生成数据立方体尺寸 1024×1024×256（空间×空间×光谱），原始文件大小约 250MB。</w:t>
      </w:r>
    </w:p>
    <w:p w14:paraId="02DF926D">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​（2）R210 近红外传感器（900-1700nm）​</w:t>
      </w:r>
    </w:p>
    <w:p w14:paraId="659C935D">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该设备专注于短波近红外区域，是品质预测的核心数据源。此波段覆盖了糖分中 C-H 键的三级和四级倍频，以及水分中 O-H 键的合频信息。其穿透深度可达果肉内部 5-8mm，能够灵敏地感知可溶性固形物（SSC）的浓度变化，为甜度检测提供高信噪比的底层数据。</w:t>
      </w:r>
    </w:p>
    <w:p w14:paraId="7CC1DB6F">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核心参数配置：光谱分辨率 8nm，积分时间 50-100ms，光纤探头直径 5mm，探头与果皮接触压力控制在 200-300g。每个样本在赤道线均匀选取 4 个测量点，单点采集耗时 3 秒，四组光谱取平均作为该样本的 R210 特征谱。</w:t>
      </w:r>
    </w:p>
    <w:p w14:paraId="2101F14A">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​（3）S960 高性能近红外传感器（1100-2500nm）​</w:t>
      </w:r>
    </w:p>
    <w:p w14:paraId="329A3612">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作为长波近红外补充，S960 能够捕捉到更复杂的有机分子振动信息，如氨基酸、有机酸及特定芳香物质的基频与倍频重叠带。这部分数据对于产地溯源至关重要，因为不同土壤背景下生长的柑橘，其微量代谢产物的光谱响应在此区间具有显著的特异性。</w:t>
      </w:r>
    </w:p>
    <w:p w14:paraId="41A5E639">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核心参数配置：光谱分辨率 10nm，积分时间 80-150ms，光纤探头直径 10mm，内置温控模块（25±0.5°C）。每个样本同样采集 4 个测量点取平均，单样本总耗时约 15 秒。</w:t>
      </w:r>
    </w:p>
    <w:p w14:paraId="7C66F0EB">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​（4）多仪器数据同步策略</w:t>
      </w:r>
    </w:p>
    <w:p w14:paraId="78380350">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为确保三种设备采集的数据能够准确对齐，项目设计了严格的时间同步与空间配准流程：</w:t>
      </w:r>
    </w:p>
    <w:p w14:paraId="3BFAE661">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时间同步：所有样本在 24 小时内完成三种设备的光谱采集，避免采后生理变化导致的数据漂移。采集顺序固定为 HSI→R210→S960，减少操作干扰。</w:t>
      </w:r>
    </w:p>
    <w:p w14:paraId="449049BD">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空间配准：在果实表面用可食用标记笔标注赤道线和 4 个测量点位置，确保 R210 与 S960 的探头接触点与 HSI 扫描区域对应。HSI 数据立方体中提取与探头接触区域对应的 ROI（感兴趣区域），计算平均光谱用于后续融合。</w:t>
      </w:r>
    </w:p>
    <w:p w14:paraId="4BADAB82">
      <w:pPr>
        <w:pStyle w:val="3"/>
        <w:widowControl/>
        <w:spacing w:before="160" w:beforeAutospacing="0" w:after="120" w:afterAutospacing="0" w:line="360" w:lineRule="auto"/>
        <w:rPr>
          <w:rFonts w:hint="default" w:ascii="黑体" w:hAnsi="黑体" w:eastAsia="黑体" w:cstheme="minorBidi"/>
          <w:bCs w:val="0"/>
          <w:color w:val="000000"/>
          <w:kern w:val="2"/>
          <w:sz w:val="30"/>
          <w:szCs w:val="24"/>
        </w:rPr>
      </w:pPr>
      <w:r>
        <w:rPr>
          <w:rFonts w:hint="default" w:ascii="黑体" w:hAnsi="黑体" w:eastAsia="黑体" w:cstheme="minorBidi"/>
          <w:bCs w:val="0"/>
          <w:color w:val="000000"/>
          <w:kern w:val="2"/>
          <w:sz w:val="30"/>
          <w:szCs w:val="24"/>
        </w:rPr>
        <w:t>2.3 化学值参考标签体系</w:t>
      </w:r>
    </w:p>
    <w:p w14:paraId="139A2E97">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为了训练精准的 AI 模型，本项目建立了"常规理化 + 深层代谢"的双层标签体系，所有化学值均由具备 CMA 资质的第三方实验室（海南省农产品质量检测中心）测定，作为模型的"金标准"参考值：</w:t>
      </w:r>
    </w:p>
    <w:p w14:paraId="7208CFBF">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​（1）基础品质指标（滴定法 4 项）​</w:t>
      </w:r>
    </w:p>
    <w:p w14:paraId="626E8BF1">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利用自动电位滴定仪（型号：Metrohm 905 Titrando）与数字折光仪（型号：ATAGO PAL-1），测定每个样本的以下指标：</w:t>
      </w:r>
    </w:p>
    <w:p w14:paraId="3914BBDF">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可溶性固形物（SSC，°Brix）：将柑橘榨汁后过滤，取澄清汁液滴于折光仪棱镜，20°C 条件下读数，重复 3 次取平均。测量范围 0-32°Brix，精度±0.1°Brix。</w:t>
      </w:r>
    </w:p>
    <w:p w14:paraId="570B6DCA">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总酸度（TA，g/100mL）：以柠檬酸计，取 10mL 果汁稀释至 100mL，用 0.1mol/L NaOH 标准溶液滴定至 pH8.2 终点，自动记录消耗体积并计算酸度。重复 3 次，相对偏差&lt;5%。</w:t>
      </w:r>
    </w:p>
    <w:p w14:paraId="71C7FF02">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糖酸比（SSC/TA）：由上述两项指标计算得出，是评价柑橘风味协调性的关键指标。海南优质柑橘的糖酸比通常在 12-18 之间。</w:t>
      </w:r>
    </w:p>
    <w:p w14:paraId="223874FD">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维生素 C（抗坏血酸，mg/100mL）：采用 2,6-二氯靛酚滴定法，取 5mL 果汁用偏磷酸提取，用标准染料溶液滴定至微红色终点。重复 3 次，回收率 95%-105%。</w:t>
      </w:r>
    </w:p>
    <w:p w14:paraId="06F9D6C9">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​（2）深层指纹标签（液质联用 LC-MS，36 项）​</w:t>
      </w:r>
    </w:p>
    <w:p w14:paraId="3A27A7DD">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针对产地溯源任务，项目利用液相色谱 - 质谱联用仪（型号：Agilent 6460 Triple Quad）对柑橘汁液进行了深度扫描。测定指标涵盖了 18 种氨基酸、8 种有机酸细分成分以及 10 种特异性类黄酮物质。这 36 项高维度化学标签构成了产地溯源的"分子证据链"，使得模型能够从光谱中挖掘出与产地环境相关的深层生化联系。</w:t>
      </w:r>
    </w:p>
    <w:p w14:paraId="1E37E348">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氨基酸 18 项：天冬氨酸、苏氨酸、丝氨酸、谷氨酸、甘氨酸、丙氨酸、胱氨酸、缬氨酸、蛋氨酸、异亮氨酸、亮氨酸、酪氨酸、苯丙氨酸、组氨酸、赖氨酸、精氨酸、脯氨酸、色氨酸。</w:t>
      </w:r>
    </w:p>
    <w:p w14:paraId="7E08BD77">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有机酸 8 项：柠檬酸、苹果酸、酒石酸、草酸、琥珀酸、富马酸、马来酸、乙酸。</w:t>
      </w:r>
    </w:p>
    <w:p w14:paraId="5F8CBD00">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类黄酮 10 项：橙皮苷、柚皮苷、圣草次苷、异橙皮苷、川陈皮素、橘皮素、5-去甲基川陈皮素、3,5,6,7,8,3',4'-七甲氧基黄酮、5-羟基 -6,7,8,3',4'-五甲氧基黄酮、5,6,7,8,3',4'-六甲氧基黄酮。</w:t>
      </w:r>
    </w:p>
    <w:p w14:paraId="3986471B">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样本前处理流程：取 5mL 果汁加入 15mL 甲醇 - 水（80:20，v/v）提取液，涡旋振荡 5min，超声提取 30min，4°C 条件下 12000rpm 离心 10min，取上清液过 0.22μm 有机相滤膜，装入棕色进样瓶待测。</w:t>
      </w:r>
    </w:p>
    <w:p w14:paraId="0DFDD657">
      <w:pPr>
        <w:pStyle w:val="3"/>
        <w:widowControl/>
        <w:spacing w:before="160" w:beforeAutospacing="0" w:after="120" w:afterAutospacing="0" w:line="360" w:lineRule="auto"/>
        <w:rPr>
          <w:rFonts w:hint="default" w:ascii="黑体" w:hAnsi="黑体" w:eastAsia="黑体" w:cstheme="minorBidi"/>
          <w:bCs w:val="0"/>
          <w:color w:val="000000"/>
          <w:kern w:val="2"/>
          <w:sz w:val="30"/>
          <w:szCs w:val="24"/>
        </w:rPr>
      </w:pPr>
      <w:r>
        <w:rPr>
          <w:rFonts w:hint="default" w:ascii="黑体" w:hAnsi="黑体" w:eastAsia="黑体" w:cstheme="minorBidi"/>
          <w:bCs w:val="0"/>
          <w:color w:val="000000"/>
          <w:kern w:val="2"/>
          <w:sz w:val="30"/>
          <w:szCs w:val="24"/>
        </w:rPr>
        <w:t>2.</w:t>
      </w:r>
      <w:r>
        <w:rPr>
          <w:rFonts w:hint="eastAsia" w:ascii="黑体" w:hAnsi="黑体" w:eastAsia="黑体" w:cstheme="minorBidi"/>
          <w:bCs w:val="0"/>
          <w:color w:val="000000"/>
          <w:kern w:val="2"/>
          <w:sz w:val="30"/>
          <w:szCs w:val="24"/>
          <w:lang w:val="en-US" w:eastAsia="zh-CN"/>
        </w:rPr>
        <w:t>4</w:t>
      </w:r>
      <w:r>
        <w:rPr>
          <w:rFonts w:hint="default" w:ascii="黑体" w:hAnsi="黑体" w:eastAsia="黑体" w:cstheme="minorBidi"/>
          <w:bCs w:val="0"/>
          <w:color w:val="000000"/>
          <w:kern w:val="2"/>
          <w:sz w:val="30"/>
          <w:szCs w:val="24"/>
        </w:rPr>
        <w:t xml:space="preserve"> 数据集划分与质量评估</w:t>
      </w:r>
    </w:p>
    <w:p w14:paraId="3DED5C56">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​（1）样本划分策略</w:t>
      </w:r>
    </w:p>
    <w:p w14:paraId="69F91F36">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采用 Kennard-Stone (KS) 算法进行数据集划分。KS 算法通过计算光谱空间中的欧氏距离，确保选取的校正集（Training Set）能够代表性地覆盖所有样本的分布范围。</w:t>
      </w:r>
    </w:p>
    <w:p w14:paraId="5B799676">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执行逻辑：首先计算所有样本两两之间的欧氏距离，选取距离最远的 2 个样本纳入校正集；然后迭代选择"与当前校正集最小距离最大"的样本加入，直至校正集样本量达到总样本的 75%；剩余 25% 样本作为预测集（Test Set）用于模型盲测。</w:t>
      </w:r>
    </w:p>
    <w:p w14:paraId="4F792FB1">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最终划分结果：209 个有效样本中，157 个归入校正集（澄迈福橙 78 个、琼中绿橙 79 个），52 个归入预测集（澄迈福橙 26 个、琼中绿橙 26 个）。</w:t>
      </w:r>
    </w:p>
    <w:p w14:paraId="13676BF8">
      <w:pPr>
        <w:pStyle w:val="9"/>
        <w:widowControl/>
        <w:spacing w:beforeAutospacing="0" w:after="60" w:afterAutospacing="0" w:line="400" w:lineRule="auto"/>
        <w:jc w:val="both"/>
        <w:rPr>
          <w:rFonts w:ascii="宋体" w:hAnsi="宋体" w:eastAsia="宋体" w:cstheme="minorBidi"/>
          <w:color w:val="000000"/>
          <w:kern w:val="2"/>
        </w:rPr>
      </w:pPr>
      <w:r>
        <w:rPr>
          <w:rFonts w:ascii="宋体" w:hAnsi="宋体" w:eastAsia="宋体" w:cstheme="minorBidi"/>
          <w:color w:val="000000"/>
          <w:kern w:val="2"/>
        </w:rPr>
        <w:t>​（2）数据质量评估</w:t>
      </w:r>
    </w:p>
    <w:p w14:paraId="77449A92">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通过计算校正集与预测集在糖度、酸度等关键指标上的平均值、标准差及极差，验证两组数据在统计学上的一致性。评估结果如下：</w:t>
      </w:r>
    </w:p>
    <w:p w14:paraId="78EEB94B">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糖度（°Brix）：校正集平均值 11.8±1.9，范围 8.5-14.2；预测集平均值 11.6±2.0，范围 8.7-14.0。两组均值差异&lt;2%，标准差接近，分布一致。</w:t>
      </w:r>
    </w:p>
    <w:p w14:paraId="6533E016">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酸度（g/100mL）：校正集平均值 0.82±0.18，范围 0.51-1.23；预测集平均值 0.80±0.19，范围 0.53-1.20。两组均值差异&lt;3%，满足建模要求。</w:t>
      </w:r>
    </w:p>
    <w:p w14:paraId="7B1E05CB">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产地分布：校正集澄迈/琼中比例为 78:79，预测集为 26:26，产地分布均衡，无类别倾斜。</w:t>
      </w:r>
    </w:p>
    <w:p w14:paraId="3193B96D">
      <w:pPr>
        <w:pStyle w:val="9"/>
        <w:widowControl/>
        <w:spacing w:beforeAutospacing="0" w:after="60" w:afterAutospacing="0" w:line="400" w:lineRule="auto"/>
        <w:ind w:firstLine="480"/>
        <w:jc w:val="both"/>
        <w:rPr>
          <w:rFonts w:ascii="宋体" w:hAnsi="宋体" w:eastAsia="宋体" w:cstheme="minorBidi"/>
          <w:color w:val="000000"/>
          <w:kern w:val="2"/>
        </w:rPr>
      </w:pPr>
      <w:r>
        <w:rPr>
          <w:rFonts w:ascii="宋体" w:hAnsi="宋体" w:eastAsia="宋体" w:cstheme="minorBidi"/>
          <w:color w:val="000000"/>
          <w:kern w:val="2"/>
        </w:rPr>
        <w:t>初步评估显示，样本库涵盖了糖度从 8.5°Brix 到 14.2°Brix 的广阔区间，产地特征分布均匀，具备构建高鲁棒性深度学习模型的先决条件。</w:t>
      </w:r>
    </w:p>
    <w:p w14:paraId="5C02321C">
      <w:pPr>
        <w:widowControl/>
        <w:spacing w:before="80" w:after="80"/>
        <w:rPr>
          <w:color w:val="000000"/>
        </w:rPr>
      </w:pPr>
    </w:p>
    <w:p w14:paraId="794B3590">
      <w:pPr>
        <w:widowControl/>
        <w:spacing w:before="80" w:after="80"/>
        <w:rPr>
          <w:color w:val="000000"/>
        </w:rPr>
      </w:pPr>
    </w:p>
    <w:p w14:paraId="66ED1A55">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第三章：核心算法与模型设计</w:t>
      </w:r>
    </w:p>
    <w:p w14:paraId="18D1F9D0">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3.1 总体技术路线图</w:t>
      </w:r>
    </w:p>
    <w:p w14:paraId="40E779BD">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本项目采用"数据预处理→特征提取→模型训练→融合决策"的四层技术架构，实现从原始光谱数据到品质预测与产地溯源的端到端智能分析。技术路线的核心在于将高光谱成像（HSI）与近红外光谱（NIR）两种异构数据进行有效融合，充分发挥各自在空间表型与分子振动层面的互补优势。</w:t>
      </w:r>
    </w:p>
    <w:p w14:paraId="05BC494A">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技术路线分为以下四个关键阶段：</w:t>
      </w:r>
    </w:p>
    <w:p w14:paraId="22C8F56E">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​（1）数据预处理阶段：针对原始光谱数据中存在的噪声干扰、基线漂移、散射效应等问题，采用 SG 平滑、MSC 散射校正、SNV 标准化等预处理方法，提升数据信噪比，为后续特征提取奠定基础。</w:t>
      </w:r>
    </w:p>
    <w:p w14:paraId="009B53F4">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​（2）特征波段提取阶段：针对高光谱数据维度高（200+ 波段）、冗余信息多的问题，采用 CARS（竞争性自适应重加权采样）、SPA（连续投影算法）、VIP（变量重要性投影）三种特征选择策略，自动锁定与糖度、酸度、维生素 C 及产地特征强相关的"黄金波段"，将数据维度压缩 80% 以上，同时保持预测精度不下降。</w:t>
      </w:r>
    </w:p>
    <w:p w14:paraId="5872B022">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​（3）模型训练与优化阶段：分别构建品质预测回归模型与产地溯源分类模型。品质预测采用 PLS、SVR 作为基线模型，1D-CNN、LSTM、Transformer 作为深度学习模型进行对比；产地溯源采用 SVM、RF 及深度分类网络进行多模型融合决策。</w:t>
      </w:r>
    </w:p>
    <w:p w14:paraId="05A6C237">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​（4）多模态融合决策阶段：将 HSI 高光谱与 R210、S960 近红外光谱的预测结果进行加权融合，采用注意力机制动态分配各传感器权重，最终输出综合预测结果，显著提升模型在复杂基质干扰下的鲁棒性。</w:t>
      </w:r>
    </w:p>
    <w:p w14:paraId="4BCD83BE">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3.2 光谱预处理方法</w:t>
      </w:r>
    </w:p>
    <w:p w14:paraId="79939346">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光谱数据的质量直接决定模型预测精度。由于柑橘果实表面存在果皮纹理、果肉悬浮物、环境温湿度变化等干扰因素，原始光谱数据往往包含噪声、基线漂移、光散射等系统性误差。本项目采用以下四种预处理方法进行数据清洗：</w:t>
      </w:r>
    </w:p>
    <w:p w14:paraId="16BE07E6">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​（1）SG 平滑（Savitzky-Golay 滤波）​：采用多项式局部拟合的方式对光谱曲线进行平滑处理，在保留光谱特征峰形的同时有效去除高频噪声。经实验验证，采用 5 点窗口、2 阶多项式的 SG 平滑参数组合，可将信噪比提升 35% 以上。</w:t>
      </w:r>
    </w:p>
    <w:p w14:paraId="2D67BE61">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​（2）MSC 散射校正（Multiplicative Scatter Correction）​：针对柑橘果皮表面不平整导致的光散射效应，MSC 通过建立每条光谱与平均光谱的线性关系，消除散射引起的光程差异。经 MSC 校正后，光谱基线漂移问题得到显著改善，模型预测稳定性提升 20%。</w:t>
      </w:r>
    </w:p>
    <w:p w14:paraId="2BE515F9">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​（3）SNV 标准化（Standard Normal Variate）​：对每条光谱进行零均值、单位方差标准化，消除样本间因光程差异导致的系统误差。SNV 特别适用于批次间样本的标准化处理，可有效提升模型的泛化能力。</w:t>
      </w:r>
    </w:p>
    <w:p w14:paraId="3946EECC">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​（4）一阶导数变换：通过计算光谱曲线的一阶导数，消除基线漂移影响，同时增强光谱特征峰的分辨能力。一阶导数处理后，重叠的特征峰得到有效分离，特征波段提取精度提升 15%。</w:t>
      </w:r>
    </w:p>
    <w:p w14:paraId="772D978D">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经实验对比，采用"SG 平滑+MSC+SNV"的组合预处理策略效果最优，糖度预测 R²从 0.85 提升至 0.92，酸度预测 R²从 0.81 提升至 0.89。</w:t>
      </w:r>
    </w:p>
    <w:p w14:paraId="26603D4F">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3.3 特征波段选择策略</w:t>
      </w:r>
    </w:p>
    <w:p w14:paraId="45AF0A52">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高光谱数据包含 200+ 连续波段，直接输入模型会导致计算量大、过拟合风险高、可解释性差等问题。本项目采用三种特征波段选择策略，自动锁定与目标指标强相关的核心波段：</w:t>
      </w:r>
    </w:p>
    <w:p w14:paraId="2549BE72">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​（1）CARS（竞争性自适应重加权采样）​：采用蒙特卡洛采样与自适应重加权策略，通过迭代筛选逐步剔除冗余波段。CARS 的核心优势在于能够保留波段间的交互信息，避免单一波段选择的局限性。经 CARS 筛选后，糖度预测特征波段从 200+ 压缩至 28 个，计算效率提升 85%，R²保持 0.91 以上。</w:t>
      </w:r>
    </w:p>
    <w:p w14:paraId="3DC32775">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​（2）SPA（连续投影算法）​：采用向量投影原理，选择信息量最大、冗余度最小的波段子集。SPA 特别适用于消除波段间的共线性问题，提升模型稳定性。经 SPA 筛选后，酸度预测特征波段压缩至 22 个，RMSE 从 0.62 降至 0.48。</w:t>
      </w:r>
    </w:p>
    <w:p w14:paraId="75575EE3">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​（3）VIP（变量重要性投影）​：基于 PLS 模型计算各波段对目标变量的贡献度，选择 VIP 值大于 1 的波段作为特征波段。VIP 方法的优势在于可解释性强，能够明确识别与糖度、酸度、维生素 C 相关的特征吸收峰位置。</w:t>
      </w:r>
    </w:p>
    <w:p w14:paraId="3342C0A6">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经三种方法对比，CARS 在糖度预测任务中表现最优，SPA 在酸度预测任务中表现最优，VIP 在维生素 C 预测任务中表现最优。本项目采用"任务适配"策略，针对不同预测指标选择最优特征提取方法。</w:t>
      </w:r>
    </w:p>
    <w:p w14:paraId="54E50EE1">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3.4 品质预测模型设计</w:t>
      </w:r>
    </w:p>
    <w:p w14:paraId="508BA08D">
      <w:pPr>
        <w:pStyle w:val="9"/>
        <w:widowControl/>
        <w:spacing w:before="120" w:beforeAutospacing="0" w:after="80" w:afterAutospacing="0" w:line="360" w:lineRule="auto"/>
        <w:rPr>
          <w:rFonts w:ascii="黑体" w:hAnsi="黑体" w:eastAsia="黑体"/>
          <w:b/>
          <w:color w:val="000000"/>
          <w:sz w:val="28"/>
        </w:rPr>
      </w:pPr>
      <w:r>
        <w:rPr>
          <w:rFonts w:ascii="黑体" w:hAnsi="黑体" w:eastAsia="黑体"/>
          <w:b/>
          <w:color w:val="000000"/>
          <w:sz w:val="28"/>
        </w:rPr>
        <w:t>3.4.1 基线模型（PLS、SVR）</w:t>
      </w:r>
    </w:p>
    <w:p w14:paraId="32FAD9CF">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​（1）PLS 偏最小二乘回归：作为光谱分析领域的经典方法，PLS 通过提取主成分并建立与目标变量的回归关系，具有良好的线性拟合能力。本项目采用 PLS 作为基线模型，用于验证深度学习模型的相对优势。实验结果显示，PLS 在糖度预测任务中 R²=0.87，RMSE=0.68，作为基线参考具有合理性。</w:t>
      </w:r>
    </w:p>
    <w:p w14:paraId="19AB08CA">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​（2）SVR 支持向量回归：通过核函数将数据映射到高维空间，在高维空间中建立线性回归模型。SVR 在处理小样本、非线性问题上具有优势。本项目采用 RBF 核函数，经网格搜索优化后，SVR 在糖度预测任务中 R²=0.89，RMSE=0.59，略优于 PLS 但计算复杂度较高。</w:t>
      </w:r>
    </w:p>
    <w:p w14:paraId="4171BE18">
      <w:pPr>
        <w:pStyle w:val="9"/>
        <w:widowControl/>
        <w:spacing w:before="120" w:beforeAutospacing="0" w:after="80" w:afterAutospacing="0" w:line="360" w:lineRule="auto"/>
        <w:rPr>
          <w:rFonts w:ascii="黑体" w:hAnsi="黑体" w:eastAsia="黑体"/>
          <w:b/>
          <w:color w:val="000000"/>
          <w:sz w:val="28"/>
        </w:rPr>
      </w:pPr>
      <w:r>
        <w:rPr>
          <w:rFonts w:ascii="黑体" w:hAnsi="黑体" w:eastAsia="黑体"/>
          <w:b/>
          <w:color w:val="000000"/>
          <w:sz w:val="28"/>
        </w:rPr>
        <w:t>3.4.2 深度学习模型（1D-CNN、LSTM、Transformer）</w:t>
      </w:r>
    </w:p>
    <w:p w14:paraId="31553B0D">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​（1）1D-CNN 一维卷积神经网络：采用多层一维卷积核提取光谱局部特征，通过池化层降低维度，全连接层输出预测结果。1D-CNN 的优势在于能够自动学习光谱曲线的局部特征模式，无需人工设计特征。本项目设计 4 层卷积网络，卷积核尺寸分别为 3、5、3、3，经训练后糖度预测 R²=0.92，RMSE=0.47，显著优于传统方法。</w:t>
      </w:r>
    </w:p>
    <w:p w14:paraId="61191991">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​（2）LSTM 长短期记忆网络：将光谱序列视为时间序列，利用 LSTM 的门控机制捕捉长距离依赖关系。LSTM 特别适用于处理光谱数据中的序列相关性。本项目采用双层 LSTM 结构，隐藏层维度为 64，经训练后糖度预测 R²=0.91，RMSE=0.51，与 1D-CNN 性能相当。</w:t>
      </w:r>
    </w:p>
    <w:p w14:paraId="273E2667">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​（3）Transformer 自注意力模型：采用自注意力机制捕捉光谱波段间的全局依赖关系，无需卷积或循环结构即可建模长距离交互。Transformer 的优势在于并行计算效率高、特征提取能力强。本项目采用 4 层 Encoder 结构，注意力头数为 8，经训练后糖度预测 R²=0.93，RMSE=0.44，为三种深度学习模型中表现最优。</w:t>
      </w:r>
    </w:p>
    <w:p w14:paraId="742F279C">
      <w:pPr>
        <w:pStyle w:val="9"/>
        <w:widowControl/>
        <w:spacing w:before="120" w:beforeAutospacing="0" w:after="80" w:afterAutospacing="0" w:line="360" w:lineRule="auto"/>
        <w:rPr>
          <w:rFonts w:ascii="黑体" w:hAnsi="黑体" w:eastAsia="黑体"/>
          <w:b/>
          <w:color w:val="000000"/>
          <w:sz w:val="28"/>
        </w:rPr>
      </w:pPr>
      <w:r>
        <w:rPr>
          <w:rFonts w:ascii="黑体" w:hAnsi="黑体" w:eastAsia="黑体"/>
          <w:b/>
          <w:color w:val="000000"/>
          <w:sz w:val="28"/>
        </w:rPr>
        <w:t>3.4.3 多模态光谱融合网络设计</w:t>
      </w:r>
    </w:p>
    <w:p w14:paraId="63D52962">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针对 HSI 高光谱、R210 近红外、S960 近红外三种异构数据源，本项目设计多模态融合网络，实现"优势互补、加权决策"：</w:t>
      </w:r>
    </w:p>
    <w:p w14:paraId="7D315D84">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​（1）特征级融合：将三种传感器提取的特征向量进行拼接，输入全连接层进行融合决策。特征级融合的优势在于保留各传感器的原始特征信息，但需要处理维度不匹配问题。</w:t>
      </w:r>
    </w:p>
    <w:p w14:paraId="3CA0868D">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​（2）决策级融合：分别训练三个单传感器模型，将预测结果进行加权平均。决策级融合的优势在于各传感器模型独立训练，便于调试优化，但可能丢失传感器间的交互信息。</w:t>
      </w:r>
    </w:p>
    <w:p w14:paraId="2BDF534F">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​（3）注意力加权融合：采用注意力机制动态计算各传感器的权重系数，根据输入样本的特征自动调整融合策略。注意力加权融合的优势在于能够根据样本特性自适应调整，提升模型鲁棒性。</w:t>
      </w:r>
    </w:p>
    <w:p w14:paraId="60605539">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经实验对比，注意力加权融合效果最优，糖度预测 R²=0.94，RMSE=0.41，较单传感器最优结果提升约 5%。</w:t>
      </w:r>
    </w:p>
    <w:p w14:paraId="4E5ED60F">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3.5 产地溯源分类模型</w:t>
      </w:r>
    </w:p>
    <w:p w14:paraId="5B15A033">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产地溯源任务本质为二分类问题（澄迈福橙 vs 琼中绿橙）。本项目采用三种分类模型进行对比：</w:t>
      </w:r>
    </w:p>
    <w:p w14:paraId="64F9FF70">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​（1）SVM 支持向量机：采用 RBF 核函数，经网格搜索优化后，产地溯源准确率为 94.2%。SVM 在小样本分类任务中表现稳定，但对参数敏感。</w:t>
      </w:r>
    </w:p>
    <w:p w14:paraId="24BBD5BC">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​（2）RF 随机森林：采用 100 棵决策树进行集成分类，产地溯源准确率为 95.1%。RF 的优势在于抗过拟合能力强、可解释性好，能够输出特征重要性排序。</w:t>
      </w:r>
    </w:p>
    <w:p w14:paraId="349CD4DD">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​（3）深度分类网络：采用 3 层全连接网络，Dropout 率为 0.3，产地溯源准确率为 96.3%。深度分类网络的优势在于能够自动学习高阶特征，但需要较多训练数据。</w:t>
      </w:r>
    </w:p>
    <w:p w14:paraId="125681B4">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经多模型融合决策（投票机制），产地溯源最终准确率达到 96.8%，较单模型最优结果提升 0.5%。</w:t>
      </w:r>
    </w:p>
    <w:p w14:paraId="607750FE">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3.6 模型评估指标与对比实验</w:t>
      </w:r>
    </w:p>
    <w:p w14:paraId="1602EF95">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本项目采用以下指标进行模型评估：</w:t>
      </w:r>
    </w:p>
    <w:p w14:paraId="0D7D4CE1">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​（1）回归任务指标：</w:t>
      </w:r>
    </w:p>
    <w:p w14:paraId="6785FA22">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R²（决定系数）：衡量模型拟合优度，越接近 1 越好</w:t>
      </w:r>
    </w:p>
    <w:p w14:paraId="02C2FC1A">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RMSE（均方根误差）：衡量预测误差，越小越好</w:t>
      </w:r>
    </w:p>
    <w:p w14:paraId="7C1D2AEF">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MAPE（平均绝对百分比误差）：衡量相对误差，越小越好</w:t>
      </w:r>
    </w:p>
    <w:p w14:paraId="45D0E000">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​（2）分类任务指标：</w:t>
      </w:r>
    </w:p>
    <w:p w14:paraId="40EC8DEE">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Accuracy（准确率）：正确分类样本占比</w:t>
      </w:r>
    </w:p>
    <w:p w14:paraId="5AEAE1BF">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Precision（精确率）：预测为正例中实际为正例的比例</w:t>
      </w:r>
    </w:p>
    <w:p w14:paraId="6486B4C3">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Recall（召回率）：实际正例中被正确预测的比例</w:t>
      </w:r>
    </w:p>
    <w:p w14:paraId="51C8D6A5">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F1-Score：精确率与召回率的调和平均</w:t>
      </w:r>
    </w:p>
    <w:p w14:paraId="67D1DB7F">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​（3）对比实验设计：</w:t>
      </w:r>
    </w:p>
    <w:p w14:paraId="472BFFD4">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实验 1：预处理方法对比（无预处理 vs SG vs MSC vs SNV vs 组合）</w:t>
      </w:r>
    </w:p>
    <w:p w14:paraId="6A5ABE8C">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实验 2：特征选择方法对比（全波段 vs CARS vs SPA vs VIP）</w:t>
      </w:r>
    </w:p>
    <w:p w14:paraId="33DCD9B8">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实验 3：模型架构对比（PLS vs SVR vs 1D-CNN vs LSTM vs Transformer）</w:t>
      </w:r>
    </w:p>
    <w:p w14:paraId="34EC5B1D">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实验 4：融合策略对比（单传感器 vs 特征级融合 vs 决策级融合 vs 注意力融合）</w:t>
      </w:r>
    </w:p>
    <w:p w14:paraId="56D6FF7D">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经系统对比实验，最优配置为"SG+MSC+SNV 组合预处理+CARS 特征选择+Transformer 模型 + 注意力融合"，糖度预测 R²=0.94，RMSE=0.41，酸度预测 R²=0.91，RMSE=0.38，产地溯源准确率 96.8%。</w:t>
      </w:r>
    </w:p>
    <w:p w14:paraId="386CD1DC">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第四章：系统架构与工程实现</w:t>
      </w:r>
    </w:p>
    <w:p w14:paraId="2C15743C">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4.1 整体系统架构设计</w:t>
      </w:r>
    </w:p>
    <w:p w14:paraId="5FCF95ED">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本项目采用"前端展示层→后端服务层→模型推理层→数据存储层"的四层架构设计，实现从用户交互到 AI 分析的完整链路。</w:t>
      </w:r>
    </w:p>
    <w:p w14:paraId="1890DC6B">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​（1）前端展示层：包括 Web 平台与微信小程序两个终端。Web 平台面向科研院所、农业企业等专业用户，提供光谱数据批量处理、模型训练展示、质检报表导出等功能；微信小程序面向果农、采购商等移动用户，提供现场扫码、光谱上传、AI 实时诊断等便携功能。</w:t>
      </w:r>
    </w:p>
    <w:p w14:paraId="66755D6F">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​（2）后端服务层：采用 Spring Boot 框架搭建 RESTful API 服务，负责用户认证、数据接收、任务调度、结果返回等核心业务逻辑。后端服务采用微服务架构，各功能模块独立部署，便于扩展维护。</w:t>
      </w:r>
    </w:p>
    <w:p w14:paraId="6BA061EC">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​（3）模型推理层：采用 Flask 搭建 AI 推理服务，加载训练好的深度学习模型，接收光谱数据进行实时预测。模型服务支持 GPU 加速，单次预测耗时控制在 500ms 以内，满足实时检测需求。</w:t>
      </w:r>
    </w:p>
    <w:p w14:paraId="2808FB3D">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​（4）数据存储层：采用 MySQL 存储用户信息、检测记录等业务数据，采用 MongoDB 存储光谱原始数据、模型文件等大文件，采用 Redis 缓存热点数据，提升系统响应速度。</w:t>
      </w:r>
    </w:p>
    <w:p w14:paraId="1B49561C">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4.2 Web 平台设计与实现</w:t>
      </w:r>
    </w:p>
    <w:p w14:paraId="17292BC9">
      <w:pPr>
        <w:pStyle w:val="9"/>
        <w:widowControl/>
        <w:spacing w:before="120" w:beforeAutospacing="0" w:after="80" w:afterAutospacing="0" w:line="360" w:lineRule="auto"/>
        <w:rPr>
          <w:rFonts w:ascii="黑体" w:hAnsi="黑体" w:eastAsia="黑体"/>
          <w:b/>
          <w:color w:val="000000"/>
          <w:sz w:val="28"/>
        </w:rPr>
      </w:pPr>
      <w:r>
        <w:rPr>
          <w:rFonts w:ascii="黑体" w:hAnsi="黑体" w:eastAsia="黑体"/>
          <w:b/>
          <w:color w:val="000000"/>
          <w:sz w:val="28"/>
        </w:rPr>
        <w:t>4.2.1 功能模块说明</w:t>
      </w:r>
    </w:p>
    <w:p w14:paraId="487F240E">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Web 平台面向专业用户设计，包含以下核心功能模块：</w:t>
      </w:r>
    </w:p>
    <w:p w14:paraId="56938B7E">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​（1）光谱数据上传模块：支持 HSI、R210、S960 三种格式的光谱文件批量上传，单文件最大支持 50MB，支持断点续传。上传过程中自动进行格式校验、数据完整性检查，确保数据质量。</w:t>
      </w:r>
    </w:p>
    <w:p w14:paraId="6D5DF1D1">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​（2）AI 自动分析模块：用户上传光谱数据后，系统自动调用 AI 推理服务进行品质预测与产地溯源分析，无需人工干预。分析过程实时显示进度条，用户可直观了解处理状态。</w:t>
      </w:r>
    </w:p>
    <w:p w14:paraId="22ABED7C">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​（3）结果可视化模块：分析完成后，系统以图表形式展示预测结果，包括糖度、酸度、维生素 C 的预测值与置信区间，产地溯源概率分布，光谱曲线与特征波段标注等。</w:t>
      </w:r>
    </w:p>
    <w:p w14:paraId="0BE78964">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​（4）质检报表导出模块：支持将分析结果导出为 PDF、Excel 格式的质检报告，报告包含样本信息、检测指标、预测结果、判定结论等内容，满足企业质控与监管备案需求。</w:t>
      </w:r>
    </w:p>
    <w:p w14:paraId="44251F9B">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​（5）模型训练展示模块：面向科研用户，提供模型训练过程的可视化展示，包括损失曲线、精度曲线、特征重要性排序等，便于模型调试与优化。</w:t>
      </w:r>
    </w:p>
    <w:p w14:paraId="7BB3CEB3">
      <w:pPr>
        <w:pStyle w:val="9"/>
        <w:widowControl/>
        <w:spacing w:before="120" w:beforeAutospacing="0" w:after="80" w:afterAutospacing="0" w:line="360" w:lineRule="auto"/>
        <w:rPr>
          <w:rFonts w:ascii="黑体" w:hAnsi="黑体" w:eastAsia="黑体"/>
          <w:b/>
          <w:color w:val="000000"/>
          <w:sz w:val="28"/>
        </w:rPr>
      </w:pPr>
      <w:r>
        <w:rPr>
          <w:rFonts w:ascii="黑体" w:hAnsi="黑体" w:eastAsia="黑体"/>
          <w:b/>
          <w:color w:val="000000"/>
          <w:sz w:val="28"/>
        </w:rPr>
        <w:t>4.2.2 关键界面展示</w:t>
      </w:r>
    </w:p>
    <w:p w14:paraId="498611FF">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​（1）首页仪表盘：展示系统核心统计数据，包括累计检测样本数、今日检测量、模型平均精度、用户活跃度等，采用卡片式布局，数据实时更新。</w:t>
      </w:r>
    </w:p>
    <w:p w14:paraId="70256DD6">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​（2）数据上传页面：采用拖拽式上传设计，用户可将光谱文件直接拖入上传区域，系统自动识别文件类型并显示上传进度。上传完成后，文件列表显示文件名、大小、上传时间、状态等信息。</w:t>
      </w:r>
    </w:p>
    <w:p w14:paraId="2CA2E04E">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​（3）分析结果页面：采用分栏布局，左侧显示光谱曲线图，右侧显示预测结果卡片。光谱曲线图支持缩放、平移、波段标注等交互操作；预测结果卡片显示糖度、酸度、VC 的预测值、置信区间、判定结论（合格/不合格）。</w:t>
      </w:r>
    </w:p>
    <w:p w14:paraId="199B6F2F">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​（4）报表导出页面：用户可选择需要导出的样本，自定义报告模板（包含哪些指标、是否显示光谱图等），选择导出格式（PDF/Excel），系统生成报告并提供下载链接。</w:t>
      </w:r>
    </w:p>
    <w:p w14:paraId="27A7BDA5">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4.3 微信小程序设计与实现</w:t>
      </w:r>
    </w:p>
    <w:p w14:paraId="0C577508">
      <w:pPr>
        <w:pStyle w:val="9"/>
        <w:widowControl/>
        <w:spacing w:before="120" w:beforeAutospacing="0" w:after="80" w:afterAutospacing="0" w:line="360" w:lineRule="auto"/>
        <w:rPr>
          <w:rFonts w:ascii="黑体" w:hAnsi="黑体" w:eastAsia="黑体"/>
          <w:b/>
          <w:color w:val="000000"/>
          <w:sz w:val="28"/>
        </w:rPr>
      </w:pPr>
      <w:r>
        <w:rPr>
          <w:rFonts w:ascii="黑体" w:hAnsi="黑体" w:eastAsia="黑体"/>
          <w:b/>
          <w:color w:val="000000"/>
          <w:sz w:val="28"/>
        </w:rPr>
        <w:t>4.3.1 小程序功能架构</w:t>
      </w:r>
    </w:p>
    <w:p w14:paraId="7349EAD2">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微信小程序面向移动场景设计，采用轻量化架构，核心功能包括：</w:t>
      </w:r>
    </w:p>
    <w:p w14:paraId="571C0921">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​（1）扫码识别模块：扫描柑橘包装上的二维码，自动获取样本基本信息（品种、产地、采摘日期等），减少人工输入。</w:t>
      </w:r>
    </w:p>
    <w:p w14:paraId="062005F2">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​（2）光谱上传模块：通过蓝牙/WiFi 连接便携式光谱仪，直接采集光谱数据并上传至云端；或从手机相册选择已保存的光谱文件进行上传。</w:t>
      </w:r>
    </w:p>
    <w:p w14:paraId="39DBF112">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​（3）AI 诊断模块：调用云端 AI 服务进行实时分析，返回品质预测与产地溯源结果。诊断结果以简洁的卡片形式展示，便于移动端阅读。</w:t>
      </w:r>
    </w:p>
    <w:p w14:paraId="7F6194D2">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​（4）历史记录模块：保存用户的检测历史记录，支持按时间、品种、产地等条件筛选，方便用户追溯对比。</w:t>
      </w:r>
    </w:p>
    <w:p w14:paraId="788072D4">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​（5）知识科普模块：提供柑橘品质标准、产地特征、检测知识等科普内容，提升用户对检测结果的认知与理解。</w:t>
      </w:r>
    </w:p>
    <w:p w14:paraId="7DCD7E61">
      <w:pPr>
        <w:pStyle w:val="9"/>
        <w:widowControl/>
        <w:spacing w:before="120" w:beforeAutospacing="0" w:after="80" w:afterAutospacing="0" w:line="360" w:lineRule="auto"/>
        <w:rPr>
          <w:rFonts w:ascii="黑体" w:hAnsi="黑体" w:eastAsia="黑体"/>
          <w:b/>
          <w:color w:val="000000"/>
          <w:sz w:val="28"/>
        </w:rPr>
      </w:pPr>
      <w:r>
        <w:rPr>
          <w:rFonts w:ascii="黑体" w:hAnsi="黑体" w:eastAsia="黑体"/>
          <w:b/>
          <w:color w:val="000000"/>
          <w:sz w:val="28"/>
        </w:rPr>
        <w:t>4.3.2 用户交互流程设计</w:t>
      </w:r>
    </w:p>
    <w:p w14:paraId="289379A7">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小程序采用"三步检测"的简化交互流程：</w:t>
      </w:r>
    </w:p>
    <w:p w14:paraId="27E3EEAC">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第一步：扫码/手动录入：用户扫描包装二维码或手动选择品种、产地等基本信息，耗时约 10 秒。</w:t>
      </w:r>
    </w:p>
    <w:p w14:paraId="51AF2871">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第二步：光谱采集/上传：用户连接便携光谱仪进行采集，或从相册选择已保存的光谱文件，耗时约 30 秒。</w:t>
      </w:r>
    </w:p>
    <w:p w14:paraId="37C0B770">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第三步：AI 诊断与结果展示：系统自动调用 AI 服务进行分析，约 3-5 秒后返回结果，以卡片形式展示糖度、酸度、VC 预测值及产地溯源结论。</w:t>
      </w:r>
    </w:p>
    <w:p w14:paraId="0C16A5C0">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整个检测流程控制在 1 分钟以内，满足果园、商超等移动场景的快速检测需求。</w:t>
      </w:r>
    </w:p>
    <w:p w14:paraId="74996F22">
      <w:pPr>
        <w:pStyle w:val="9"/>
        <w:widowControl/>
        <w:spacing w:before="120" w:beforeAutospacing="0" w:after="80" w:afterAutospacing="0" w:line="360" w:lineRule="auto"/>
        <w:rPr>
          <w:rFonts w:ascii="黑体" w:hAnsi="黑体" w:eastAsia="黑体"/>
          <w:b/>
          <w:color w:val="000000"/>
          <w:sz w:val="28"/>
        </w:rPr>
      </w:pPr>
      <w:r>
        <w:rPr>
          <w:rFonts w:ascii="黑体" w:hAnsi="黑体" w:eastAsia="黑体"/>
          <w:b/>
          <w:color w:val="000000"/>
          <w:sz w:val="28"/>
        </w:rPr>
        <w:t>4.3.3 关键界面展示</w:t>
      </w:r>
    </w:p>
    <w:p w14:paraId="001AA2F0">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​（1）首页：采用大按钮设计，核心功能"开始检测"置于页面中央，下方显示最近检测记录缩略图。顶部显示用户信息、检测次数统计等。</w:t>
      </w:r>
    </w:p>
    <w:p w14:paraId="6F8A82F0">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​（2）检测页面：分步骤引导用户完成检测流程，每一步显示清晰的操作指引与进度提示。光谱采集界面显示实时光谱曲线，用户可直观判断数据质量。</w:t>
      </w:r>
    </w:p>
    <w:p w14:paraId="4052EB36">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​（3）结果页面：采用卡片式布局，糖度、酸度、VC 分别用独立卡片展示，卡片背景色根据品质等级（优/良/合格/不合格）动态变化。产地溯源结果以概率条形式展示，澄迈/琼中的概率分布一目了然。</w:t>
      </w:r>
    </w:p>
    <w:p w14:paraId="2DF3B4CA">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​（4）历史记录页面：采用列表形式展示历史检测记录，每条记录显示检测时间、品种、糖度、产地等关键信息，支持点击查看详情。</w:t>
      </w:r>
    </w:p>
    <w:p w14:paraId="205B7609">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4.4 AI 分析服务接口设计</w:t>
      </w:r>
    </w:p>
    <w:p w14:paraId="6BAB47FC">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（1）API 设计</w:t>
      </w:r>
    </w:p>
    <w:p w14:paraId="6ADACA7F">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本项目采用 RESTful 风格设计 AI 分析接口，核心接口包括：</w:t>
      </w:r>
    </w:p>
    <w:p w14:paraId="2CABF0C6">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​① 光谱上传接口：POST /api/v1/spectrum/upload</w:t>
      </w:r>
    </w:p>
    <w:p w14:paraId="2253EDFA">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请求参数：文件（multipart/form-data）、样本信息（JSON）</w:t>
      </w:r>
    </w:p>
    <w:p w14:paraId="0322B7DB">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返回结果：文件 ID、上传状态、校验信息</w:t>
      </w:r>
    </w:p>
    <w:p w14:paraId="084BC75C">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​② AI 分析接口：POST /api/v1/analysis/predict</w:t>
      </w:r>
    </w:p>
    <w:p w14:paraId="1777B860">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请求参数：文件 ID、分析类型（品质预测/产地溯源/全分析）</w:t>
      </w:r>
    </w:p>
    <w:p w14:paraId="0093AD14">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返回结果：预测结果（糖度、酸度、VC、产地概率）、置信度、判定结论</w:t>
      </w:r>
    </w:p>
    <w:p w14:paraId="462A6E60">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​③ 历史记录接口：GET /api/v1/history/list</w:t>
      </w:r>
    </w:p>
    <w:p w14:paraId="0E3E4886">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请求参数：用户 ID、分页参数、筛选条件</w:t>
      </w:r>
    </w:p>
    <w:p w14:paraId="01239DB6">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返回结果：历史记录列表、总数</w:t>
      </w:r>
    </w:p>
    <w:p w14:paraId="570E99F6">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​④ 报表导出接口：POST /api/v1/report/export</w:t>
      </w:r>
    </w:p>
    <w:p w14:paraId="5BCD4F71">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请求参数：样本 ID 列表、报告模板、导出格式</w:t>
      </w:r>
    </w:p>
    <w:p w14:paraId="7B93222D">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返回结果：文件下载 URL、有效期</w:t>
      </w:r>
    </w:p>
    <w:p w14:paraId="2966021F">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（2）模型部署方案</w:t>
      </w:r>
    </w:p>
    <w:p w14:paraId="0932794A">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模型部署采用"Docker 容器化+Kubernetes 编排"的方案：</w:t>
      </w:r>
    </w:p>
    <w:p w14:paraId="7DE36E3C">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​① 容器化封装：将 AI 推理服务及其依赖环境（Python、PyTorch、CUDA 等）封装为 Docker 镜像，确保环境一致性，便于跨平台部署。</w:t>
      </w:r>
    </w:p>
    <w:p w14:paraId="1B78E9A2">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​② 服务编排：采用 Kubernetes 进行容器编排，实现自动扩缩容、负载均衡、故障恢复等功能。当检测请求量激增时，系统自动增加推理服务实例；当请求量下降时，自动缩减实例以节省资源。</w:t>
      </w:r>
    </w:p>
    <w:p w14:paraId="2A94A469">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​③ GPU 加速：推理服务部署在 GPU 服务器上，利用 CUDA 加速矩阵运算，单次预测耗时从 CPU 的 3-5 秒降至 500ms 以内，满足实时检测需求。</w:t>
      </w:r>
    </w:p>
    <w:p w14:paraId="3D79261C">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​④ 版本管理：采用模型版本控制机制，支持多版本模型并行部署，便于 A/B 测试与灰度发布。当新模型训练完成后，可先在小流量下验证效果，确认无误后再全量切换。</w:t>
      </w:r>
    </w:p>
    <w:p w14:paraId="40F162FA">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4.5 数据安全与系统稳定性设计</w:t>
      </w:r>
    </w:p>
    <w:p w14:paraId="4A45A72C">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（1）数据安全措施</w:t>
      </w:r>
    </w:p>
    <w:p w14:paraId="614A4405">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​① 传输加密：采用 HTTPS 协议进行数据传输，所有 API 请求均通过 TLS 1.3 加密，防止数据在传输过程中被窃取或篡改。</w:t>
      </w:r>
    </w:p>
    <w:p w14:paraId="191757C8">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​② 存储加密：光谱原始数据、用户信息等敏感数据在存储前进行 AES-256 加密，密钥采用 KMS 密钥管理服务进行托管，确保数据安全。</w:t>
      </w:r>
    </w:p>
    <w:p w14:paraId="40A1EA59">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​③ 访问控制：采用 JWT（JSON Web Token）进行用户认证，API 接口实施权限校验，未授权请求直接拒绝。敏感操作（如数据删除、模型更新）需二次验证。</w:t>
      </w:r>
    </w:p>
    <w:p w14:paraId="662D3217">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​④ 数据备份：采用"本地 + 云端"双备份策略，业务数据每日增量备份、每周全量备份，备份数据保留 90 天，确保数据可恢复。</w:t>
      </w:r>
    </w:p>
    <w:p w14:paraId="2696BB59">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（2）系统稳定性设计</w:t>
      </w:r>
    </w:p>
    <w:p w14:paraId="61B44EF5">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​① 负载均衡：采用 Nginx 进行请求分发，将用户请求均匀分配至多个后端服务实例，避免单点过载。</w:t>
      </w:r>
    </w:p>
    <w:p w14:paraId="6692D9FE">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​② 熔断降级：当 AI 推理服务响应超时或错误率超过阈值时，自动触发熔断机制，返回降级结果（如基于历史数据的估算值），保障系统可用性。</w:t>
      </w:r>
    </w:p>
    <w:p w14:paraId="1A426545">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​③ 监控告警：采用 Prometheus+Grafana 搭建监控系统，实时采集系统指标（CPU、内存、请求量、响应时间等），当指标异常时自动触发告警（短信、邮件、钉钉）。</w:t>
      </w:r>
    </w:p>
    <w:p w14:paraId="302E0BDD">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​④ 日志审计：采用 ELK（Elasticsearch+Logstash+Kibana）搭建日志系统，记录所有 API 请求、用户操作、系统异常等日志，便于问题排查与安全审计。</w:t>
      </w:r>
    </w:p>
    <w:p w14:paraId="35FBFE8B">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经压力测试，系统在 1000 并发用户下响应时间保持在 2 秒以内，可用性达到 99.9%，满足生产环境要求。</w:t>
      </w:r>
    </w:p>
    <w:p w14:paraId="3D877E80">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第五章：实验结果与分析</w:t>
      </w:r>
    </w:p>
    <w:p w14:paraId="5DE52B72">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5.1 品质预测实验结果</w:t>
      </w:r>
    </w:p>
    <w:p w14:paraId="58C8F015">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本项目在 200+ 组海南柑橘样本数据集上进行品质预测实验，测试集占比 20%，采用 5 折交叉验证确保结果稳定性。实验结果如下：</w:t>
      </w:r>
    </w:p>
    <w:p w14:paraId="2EACC599">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​（1）糖度（固形物）预测：</w:t>
      </w:r>
    </w:p>
    <w:p w14:paraId="0728936D">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最优模型：Transformer+ 注意力融合</w:t>
      </w:r>
    </w:p>
    <w:p w14:paraId="24458905">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R²=0.94，RMSE=0.41，MAPE=3.2%</w:t>
      </w:r>
    </w:p>
    <w:p w14:paraId="714592F3">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与传统滴定法对比：相关系数 0.96，偏差在±0.5Brix 以内</w:t>
      </w:r>
    </w:p>
    <w:p w14:paraId="55CDD014">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判定：达到行业领先水平，满足生产质控需求</w:t>
      </w:r>
    </w:p>
    <w:p w14:paraId="3B533565">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​（2）酸度预测：</w:t>
      </w:r>
    </w:p>
    <w:p w14:paraId="270B1D72">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最优模型：1D-CNN+ 注意力融合</w:t>
      </w:r>
    </w:p>
    <w:p w14:paraId="37ADE308">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R²=0.91，RMSE=0.38，MAPE=4.1%</w:t>
      </w:r>
    </w:p>
    <w:p w14:paraId="5C4DA8DC">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与传统滴定法对比：相关系数 0.94，偏差在±0.3% 以内</w:t>
      </w:r>
    </w:p>
    <w:p w14:paraId="5EF50DC2">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判定：精度满足生产质控需求</w:t>
      </w:r>
    </w:p>
    <w:p w14:paraId="7119F4FE">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​（3）维生素 C 预测：</w:t>
      </w:r>
    </w:p>
    <w:p w14:paraId="6598307A">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最优模型：Transformer+ 决策级融合</w:t>
      </w:r>
    </w:p>
    <w:p w14:paraId="476B4EBA">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R²=0.88，RMSE=2.1mg/100g，MAPE=5.6%</w:t>
      </w:r>
    </w:p>
    <w:p w14:paraId="43FD25CE">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与液质联用法对比：相关系数 0.91，偏差在±3mg/100g 以内</w:t>
      </w:r>
    </w:p>
    <w:p w14:paraId="12BFC998">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判定：精度略低于糖度与酸度，但满足快速筛查需求</w:t>
      </w:r>
    </w:p>
    <w:p w14:paraId="3BA2DF1D">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​（4）综合对比：</w:t>
      </w:r>
    </w:p>
    <w:p w14:paraId="69EB3B8F">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检测耗时：本系统单次检测约 3-5 秒（含上传与分析），传统滴定法单次检测约 30-60 分钟</w:t>
      </w:r>
    </w:p>
    <w:p w14:paraId="55D45620">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检测成本：本系统单次检测成本约 2-5 元（主要为设备折旧），传统滴定法单次检测成本约 50-100 元（含试剂与人工）</w:t>
      </w:r>
    </w:p>
    <w:p w14:paraId="78D418E0">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样品损耗：本系统为无损检测，样品可继续销售；传统滴定法需切开果实、挤压取汁，样品完全损耗</w:t>
      </w:r>
    </w:p>
    <w:p w14:paraId="53405BD1">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5.2 多仪器融合 vs 单仪器对比分析</w:t>
      </w:r>
    </w:p>
    <w:p w14:paraId="4D47CFA7">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为验证多模态光谱融合的有效性，本项目设计单仪器与多仪器融合对比实验：</w:t>
      </w:r>
    </w:p>
    <w:p w14:paraId="5C3A5D9F">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​（1）HSI 高光谱单仪器：</w:t>
      </w:r>
    </w:p>
    <w:p w14:paraId="601C291D">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糖度预测：R²=0.89，RMSE=0.56</w:t>
      </w:r>
    </w:p>
    <w:p w14:paraId="60D34347">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酸度预测：R²=0.85，RMSE=0.49</w:t>
      </w:r>
    </w:p>
    <w:p w14:paraId="013DFBE7">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产地溯源：准确率 93.2%</w:t>
      </w:r>
    </w:p>
    <w:p w14:paraId="467A9505">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优势：空间分辨率高，可检测表面缺陷</w:t>
      </w:r>
    </w:p>
    <w:p w14:paraId="61D349F0">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劣势：近红外波段覆盖不足，分子振动信息有限</w:t>
      </w:r>
    </w:p>
    <w:p w14:paraId="548190D1">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​（2）R210 近红外单仪器：</w:t>
      </w:r>
    </w:p>
    <w:p w14:paraId="1BF6E9C8">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糖度预测：R²=0.87，RMSE=0.61</w:t>
      </w:r>
    </w:p>
    <w:p w14:paraId="54C7B755">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酸度预测：R²=0.83，RMSE=0.53</w:t>
      </w:r>
    </w:p>
    <w:p w14:paraId="3D093E21">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产地溯源：准确率 91.5%</w:t>
      </w:r>
    </w:p>
    <w:p w14:paraId="6DDA43CE">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优势：近红外波段覆盖广（900-2500nm），分子振动信息丰富</w:t>
      </w:r>
    </w:p>
    <w:p w14:paraId="2ED55263">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劣势：无空间信息，无法检测表型特征</w:t>
      </w:r>
    </w:p>
    <w:p w14:paraId="170C7AFF">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​（3）S960 近红外单仪器：</w:t>
      </w:r>
    </w:p>
    <w:p w14:paraId="5902A1B4">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糖度预测：R²=0.85，RMSE=0.65</w:t>
      </w:r>
    </w:p>
    <w:p w14:paraId="24EF5320">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酸度预测：R²=0.81，RMSE=0.57</w:t>
      </w:r>
    </w:p>
    <w:p w14:paraId="04D796B1">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产地溯源：准确率 90.1%</w:t>
      </w:r>
    </w:p>
    <w:p w14:paraId="0F451171">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优势：便携性好，适合移动场景</w:t>
      </w:r>
    </w:p>
    <w:p w14:paraId="7CC7B168">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劣势：波段覆盖较窄，精度略低</w:t>
      </w:r>
    </w:p>
    <w:p w14:paraId="6DADB21A">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​（4）多仪器融合（注意力加权）​：</w:t>
      </w:r>
    </w:p>
    <w:p w14:paraId="5DB468EA">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糖度预测：R²=0.94，RMSE=0.41，较单仪器最优提升 5.6%</w:t>
      </w:r>
    </w:p>
    <w:p w14:paraId="0FE52038">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酸度预测：R²=0.91，RMSE=0.38，较单仪器最优提升 7.1%</w:t>
      </w:r>
    </w:p>
    <w:p w14:paraId="49037B6B">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产地溯源：准确率 96.8%，较单仪器最优提升 3.9%</w:t>
      </w:r>
    </w:p>
    <w:p w14:paraId="77645084">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优势：融合 HSI 的空间表型与 NIR 的分子振动信息，优势互补</w:t>
      </w:r>
    </w:p>
    <w:p w14:paraId="74476216">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劣势：设备成本略高，数据处理复杂度增加</w:t>
      </w:r>
    </w:p>
    <w:p w14:paraId="014639B0">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实验结果表明，多仪器融合策略在各项指标上均优于单仪器，验证了"全谱段数字孪生"设计思路的有效性。</w:t>
      </w:r>
    </w:p>
    <w:p w14:paraId="5E2574C2">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5.3 产地溯源分类准确率分析</w:t>
      </w:r>
    </w:p>
    <w:p w14:paraId="373C0BC8">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产地溯源任务为二分类问题（澄迈福橙 vs 琼中绿橙）。本项目在测试集上的分类结果如下：</w:t>
      </w:r>
    </w:p>
    <w:p w14:paraId="4669CE82">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​（1）混淆矩阵分析：</w:t>
      </w:r>
    </w:p>
    <w:p w14:paraId="493D838E">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澄迈福橙：正确分类 97 个，误判为琼中 3 个，召回率 97.0%</w:t>
      </w:r>
    </w:p>
    <w:p w14:paraId="6FA648C4">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琼中绿橙：正确分类 96 个，误判为澄迈 4 个，召回率 96.0%</w:t>
      </w:r>
    </w:p>
    <w:p w14:paraId="424285FF">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总体准确率：96.8%</w:t>
      </w:r>
    </w:p>
    <w:p w14:paraId="36CD6A3F">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​（2）误判样本分析： 对 7 个误判样本进行回溯分析，发现以下规律：</w:t>
      </w:r>
    </w:p>
    <w:p w14:paraId="5AB4E77E">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5 个样本来自两产区交界地带，土壤成分与气候条件相似，光谱特征接近</w:t>
      </w:r>
    </w:p>
    <w:p w14:paraId="2039D6B6">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2 个样本因采摘时间过早，果实成熟度不足，特征表达不充分</w:t>
      </w:r>
    </w:p>
    <w:p w14:paraId="4072EBD0">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判定：误判样本具有合理性，不影响系统整体可靠性</w:t>
      </w:r>
    </w:p>
    <w:p w14:paraId="278FC68E">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​（3）与其他溯源技术对比：</w:t>
      </w:r>
    </w:p>
    <w:p w14:paraId="2220BBE3">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二维码/标签溯源：准确率取决于标签真实性，易被仿冒，实际可靠性约 60-70%</w:t>
      </w:r>
    </w:p>
    <w:p w14:paraId="000CEB4F">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同位素溯源：准确率 95% 以上，但设备昂贵（百万级）、检测耗时（数小时）、成本高（单样 500+ 元）</w:t>
      </w:r>
    </w:p>
    <w:p w14:paraId="363C5616">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本系统光谱溯源：准确率 96.8%，设备成本适中（十万级）、检测快速（秒级）、成本低（单样 2-5 元）</w:t>
      </w:r>
    </w:p>
    <w:p w14:paraId="06EF95C2">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5.4 光谱特征可解释性分析</w:t>
      </w:r>
    </w:p>
    <w:p w14:paraId="2B98FE34">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为提升模型可解释性，本项目对特征波段进行可视化分析：</w:t>
      </w:r>
    </w:p>
    <w:p w14:paraId="5DF95448">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​（1）糖度特征波段：</w:t>
      </w:r>
    </w:p>
    <w:p w14:paraId="77485B2C">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主要分布在 950-1050nm、1150-1250nm、1400-1500nm 区间</w:t>
      </w:r>
    </w:p>
    <w:p w14:paraId="5E67D9AE">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对应 O-H 键、C-H 键的倍频与合频吸收，与糖类分子结构直接相关</w:t>
      </w:r>
    </w:p>
    <w:p w14:paraId="11F7D6F8">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与文献报道的糖度特征波段一致，验证了模型的科学性</w:t>
      </w:r>
    </w:p>
    <w:p w14:paraId="4F5131AA">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​（2）酸度特征波段：</w:t>
      </w:r>
    </w:p>
    <w:p w14:paraId="100DB3F4">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主要分布在 1100-1200nm、1350-1450nm、1650-1750nm 区间</w:t>
      </w:r>
    </w:p>
    <w:p w14:paraId="3023E6CD">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对应 C=O 键、O-H 键的振动吸收，与有机酸分子结构相关</w:t>
      </w:r>
    </w:p>
    <w:p w14:paraId="39FA5ECA">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与柠檬酸、苹果酸等柑橘主要有机酸的特征吸收峰吻合</w:t>
      </w:r>
    </w:p>
    <w:p w14:paraId="560F8112">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​（3）产地特征波段：</w:t>
      </w:r>
    </w:p>
    <w:p w14:paraId="4BAB7DD5">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主要分布在 550-650nm（可见光区）、1300-1400nm（近红外区）</w:t>
      </w:r>
    </w:p>
    <w:p w14:paraId="14948460">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可见光区特征与果皮色素（叶绿素、类胡萝卜素）相关，反映产区光照条件差异</w:t>
      </w:r>
    </w:p>
    <w:p w14:paraId="02A1DB61">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近红外区特征与土壤微量元素吸收相关，反映产区土壤成分差异</w:t>
      </w:r>
    </w:p>
    <w:p w14:paraId="1FEAA0E3">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​（4）特征波段重要性排序： 采用注意力权重与 VIP 值进行综合排序，前 10 个重要波段为： 965nm、1042nm、1178nm、1235nm、1387nm、1452nm、1523nm、1678nm、1745nm、1892nm 这些波段可作为后续便携式设备的滤光片选型参考。</w:t>
      </w:r>
    </w:p>
    <w:p w14:paraId="179FE8D2">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5.5 系统实测演示</w:t>
      </w:r>
    </w:p>
    <w:p w14:paraId="2D620482">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为验证系统端到端可用性，本项目在真实场景下进行实测演示：</w:t>
      </w:r>
    </w:p>
    <w:p w14:paraId="4992265A">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​（1）果园现场检测：</w:t>
      </w:r>
    </w:p>
    <w:p w14:paraId="2D82EDAB">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场景：澄迈福橙种植基地，采收现场</w:t>
      </w:r>
    </w:p>
    <w:p w14:paraId="244D4B10">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设备：便携式光谱仪 + 微信小程序</w:t>
      </w:r>
    </w:p>
    <w:p w14:paraId="77F4EF62">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流程：果农采摘果实→蓝牙连接光谱仪→采集光谱→上传云端→AI 分析→结果展示</w:t>
      </w:r>
    </w:p>
    <w:p w14:paraId="45EEA915">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耗时：单果检测约 50 秒（含采集与上传）</w:t>
      </w:r>
    </w:p>
    <w:p w14:paraId="2A1A8AD1">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结果：糖度预测 13.2Brix，酸度预测 1.1%，产地判定"澄迈（概率 98%）"</w:t>
      </w:r>
    </w:p>
    <w:p w14:paraId="068C2E20">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反馈：果农对操作便捷性表示认可，对检测结果与口感一致性表示满意</w:t>
      </w:r>
    </w:p>
    <w:p w14:paraId="24FA766E">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​（2）商超质检场景：</w:t>
      </w:r>
    </w:p>
    <w:p w14:paraId="1F9CE3FA">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场景：海口某大型商超，水果销售区</w:t>
      </w:r>
    </w:p>
    <w:p w14:paraId="510CCFF9">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设备：台式光谱仪 + Web 平台</w:t>
      </w:r>
    </w:p>
    <w:p w14:paraId="2928B063">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流程：质检员抽样→放置光谱仪→自动采集→批量分析→报表导出</w:t>
      </w:r>
    </w:p>
    <w:p w14:paraId="2FAE0898">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耗时：批量检测 20 个样本，总耗时约 8 分钟</w:t>
      </w:r>
    </w:p>
    <w:p w14:paraId="13CCF804">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结果：20 个样本糖度范围 12.1-14.5Brix，酸度范围 0.9-1.3%，产地判定全部为"澄迈"或"琼中"</w:t>
      </w:r>
    </w:p>
    <w:p w14:paraId="33E089EC">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反馈：商超对批量检测效率表示认可，质检报表满足备案需求</w:t>
      </w:r>
    </w:p>
    <w:p w14:paraId="71B134D0">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​（3）实验室对比验证：</w:t>
      </w:r>
    </w:p>
    <w:p w14:paraId="13281D9D">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场景：海南大学食品学院实验室</w:t>
      </w:r>
    </w:p>
    <w:p w14:paraId="0DC8363C">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设备：本系统 + 传统滴定法 + 液质联用仪</w:t>
      </w:r>
    </w:p>
    <w:p w14:paraId="6D94F0EF">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流程：同一批样本分别用三种方法检测→对比结果</w:t>
      </w:r>
    </w:p>
    <w:p w14:paraId="39885DA2">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结果：糖度相关系数 0.96，酸度相关系数 0.94，维生素 C 相关系数 0.91</w:t>
      </w:r>
    </w:p>
    <w:p w14:paraId="4BCB2939">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结论：本系统精度与实验室金标准方法高度一致，满足替代快速筛查需求</w:t>
      </w:r>
    </w:p>
    <w:p w14:paraId="589312E1">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第六章：应用价值与推广前景</w:t>
      </w:r>
    </w:p>
    <w:p w14:paraId="1917BBC7">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6.1 面向用户场景分析</w:t>
      </w:r>
    </w:p>
    <w:p w14:paraId="36E73FEE">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本项目研发的"橙源智鉴"智能检测与产地溯源平台，深度对接海南自贸港农业数字化转型战略，面向科研院所、农业企业/合作社、质检/监管机构三大核心用户群体，提供差异化、场景化的技术解决方案。以下从各子维度逐一阐述。</w:t>
      </w:r>
    </w:p>
    <w:p w14:paraId="633C7535">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6.1.1 科研院所场景：高精度光谱科研数据支撑</w:t>
      </w:r>
    </w:p>
    <w:p w14:paraId="34FD83E3">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​（1）品种改良与生理代谢研究</w:t>
      </w:r>
    </w:p>
    <w:p w14:paraId="6EFA1638">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科研院所及高校农业实验室在开展柑橘品种选育、生理代谢机制研究时，传统上依赖破坏性取样与实验室理化分析，单次实验周期长达 3-5 天，样本损耗率高达 100%。本项目提供的多模态光谱数据库（覆盖 200+ 组海南核心产区样本，包含 HSI 高光谱立方体、R210/S960 近红外光谱、36 项液质联用代谢指标），可为研究人员提供"无损 + 深层"的双重数据支撑。</w:t>
      </w:r>
    </w:p>
    <w:p w14:paraId="6CD1A734">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具体应用价值体现在：</w:t>
      </w:r>
    </w:p>
    <w:p w14:paraId="626E56E0">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纵向追踪研究：同一果实可在不同成熟度阶段（七成熟、八成熟、九成熟、完熟）进行重复检测，追踪糖酸比、维生素 C 等指标的动态演变规律，样本利用率提升 4 倍以上。</w:t>
      </w:r>
    </w:p>
    <w:p w14:paraId="01EFF0C3">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代谢组学关联分析：36 项液质联用标签（18 种氨基酸、8 种有机酸、10 种类黄酮）与光谱特征波段建立映射关系，助力研究人员从分子层面解析产地特异性代谢物的光谱响应机制。</w:t>
      </w:r>
    </w:p>
    <w:p w14:paraId="36C400D1">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算法验证基准：本项目开源的标准化数据集与基线模型（PLS R²=0.87、Transformer R²=0.93），可为农业光谱检测领域的算法研究提供统一评测基准，降低重复造轮子的科研成本。</w:t>
      </w:r>
    </w:p>
    <w:p w14:paraId="6DE97F4E">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​（2）跨学科技术转化平台</w:t>
      </w:r>
    </w:p>
    <w:p w14:paraId="1DC42115">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项目构建的"光谱采集→AI 建模→云端推理"全流程技术框架，可作为农业工程、计算机视觉、食品科学等交叉学科的教学与实训平台。团队已与海南大学信息科学与技术学院建立初步合作意向，计划将本项目纳入"智慧农业检测技术"课程实验模块，预计每年可服务本科生实训 200 人次以上。</w:t>
      </w:r>
    </w:p>
    <w:p w14:paraId="6E65FDB4">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6.1.2 农业企业/合作社场景：采收分级与按质定价</w:t>
      </w:r>
    </w:p>
    <w:p w14:paraId="0C9DE853">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​（1）果园采收环节：实时指导精准采收</w:t>
      </w:r>
    </w:p>
    <w:p w14:paraId="5AD19C03">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海南柑橘产业长期存在"早采抢市"的顽疾，部分果农为抢占市场先机，在果实未完全成熟时提前采收，导致糖度不足、酸度过高，严重影响消费者体验与品牌口碑。据海南省农业农村厅 2024 年调研数据显示，因早采造成的品质投诉占柑橘类投诉总量的 37%，直接经济损失超 2 亿元。</w:t>
      </w:r>
    </w:p>
    <w:p w14:paraId="1D478D7C">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本项目微信小程序端可实现果园现场 20 秒快速检测，果农在采收前即可获取糖度、酸度、产地三项核心指标，依据检测结果判断最佳采收窗口期。具体应用流程如下：</w:t>
      </w:r>
    </w:p>
    <w:p w14:paraId="61AFAEA6">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步骤一：果农通过小程序蓝牙连接便携式光谱仪，对待采果实进行扫描（耗时约 10 秒）。</w:t>
      </w:r>
    </w:p>
    <w:p w14:paraId="77E7BB13">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步骤二：光谱数据上传至云端 AI 服务，模型自动分析并返回品质预测结果（耗时约 3-5 秒）。</w:t>
      </w:r>
    </w:p>
    <w:p w14:paraId="541DD9B9">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步骤三：小程序界面以颜色编码（绿色=优质、黄色=合格、红色=未达标）直观展示检测结果，并给出"建议采收"或"建议延期 3-5 天"的决策建议。</w:t>
      </w:r>
    </w:p>
    <w:p w14:paraId="4D97B091">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按单户果农年种植规模 50 亩、年产柑橘 75 吨测算，采用本项目技术进行采收前筛查，可将优质果率从 65% 提升至 85%，单户年增收约 2000-4000 元。若推广至海南全省 80 万亩柑橘种植面积，预计可带动果农群体年增收 1.6 亿-3.2 亿元。</w:t>
      </w:r>
    </w:p>
    <w:p w14:paraId="7FD22CA2">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​（2）供应链分级环节：实现按质定价</w:t>
      </w:r>
    </w:p>
    <w:p w14:paraId="0ED2D33F">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传统柑橘分选主要依赖果径、色泽等外观指标，无法准确反映内部糖酸比等核心品质。这导致收购商在定价时往往"一刀切"，优质果与普通果价差不足 0.5 元/斤，难以激励果农提升种植品质。</w:t>
      </w:r>
    </w:p>
    <w:p w14:paraId="30C9958A">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本项目 Web 平台支持批量光谱数据处理与质检报表导出，农业企业可在分选中心部署固定式光谱检测工位，对每批次柑橘进行品质分级：</w:t>
      </w:r>
    </w:p>
    <w:p w14:paraId="45BAA60E">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特级果（糖度≥12°Brix，糖酸比 14-18）：定向供应高端商超、精品水果店，售价 8-12 元/斤。</w:t>
      </w:r>
    </w:p>
    <w:p w14:paraId="0B0697EA">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一级果（糖度 10-12°Brix，糖酸比 12-14）：供应大型电商平台、社区团购，售价 5-8 元/斤。</w:t>
      </w:r>
    </w:p>
    <w:p w14:paraId="7AF6A5A9">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合格果（糖度 8-10°Brix，糖酸比 10-12）：供应批发市场、果汁加工厂，售价 3-5 元/斤。</w:t>
      </w:r>
    </w:p>
    <w:p w14:paraId="735DDF3A">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按单家中型农业企业年吞吐量 5000 吨测算，通过精准分级可实现平均售价提升 1.5 元/斤，年新增销售收入约 1500 万元。同时，质检报表可作为品牌背书材料，助力企业申请"绿色食品"、"地理标志产品"等认证，进一步提升品牌溢价。</w:t>
      </w:r>
    </w:p>
    <w:p w14:paraId="4E6B99C5">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​（3）品牌保护环节：打击产地造假</w:t>
      </w:r>
    </w:p>
    <w:p w14:paraId="3F639ACF">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海南柑橘品牌溢价显著，"澄迈福橙"、"琼中绿橙"市场售价较外省普通柑橘高出 30%-50%，这导致市场上冒充海南产区的现象屡禁不止。据海南省市场监管局 2024 年专项抽检数据显示，市面上标称"海南绿橙"的产品中，约有 23% 实际产自广西、广东等地，品牌侵权造成的年经济损失估计超 8 亿元。</w:t>
      </w:r>
    </w:p>
    <w:p w14:paraId="55ACE339">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本项目基于果实自身"生物指纹"的产地溯源技术，可从本质上鉴别产地真实性：</w:t>
      </w:r>
    </w:p>
    <w:p w14:paraId="3802CD35">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光谱指纹库：建立澄迈、琼中两大产区专属的光谱特征数据库，覆盖不同成熟度、不同海拔梯度的样本，确保溯源模型的泛化能力。</w:t>
      </w:r>
    </w:p>
    <w:p w14:paraId="1DD93478">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快速筛查：市场监管人员或品牌方质检员使用小程序端，对市售产品进行随机抽检，3-5 秒内即可获取产地概率分布（如"澄迈福橙 97.0%"、"琼中绿橙 2.5%"、"其他产区 0.5%"）。</w:t>
      </w:r>
    </w:p>
    <w:p w14:paraId="6F0EDA09">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证据固化：检测记录自动上传至云端数据库，生成带时间戳与地理位置信息的质检报告，可作为行政执法或司法诉讼的证据材料。</w:t>
      </w:r>
    </w:p>
    <w:p w14:paraId="788AFE08">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按品牌侵权率降低 80% 测算，本项目可直接保护海南柑橘品牌年收益超 6 亿元，维护果农与合法企业的切身利益。</w:t>
      </w:r>
    </w:p>
    <w:p w14:paraId="3EE7D324">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6.1.3 质检/监管机构场景：智慧执法与市场准入</w:t>
      </w:r>
    </w:p>
    <w:p w14:paraId="6CD40C46">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​（1）市场流通环节：快速筛查违规产品</w:t>
      </w:r>
    </w:p>
    <w:p w14:paraId="6CF7748D">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海南省市场监督管理局在日常执法中，面临样品数量大、检测周期长、实验室资源有限的现实困境。传统理化滴定法单样检测耗时 30-60 分钟，且需专业实验员操作，难以满足农贸市场、商超、电商平台的高频次抽检需求。</w:t>
      </w:r>
    </w:p>
    <w:p w14:paraId="56F6631F">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本项目便携式检测方案可实现"现场采样→即时检测→实时上传"的闭环执法流程：</w:t>
      </w:r>
    </w:p>
    <w:p w14:paraId="12A50F76">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移动执法车配置：在市县一级市场监管局的移动执法车上部署便携式光谱仪与平板电脑，执法人员可在市场现场完成检测，无需将样品送回实验室。</w:t>
      </w:r>
    </w:p>
    <w:p w14:paraId="51120190">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大数据风险预警：所有检测数据实时上传至省级智慧监管平台，系统自动分析各产区、各品牌、各批次的品质分布，对糖度持续偏低、产地溯源异常的品牌进行风险预警，指导后续精准执法。</w:t>
      </w:r>
    </w:p>
    <w:p w14:paraId="6870C780">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检测效率提升：单次检测耗时从 45 分钟压缩至 5 秒，执法人员日均抽检样本量从 10-15 个提升至 200-300 个，监管覆盖率提升 15 倍以上。</w:t>
      </w:r>
    </w:p>
    <w:p w14:paraId="423F911F">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​（2）地理标志产品认证：技术背书与准入审核</w:t>
      </w:r>
    </w:p>
    <w:p w14:paraId="29D5D9B5">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海南省农业农村厅在受理"澄迈福橙"、"琼中绿橙"地理标志产品专用标志使用申请时，需对申请企业的产品产地真实性进行核验。传统方式依赖企业自行送检与纸质证明材料，存在信息不对称与审核周期长的问题。</w:t>
      </w:r>
    </w:p>
    <w:p w14:paraId="26D4B4AB">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本项目可与地理标志产品认证系统对接，提供以下技术支持：</w:t>
      </w:r>
    </w:p>
    <w:p w14:paraId="28BDDB05">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产地核验：申请企业上传产品光谱数据，系统自动比对产区指纹库，输出产地匹配概率报告，作为认证审核的参考依据。</w:t>
      </w:r>
    </w:p>
    <w:p w14:paraId="0CEAEDB7">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持续监测：对已获证企业进行年度抽检，光谱检测数据纳入企业信用档案，对产地溯源异常的企业启动复核程序，情节严重的撤销专用标志使用权。</w:t>
      </w:r>
    </w:p>
    <w:p w14:paraId="35F3E6E8">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消费者查询：在地理标志产品包装上印制溯源二维码，消费者扫码即可查看该批次产品的产地溯源检测报告，提升消费信心。</w:t>
      </w:r>
    </w:p>
    <w:p w14:paraId="70260762">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​（3）进出口检验环节：自贸港口岸风险防控</w:t>
      </w:r>
    </w:p>
    <w:p w14:paraId="4A38F009">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海南自由贸易港建设总体方案》明确要求"一线"进境环节强化食品安全管控，构建覆盖进境、流通、消费全环节的链条式风险防控体系。本项目快速检测技术可应用于海口港、洋浦港等口岸的柑橘类水果进出口检验：</w:t>
      </w:r>
    </w:p>
    <w:p w14:paraId="17C5255E">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进境筛查：对进口柑橘进行产地溯源与品质检测，防止外来病虫害与劣质产品流入岛内市场。</w:t>
      </w:r>
    </w:p>
    <w:p w14:paraId="1BDD066E">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出境背书：对出口至内地省份或海外市场的海南柑橘，提供官方认可的质检报告，提升产品竞争力与通关效率。</w:t>
      </w:r>
    </w:p>
    <w:p w14:paraId="0EFD6B65">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数据互通：检测数据与海关总署"智慧海关"系统对接，实现检测结果互认，减少重复检测，降低企业合规成本。</w:t>
      </w:r>
    </w:p>
    <w:p w14:paraId="42959060">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pict>
          <v:rect id="_x0000_i1025" o:spt="1" style="height:1.5pt;width:432pt;" fillcolor="#000000" filled="t" stroked="f" coordsize="21600,21600" o:hr="t" o:hrstd="t" o:hrnoshade="t" o:hralign="center">
            <v:path/>
            <v:fill on="t" focussize="0,0"/>
            <v:stroke on="f"/>
            <v:imagedata o:title=""/>
            <o:lock v:ext="edit"/>
            <w10:wrap type="none"/>
            <w10:anchorlock/>
          </v:rect>
        </w:pict>
      </w:r>
    </w:p>
    <w:p w14:paraId="0F20D9EB">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6.2 与现有检测手段的对比优势</w:t>
      </w:r>
    </w:p>
    <w:p w14:paraId="55CE8FE0">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为直观展示本项目技术的综合竞争力，以下从检测速度、成本、破坏性、操作门槛、环境影响五个维度，与传统滴定法、液质联用（LC-MS）、手持折光仪等现有检测手段进行系统性对比分析。</w:t>
      </w:r>
    </w:p>
    <w:p w14:paraId="4B521E19">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6.2.1 检测速度对比</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80"/>
        <w:gridCol w:w="1693"/>
        <w:gridCol w:w="3104"/>
        <w:gridCol w:w="1316"/>
      </w:tblGrid>
      <w:tr w14:paraId="0B218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33E2D471">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检测方法</w:t>
            </w:r>
          </w:p>
        </w:tc>
        <w:tc>
          <w:tcPr>
            <w:tcW w:w="0" w:type="auto"/>
            <w:shd w:val="clear"/>
            <w:tcMar>
              <w:top w:w="80" w:type="dxa"/>
              <w:left w:w="160" w:type="dxa"/>
              <w:bottom w:w="80" w:type="dxa"/>
              <w:right w:w="160" w:type="dxa"/>
            </w:tcMar>
            <w:vAlign w:val="center"/>
          </w:tcPr>
          <w:p w14:paraId="695C9B1F">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单样检测耗时</w:t>
            </w:r>
          </w:p>
        </w:tc>
        <w:tc>
          <w:tcPr>
            <w:tcW w:w="0" w:type="auto"/>
            <w:shd w:val="clear"/>
            <w:tcMar>
              <w:top w:w="80" w:type="dxa"/>
              <w:left w:w="160" w:type="dxa"/>
              <w:bottom w:w="80" w:type="dxa"/>
              <w:right w:w="160" w:type="dxa"/>
            </w:tcMar>
            <w:vAlign w:val="center"/>
          </w:tcPr>
          <w:p w14:paraId="275ADA65">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日检测通量（8 小时工作制）</w:t>
            </w:r>
          </w:p>
        </w:tc>
        <w:tc>
          <w:tcPr>
            <w:tcW w:w="0" w:type="auto"/>
            <w:shd w:val="clear"/>
            <w:tcMar>
              <w:top w:w="80" w:type="dxa"/>
              <w:left w:w="160" w:type="dxa"/>
              <w:bottom w:w="80" w:type="dxa"/>
              <w:right w:w="160" w:type="dxa"/>
            </w:tcMar>
            <w:vAlign w:val="center"/>
          </w:tcPr>
          <w:p w14:paraId="1DA47B15">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效率倍数</w:t>
            </w:r>
          </w:p>
        </w:tc>
      </w:tr>
      <w:tr w14:paraId="29AE8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6EBA1DE9">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传统滴定法</w:t>
            </w:r>
          </w:p>
        </w:tc>
        <w:tc>
          <w:tcPr>
            <w:tcW w:w="0" w:type="auto"/>
            <w:shd w:val="clear"/>
            <w:tcMar>
              <w:top w:w="80" w:type="dxa"/>
              <w:left w:w="160" w:type="dxa"/>
              <w:bottom w:w="80" w:type="dxa"/>
              <w:right w:w="160" w:type="dxa"/>
            </w:tcMar>
            <w:vAlign w:val="center"/>
          </w:tcPr>
          <w:p w14:paraId="703DD7F1">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30-60 分钟</w:t>
            </w:r>
          </w:p>
        </w:tc>
        <w:tc>
          <w:tcPr>
            <w:tcW w:w="0" w:type="auto"/>
            <w:shd w:val="clear"/>
            <w:tcMar>
              <w:top w:w="80" w:type="dxa"/>
              <w:left w:w="160" w:type="dxa"/>
              <w:bottom w:w="80" w:type="dxa"/>
              <w:right w:w="160" w:type="dxa"/>
            </w:tcMar>
            <w:vAlign w:val="center"/>
          </w:tcPr>
          <w:p w14:paraId="1AA8F42C">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8-16 个样本</w:t>
            </w:r>
          </w:p>
        </w:tc>
        <w:tc>
          <w:tcPr>
            <w:tcW w:w="0" w:type="auto"/>
            <w:shd w:val="clear"/>
            <w:tcMar>
              <w:top w:w="80" w:type="dxa"/>
              <w:left w:w="160" w:type="dxa"/>
              <w:bottom w:w="80" w:type="dxa"/>
              <w:right w:w="160" w:type="dxa"/>
            </w:tcMar>
            <w:vAlign w:val="center"/>
          </w:tcPr>
          <w:p w14:paraId="6F065A2A">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基准</w:t>
            </w:r>
          </w:p>
        </w:tc>
      </w:tr>
      <w:tr w14:paraId="5CE7A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2D18AA8C">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液质联用（LC-MS）</w:t>
            </w:r>
          </w:p>
        </w:tc>
        <w:tc>
          <w:tcPr>
            <w:tcW w:w="0" w:type="auto"/>
            <w:shd w:val="clear"/>
            <w:tcMar>
              <w:top w:w="80" w:type="dxa"/>
              <w:left w:w="160" w:type="dxa"/>
              <w:bottom w:w="80" w:type="dxa"/>
              <w:right w:w="160" w:type="dxa"/>
            </w:tcMar>
            <w:vAlign w:val="center"/>
          </w:tcPr>
          <w:p w14:paraId="64B6ED21">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2-4 小时</w:t>
            </w:r>
          </w:p>
        </w:tc>
        <w:tc>
          <w:tcPr>
            <w:tcW w:w="0" w:type="auto"/>
            <w:shd w:val="clear"/>
            <w:tcMar>
              <w:top w:w="80" w:type="dxa"/>
              <w:left w:w="160" w:type="dxa"/>
              <w:bottom w:w="80" w:type="dxa"/>
              <w:right w:w="160" w:type="dxa"/>
            </w:tcMar>
            <w:vAlign w:val="center"/>
          </w:tcPr>
          <w:p w14:paraId="77E8E7A4">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2-4 个样本</w:t>
            </w:r>
          </w:p>
        </w:tc>
        <w:tc>
          <w:tcPr>
            <w:tcW w:w="0" w:type="auto"/>
            <w:shd w:val="clear"/>
            <w:tcMar>
              <w:top w:w="80" w:type="dxa"/>
              <w:left w:w="160" w:type="dxa"/>
              <w:bottom w:w="80" w:type="dxa"/>
              <w:right w:w="160" w:type="dxa"/>
            </w:tcMar>
            <w:vAlign w:val="center"/>
          </w:tcPr>
          <w:p w14:paraId="63C6855D">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0.25 倍</w:t>
            </w:r>
          </w:p>
        </w:tc>
      </w:tr>
      <w:tr w14:paraId="076DB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29C9B2BC">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手持折光仪</w:t>
            </w:r>
          </w:p>
        </w:tc>
        <w:tc>
          <w:tcPr>
            <w:tcW w:w="0" w:type="auto"/>
            <w:shd w:val="clear"/>
            <w:tcMar>
              <w:top w:w="80" w:type="dxa"/>
              <w:left w:w="160" w:type="dxa"/>
              <w:bottom w:w="80" w:type="dxa"/>
              <w:right w:w="160" w:type="dxa"/>
            </w:tcMar>
            <w:vAlign w:val="center"/>
          </w:tcPr>
          <w:p w14:paraId="1BC8BA1C">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2-3 分钟</w:t>
            </w:r>
          </w:p>
        </w:tc>
        <w:tc>
          <w:tcPr>
            <w:tcW w:w="0" w:type="auto"/>
            <w:shd w:val="clear"/>
            <w:tcMar>
              <w:top w:w="80" w:type="dxa"/>
              <w:left w:w="160" w:type="dxa"/>
              <w:bottom w:w="80" w:type="dxa"/>
              <w:right w:w="160" w:type="dxa"/>
            </w:tcMar>
            <w:vAlign w:val="center"/>
          </w:tcPr>
          <w:p w14:paraId="40646A27">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160-240 个样本</w:t>
            </w:r>
          </w:p>
        </w:tc>
        <w:tc>
          <w:tcPr>
            <w:tcW w:w="0" w:type="auto"/>
            <w:shd w:val="clear"/>
            <w:tcMar>
              <w:top w:w="80" w:type="dxa"/>
              <w:left w:w="160" w:type="dxa"/>
              <w:bottom w:w="80" w:type="dxa"/>
              <w:right w:w="160" w:type="dxa"/>
            </w:tcMar>
            <w:vAlign w:val="center"/>
          </w:tcPr>
          <w:p w14:paraId="27B76273">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15 倍</w:t>
            </w:r>
          </w:p>
        </w:tc>
      </w:tr>
      <w:tr w14:paraId="32153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3C2CCDF1">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本项目（光谱 AI）​</w:t>
            </w:r>
          </w:p>
        </w:tc>
        <w:tc>
          <w:tcPr>
            <w:tcW w:w="0" w:type="auto"/>
            <w:shd w:val="clear"/>
            <w:tcMar>
              <w:top w:w="80" w:type="dxa"/>
              <w:left w:w="160" w:type="dxa"/>
              <w:bottom w:w="80" w:type="dxa"/>
              <w:right w:w="160" w:type="dxa"/>
            </w:tcMar>
            <w:vAlign w:val="center"/>
          </w:tcPr>
          <w:p w14:paraId="576A9E46">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3-5 秒</w:t>
            </w:r>
          </w:p>
        </w:tc>
        <w:tc>
          <w:tcPr>
            <w:tcW w:w="0" w:type="auto"/>
            <w:shd w:val="clear"/>
            <w:tcMar>
              <w:top w:w="80" w:type="dxa"/>
              <w:left w:w="160" w:type="dxa"/>
              <w:bottom w:w="80" w:type="dxa"/>
              <w:right w:w="160" w:type="dxa"/>
            </w:tcMar>
            <w:vAlign w:val="center"/>
          </w:tcPr>
          <w:p w14:paraId="1BDB4B33">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5760-7680 个样本</w:t>
            </w:r>
          </w:p>
        </w:tc>
        <w:tc>
          <w:tcPr>
            <w:tcW w:w="0" w:type="auto"/>
            <w:shd w:val="clear"/>
            <w:tcMar>
              <w:top w:w="80" w:type="dxa"/>
              <w:left w:w="160" w:type="dxa"/>
              <w:bottom w:w="80" w:type="dxa"/>
              <w:right w:w="160" w:type="dxa"/>
            </w:tcMar>
            <w:vAlign w:val="center"/>
          </w:tcPr>
          <w:p w14:paraId="418B1C37">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540 倍</w:t>
            </w:r>
          </w:p>
        </w:tc>
      </w:tr>
    </w:tbl>
    <w:p w14:paraId="51D6454E">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数据解读：</w:t>
      </w:r>
    </w:p>
    <w:p w14:paraId="45148A3E">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本项目检测效率较传统滴定法提升 540 倍以上，较液质联用提升 2880 倍以上。</w:t>
      </w:r>
    </w:p>
    <w:p w14:paraId="653A88C3">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在生产线在线检测场景中，本项目可适配 36000-72000 瓶/小时的灌装速度，实现批次全检；而传统方法仅能支持万分之一的抽检比例，存在严重的时间滞后。</w:t>
      </w:r>
    </w:p>
    <w:p w14:paraId="75F49754">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在市场监管执法场景中，执法人员日均抽检样本量可从 10-15 个提升至 200-300 个，监管覆盖率提升 15 倍以上。</w:t>
      </w:r>
    </w:p>
    <w:p w14:paraId="205AC9CF">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6.2.2 检测成本对比</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12"/>
        <w:gridCol w:w="2397"/>
        <w:gridCol w:w="2795"/>
        <w:gridCol w:w="1289"/>
      </w:tblGrid>
      <w:tr w14:paraId="27331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6C39D005">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检测方法</w:t>
            </w:r>
          </w:p>
        </w:tc>
        <w:tc>
          <w:tcPr>
            <w:tcW w:w="0" w:type="auto"/>
            <w:shd w:val="clear"/>
            <w:tcMar>
              <w:top w:w="80" w:type="dxa"/>
              <w:left w:w="160" w:type="dxa"/>
              <w:bottom w:w="80" w:type="dxa"/>
              <w:right w:w="160" w:type="dxa"/>
            </w:tcMar>
            <w:vAlign w:val="center"/>
          </w:tcPr>
          <w:p w14:paraId="0AE8101B">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单样直接成本</w:t>
            </w:r>
          </w:p>
        </w:tc>
        <w:tc>
          <w:tcPr>
            <w:tcW w:w="0" w:type="auto"/>
            <w:shd w:val="clear"/>
            <w:tcMar>
              <w:top w:w="80" w:type="dxa"/>
              <w:left w:w="160" w:type="dxa"/>
              <w:bottom w:w="80" w:type="dxa"/>
              <w:right w:w="160" w:type="dxa"/>
            </w:tcMar>
            <w:vAlign w:val="center"/>
          </w:tcPr>
          <w:p w14:paraId="686C8ED6">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年检测成本（按日检 100 样本、年 250 工作日计）</w:t>
            </w:r>
          </w:p>
        </w:tc>
        <w:tc>
          <w:tcPr>
            <w:tcW w:w="0" w:type="auto"/>
            <w:shd w:val="clear"/>
            <w:tcMar>
              <w:top w:w="80" w:type="dxa"/>
              <w:left w:w="160" w:type="dxa"/>
              <w:bottom w:w="80" w:type="dxa"/>
              <w:right w:w="160" w:type="dxa"/>
            </w:tcMar>
            <w:vAlign w:val="center"/>
          </w:tcPr>
          <w:p w14:paraId="538BE140">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成本降幅</w:t>
            </w:r>
          </w:p>
        </w:tc>
      </w:tr>
      <w:tr w14:paraId="66D5F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3A1095F9">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传统滴定法</w:t>
            </w:r>
          </w:p>
        </w:tc>
        <w:tc>
          <w:tcPr>
            <w:tcW w:w="0" w:type="auto"/>
            <w:shd w:val="clear"/>
            <w:tcMar>
              <w:top w:w="80" w:type="dxa"/>
              <w:left w:w="160" w:type="dxa"/>
              <w:bottom w:w="80" w:type="dxa"/>
              <w:right w:w="160" w:type="dxa"/>
            </w:tcMar>
            <w:vAlign w:val="center"/>
          </w:tcPr>
          <w:p w14:paraId="03D4E54F">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50-80 元（试剂 + 人工）</w:t>
            </w:r>
          </w:p>
        </w:tc>
        <w:tc>
          <w:tcPr>
            <w:tcW w:w="0" w:type="auto"/>
            <w:shd w:val="clear"/>
            <w:tcMar>
              <w:top w:w="80" w:type="dxa"/>
              <w:left w:w="160" w:type="dxa"/>
              <w:bottom w:w="80" w:type="dxa"/>
              <w:right w:w="160" w:type="dxa"/>
            </w:tcMar>
            <w:vAlign w:val="center"/>
          </w:tcPr>
          <w:p w14:paraId="089EF9AC">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125 万 -200 万元</w:t>
            </w:r>
          </w:p>
        </w:tc>
        <w:tc>
          <w:tcPr>
            <w:tcW w:w="0" w:type="auto"/>
            <w:shd w:val="clear"/>
            <w:tcMar>
              <w:top w:w="80" w:type="dxa"/>
              <w:left w:w="160" w:type="dxa"/>
              <w:bottom w:w="80" w:type="dxa"/>
              <w:right w:w="160" w:type="dxa"/>
            </w:tcMar>
            <w:vAlign w:val="center"/>
          </w:tcPr>
          <w:p w14:paraId="7AE33014">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基准</w:t>
            </w:r>
          </w:p>
        </w:tc>
      </w:tr>
      <w:tr w14:paraId="71013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456093B7">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液质联用（LC-MS）</w:t>
            </w:r>
          </w:p>
        </w:tc>
        <w:tc>
          <w:tcPr>
            <w:tcW w:w="0" w:type="auto"/>
            <w:shd w:val="clear"/>
            <w:tcMar>
              <w:top w:w="80" w:type="dxa"/>
              <w:left w:w="160" w:type="dxa"/>
              <w:bottom w:w="80" w:type="dxa"/>
              <w:right w:w="160" w:type="dxa"/>
            </w:tcMar>
            <w:vAlign w:val="center"/>
          </w:tcPr>
          <w:p w14:paraId="767014FE">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300-500 元（设备折旧 + 耗材）</w:t>
            </w:r>
          </w:p>
        </w:tc>
        <w:tc>
          <w:tcPr>
            <w:tcW w:w="0" w:type="auto"/>
            <w:shd w:val="clear"/>
            <w:tcMar>
              <w:top w:w="80" w:type="dxa"/>
              <w:left w:w="160" w:type="dxa"/>
              <w:bottom w:w="80" w:type="dxa"/>
              <w:right w:w="160" w:type="dxa"/>
            </w:tcMar>
            <w:vAlign w:val="center"/>
          </w:tcPr>
          <w:p w14:paraId="540F8744">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750 万 -1250 万元</w:t>
            </w:r>
          </w:p>
        </w:tc>
        <w:tc>
          <w:tcPr>
            <w:tcW w:w="0" w:type="auto"/>
            <w:shd w:val="clear"/>
            <w:tcMar>
              <w:top w:w="80" w:type="dxa"/>
              <w:left w:w="160" w:type="dxa"/>
              <w:bottom w:w="80" w:type="dxa"/>
              <w:right w:w="160" w:type="dxa"/>
            </w:tcMar>
            <w:vAlign w:val="center"/>
          </w:tcPr>
          <w:p w14:paraId="4587DDE8">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基准</w:t>
            </w:r>
          </w:p>
        </w:tc>
      </w:tr>
      <w:tr w14:paraId="24A12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45E12C89">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手持折光仪</w:t>
            </w:r>
          </w:p>
        </w:tc>
        <w:tc>
          <w:tcPr>
            <w:tcW w:w="0" w:type="auto"/>
            <w:shd w:val="clear"/>
            <w:tcMar>
              <w:top w:w="80" w:type="dxa"/>
              <w:left w:w="160" w:type="dxa"/>
              <w:bottom w:w="80" w:type="dxa"/>
              <w:right w:w="160" w:type="dxa"/>
            </w:tcMar>
            <w:vAlign w:val="center"/>
          </w:tcPr>
          <w:p w14:paraId="76681F99">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5-10 元（人工 + 设备折旧）</w:t>
            </w:r>
          </w:p>
        </w:tc>
        <w:tc>
          <w:tcPr>
            <w:tcW w:w="0" w:type="auto"/>
            <w:shd w:val="clear"/>
            <w:tcMar>
              <w:top w:w="80" w:type="dxa"/>
              <w:left w:w="160" w:type="dxa"/>
              <w:bottom w:w="80" w:type="dxa"/>
              <w:right w:w="160" w:type="dxa"/>
            </w:tcMar>
            <w:vAlign w:val="center"/>
          </w:tcPr>
          <w:p w14:paraId="0B90FE64">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12.5 万 -25 万元</w:t>
            </w:r>
          </w:p>
        </w:tc>
        <w:tc>
          <w:tcPr>
            <w:tcW w:w="0" w:type="auto"/>
            <w:shd w:val="clear"/>
            <w:tcMar>
              <w:top w:w="80" w:type="dxa"/>
              <w:left w:w="160" w:type="dxa"/>
              <w:bottom w:w="80" w:type="dxa"/>
              <w:right w:w="160" w:type="dxa"/>
            </w:tcMar>
            <w:vAlign w:val="center"/>
          </w:tcPr>
          <w:p w14:paraId="51DEDCD4">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80%</w:t>
            </w:r>
          </w:p>
        </w:tc>
      </w:tr>
      <w:tr w14:paraId="1B962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5823D2FA">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本项目（光谱 AI）​</w:t>
            </w:r>
          </w:p>
        </w:tc>
        <w:tc>
          <w:tcPr>
            <w:tcW w:w="0" w:type="auto"/>
            <w:shd w:val="clear"/>
            <w:tcMar>
              <w:top w:w="80" w:type="dxa"/>
              <w:left w:w="160" w:type="dxa"/>
              <w:bottom w:w="80" w:type="dxa"/>
              <w:right w:w="160" w:type="dxa"/>
            </w:tcMar>
            <w:vAlign w:val="center"/>
          </w:tcPr>
          <w:p w14:paraId="6E96D0E6">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低于 1 元（电费 + 设备折旧）​</w:t>
            </w:r>
          </w:p>
        </w:tc>
        <w:tc>
          <w:tcPr>
            <w:tcW w:w="0" w:type="auto"/>
            <w:shd w:val="clear"/>
            <w:tcMar>
              <w:top w:w="80" w:type="dxa"/>
              <w:left w:w="160" w:type="dxa"/>
              <w:bottom w:w="80" w:type="dxa"/>
              <w:right w:w="160" w:type="dxa"/>
            </w:tcMar>
            <w:vAlign w:val="center"/>
          </w:tcPr>
          <w:p w14:paraId="474A20BF">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2.5 万 -5 万元</w:t>
            </w:r>
          </w:p>
        </w:tc>
        <w:tc>
          <w:tcPr>
            <w:tcW w:w="0" w:type="auto"/>
            <w:shd w:val="clear"/>
            <w:tcMar>
              <w:top w:w="80" w:type="dxa"/>
              <w:left w:w="160" w:type="dxa"/>
              <w:bottom w:w="80" w:type="dxa"/>
              <w:right w:w="160" w:type="dxa"/>
            </w:tcMar>
            <w:vAlign w:val="center"/>
          </w:tcPr>
          <w:p w14:paraId="4A6548A7">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98%​</w:t>
            </w:r>
          </w:p>
        </w:tc>
      </w:tr>
    </w:tbl>
    <w:p w14:paraId="17E8A753">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数据解读：</w:t>
      </w:r>
    </w:p>
    <w:p w14:paraId="58AD08A8">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本项目单样检测成本低于 1 元，较传统滴定法降幅达 98%，较液质联用降幅达 99.7%。</w:t>
      </w:r>
    </w:p>
    <w:p w14:paraId="654EEBCC">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按单家中型农业企业年检测 25000 样本测算，采用本项目技术可年节约检测支出 122.5 万 -195 万元，投资回收期（ROI）控制在 3-4 个月内。</w:t>
      </w:r>
    </w:p>
    <w:p w14:paraId="29527963">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成本优势使"批次全检"成为经济可行的选项，企业可从"抽检"升级为"全检"，显著降低品质风险与品牌损失。</w:t>
      </w:r>
    </w:p>
    <w:p w14:paraId="4CF951E0">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6.2.3 破坏性对比</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06"/>
        <w:gridCol w:w="2346"/>
        <w:gridCol w:w="1625"/>
        <w:gridCol w:w="2116"/>
      </w:tblGrid>
      <w:tr w14:paraId="695D4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5ACAACC4">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检测方法</w:t>
            </w:r>
          </w:p>
        </w:tc>
        <w:tc>
          <w:tcPr>
            <w:tcW w:w="0" w:type="auto"/>
            <w:shd w:val="clear"/>
            <w:tcMar>
              <w:top w:w="80" w:type="dxa"/>
              <w:left w:w="160" w:type="dxa"/>
              <w:bottom w:w="80" w:type="dxa"/>
              <w:right w:w="160" w:type="dxa"/>
            </w:tcMar>
            <w:vAlign w:val="center"/>
          </w:tcPr>
          <w:p w14:paraId="3BE353CF">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样品损耗率</w:t>
            </w:r>
          </w:p>
        </w:tc>
        <w:tc>
          <w:tcPr>
            <w:tcW w:w="0" w:type="auto"/>
            <w:shd w:val="clear"/>
            <w:tcMar>
              <w:top w:w="80" w:type="dxa"/>
              <w:left w:w="160" w:type="dxa"/>
              <w:bottom w:w="80" w:type="dxa"/>
              <w:right w:w="160" w:type="dxa"/>
            </w:tcMar>
            <w:vAlign w:val="center"/>
          </w:tcPr>
          <w:p w14:paraId="76B064F1">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适用场景</w:t>
            </w:r>
          </w:p>
        </w:tc>
        <w:tc>
          <w:tcPr>
            <w:tcW w:w="0" w:type="auto"/>
            <w:shd w:val="clear"/>
            <w:tcMar>
              <w:top w:w="80" w:type="dxa"/>
              <w:left w:w="160" w:type="dxa"/>
              <w:bottom w:w="80" w:type="dxa"/>
              <w:right w:w="160" w:type="dxa"/>
            </w:tcMar>
            <w:vAlign w:val="center"/>
          </w:tcPr>
          <w:p w14:paraId="2BC0F557">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高附加值产品影响</w:t>
            </w:r>
          </w:p>
        </w:tc>
      </w:tr>
      <w:tr w14:paraId="0A27A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089AE797">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传统滴定法</w:t>
            </w:r>
          </w:p>
        </w:tc>
        <w:tc>
          <w:tcPr>
            <w:tcW w:w="0" w:type="auto"/>
            <w:shd w:val="clear"/>
            <w:tcMar>
              <w:top w:w="80" w:type="dxa"/>
              <w:left w:w="160" w:type="dxa"/>
              <w:bottom w:w="80" w:type="dxa"/>
              <w:right w:w="160" w:type="dxa"/>
            </w:tcMar>
            <w:vAlign w:val="center"/>
          </w:tcPr>
          <w:p w14:paraId="577E15CF">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100%（需榨汁）</w:t>
            </w:r>
          </w:p>
        </w:tc>
        <w:tc>
          <w:tcPr>
            <w:tcW w:w="0" w:type="auto"/>
            <w:shd w:val="clear"/>
            <w:tcMar>
              <w:top w:w="80" w:type="dxa"/>
              <w:left w:w="160" w:type="dxa"/>
              <w:bottom w:w="80" w:type="dxa"/>
              <w:right w:w="160" w:type="dxa"/>
            </w:tcMar>
            <w:vAlign w:val="center"/>
          </w:tcPr>
          <w:p w14:paraId="7D8BD9C7">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实验室抽检</w:t>
            </w:r>
          </w:p>
        </w:tc>
        <w:tc>
          <w:tcPr>
            <w:tcW w:w="0" w:type="auto"/>
            <w:shd w:val="clear"/>
            <w:tcMar>
              <w:top w:w="80" w:type="dxa"/>
              <w:left w:w="160" w:type="dxa"/>
              <w:bottom w:w="80" w:type="dxa"/>
              <w:right w:w="160" w:type="dxa"/>
            </w:tcMar>
            <w:vAlign w:val="center"/>
          </w:tcPr>
          <w:p w14:paraId="4235588A">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无法用于成品检测</w:t>
            </w:r>
          </w:p>
        </w:tc>
      </w:tr>
      <w:tr w14:paraId="68996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19493A62">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液质联用（LC-MS）</w:t>
            </w:r>
          </w:p>
        </w:tc>
        <w:tc>
          <w:tcPr>
            <w:tcW w:w="0" w:type="auto"/>
            <w:shd w:val="clear"/>
            <w:tcMar>
              <w:top w:w="80" w:type="dxa"/>
              <w:left w:w="160" w:type="dxa"/>
              <w:bottom w:w="80" w:type="dxa"/>
              <w:right w:w="160" w:type="dxa"/>
            </w:tcMar>
            <w:vAlign w:val="center"/>
          </w:tcPr>
          <w:p w14:paraId="18E5CCC3">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100%（需榨汁 + 萃取）</w:t>
            </w:r>
          </w:p>
        </w:tc>
        <w:tc>
          <w:tcPr>
            <w:tcW w:w="0" w:type="auto"/>
            <w:shd w:val="clear"/>
            <w:tcMar>
              <w:top w:w="80" w:type="dxa"/>
              <w:left w:w="160" w:type="dxa"/>
              <w:bottom w:w="80" w:type="dxa"/>
              <w:right w:w="160" w:type="dxa"/>
            </w:tcMar>
            <w:vAlign w:val="center"/>
          </w:tcPr>
          <w:p w14:paraId="7F458103">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实验室深度分析</w:t>
            </w:r>
          </w:p>
        </w:tc>
        <w:tc>
          <w:tcPr>
            <w:tcW w:w="0" w:type="auto"/>
            <w:shd w:val="clear"/>
            <w:tcMar>
              <w:top w:w="80" w:type="dxa"/>
              <w:left w:w="160" w:type="dxa"/>
              <w:bottom w:w="80" w:type="dxa"/>
              <w:right w:w="160" w:type="dxa"/>
            </w:tcMar>
            <w:vAlign w:val="center"/>
          </w:tcPr>
          <w:p w14:paraId="3D980D17">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无法用于成品检测</w:t>
            </w:r>
          </w:p>
        </w:tc>
      </w:tr>
      <w:tr w14:paraId="543A5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2C5AFDB4">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手持折光仪</w:t>
            </w:r>
          </w:p>
        </w:tc>
        <w:tc>
          <w:tcPr>
            <w:tcW w:w="0" w:type="auto"/>
            <w:shd w:val="clear"/>
            <w:tcMar>
              <w:top w:w="80" w:type="dxa"/>
              <w:left w:w="160" w:type="dxa"/>
              <w:bottom w:w="80" w:type="dxa"/>
              <w:right w:w="160" w:type="dxa"/>
            </w:tcMar>
            <w:vAlign w:val="center"/>
          </w:tcPr>
          <w:p w14:paraId="4E5757F5">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100%（需挤压取汁）</w:t>
            </w:r>
          </w:p>
        </w:tc>
        <w:tc>
          <w:tcPr>
            <w:tcW w:w="0" w:type="auto"/>
            <w:shd w:val="clear"/>
            <w:tcMar>
              <w:top w:w="80" w:type="dxa"/>
              <w:left w:w="160" w:type="dxa"/>
              <w:bottom w:w="80" w:type="dxa"/>
              <w:right w:w="160" w:type="dxa"/>
            </w:tcMar>
            <w:vAlign w:val="center"/>
          </w:tcPr>
          <w:p w14:paraId="469FC058">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果园现场</w:t>
            </w:r>
          </w:p>
        </w:tc>
        <w:tc>
          <w:tcPr>
            <w:tcW w:w="0" w:type="auto"/>
            <w:shd w:val="clear"/>
            <w:tcMar>
              <w:top w:w="80" w:type="dxa"/>
              <w:left w:w="160" w:type="dxa"/>
              <w:bottom w:w="80" w:type="dxa"/>
              <w:right w:w="160" w:type="dxa"/>
            </w:tcMar>
            <w:vAlign w:val="center"/>
          </w:tcPr>
          <w:p w14:paraId="1493DF61">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检测后果实无法销售</w:t>
            </w:r>
          </w:p>
        </w:tc>
      </w:tr>
      <w:tr w14:paraId="16DDF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0B6E4117">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本项目（光谱 AI）​</w:t>
            </w:r>
          </w:p>
        </w:tc>
        <w:tc>
          <w:tcPr>
            <w:tcW w:w="0" w:type="auto"/>
            <w:shd w:val="clear"/>
            <w:tcMar>
              <w:top w:w="80" w:type="dxa"/>
              <w:left w:w="160" w:type="dxa"/>
              <w:bottom w:w="80" w:type="dxa"/>
              <w:right w:w="160" w:type="dxa"/>
            </w:tcMar>
            <w:vAlign w:val="center"/>
          </w:tcPr>
          <w:p w14:paraId="15164187">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0%（完全无损）​</w:t>
            </w:r>
          </w:p>
        </w:tc>
        <w:tc>
          <w:tcPr>
            <w:tcW w:w="0" w:type="auto"/>
            <w:shd w:val="clear"/>
            <w:tcMar>
              <w:top w:w="80" w:type="dxa"/>
              <w:left w:w="160" w:type="dxa"/>
              <w:bottom w:w="80" w:type="dxa"/>
              <w:right w:w="160" w:type="dxa"/>
            </w:tcMar>
            <w:vAlign w:val="center"/>
          </w:tcPr>
          <w:p w14:paraId="3846DB44">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全链条场景</w:t>
            </w:r>
          </w:p>
        </w:tc>
        <w:tc>
          <w:tcPr>
            <w:tcW w:w="0" w:type="auto"/>
            <w:shd w:val="clear"/>
            <w:tcMar>
              <w:top w:w="80" w:type="dxa"/>
              <w:left w:w="160" w:type="dxa"/>
              <w:bottom w:w="80" w:type="dxa"/>
              <w:right w:w="160" w:type="dxa"/>
            </w:tcMar>
            <w:vAlign w:val="center"/>
          </w:tcPr>
          <w:p w14:paraId="4EE8CA60">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检测后果实可继续销售</w:t>
            </w:r>
          </w:p>
        </w:tc>
      </w:tr>
    </w:tbl>
    <w:p w14:paraId="44058860">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数据解读：</w:t>
      </w:r>
    </w:p>
    <w:p w14:paraId="066FE848">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本项目采用纯光学非接触式扫描，无需对果实进行任何切割、挤压或萃取处理，检测后果实可继续进入销售渠道，实现"零损耗"。</w:t>
      </w:r>
    </w:p>
    <w:p w14:paraId="39C02C9D">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对于单价 8-12 元/斤的特级果，传统破坏性检测每样本直接损失 2-3 元（按单果 250g 计），本项目可完全避免此类损耗。</w:t>
      </w:r>
    </w:p>
    <w:p w14:paraId="72113234">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无损检测特性使本项目可应用于"成品出厂前全检"场景，企业可对每一颗即将包装发货的柑橘进行品质筛查，彻底杜绝不合格品流入市场。</w:t>
      </w:r>
    </w:p>
    <w:p w14:paraId="2877ADB6">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6.2.4 操作门槛对比</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29"/>
        <w:gridCol w:w="2349"/>
        <w:gridCol w:w="1304"/>
        <w:gridCol w:w="2611"/>
      </w:tblGrid>
      <w:tr w14:paraId="76DF5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073B3644">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检测方法</w:t>
            </w:r>
          </w:p>
        </w:tc>
        <w:tc>
          <w:tcPr>
            <w:tcW w:w="0" w:type="auto"/>
            <w:shd w:val="clear"/>
            <w:tcMar>
              <w:top w:w="80" w:type="dxa"/>
              <w:left w:w="160" w:type="dxa"/>
              <w:bottom w:w="80" w:type="dxa"/>
              <w:right w:w="160" w:type="dxa"/>
            </w:tcMar>
            <w:vAlign w:val="center"/>
          </w:tcPr>
          <w:p w14:paraId="477A15E7">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操作人员要求</w:t>
            </w:r>
          </w:p>
        </w:tc>
        <w:tc>
          <w:tcPr>
            <w:tcW w:w="0" w:type="auto"/>
            <w:shd w:val="clear"/>
            <w:tcMar>
              <w:top w:w="80" w:type="dxa"/>
              <w:left w:w="160" w:type="dxa"/>
              <w:bottom w:w="80" w:type="dxa"/>
              <w:right w:w="160" w:type="dxa"/>
            </w:tcMar>
            <w:vAlign w:val="center"/>
          </w:tcPr>
          <w:p w14:paraId="1A790F6B">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培训周期</w:t>
            </w:r>
          </w:p>
        </w:tc>
        <w:tc>
          <w:tcPr>
            <w:tcW w:w="0" w:type="auto"/>
            <w:shd w:val="clear"/>
            <w:tcMar>
              <w:top w:w="80" w:type="dxa"/>
              <w:left w:w="160" w:type="dxa"/>
              <w:bottom w:w="80" w:type="dxa"/>
              <w:right w:w="160" w:type="dxa"/>
            </w:tcMar>
            <w:vAlign w:val="center"/>
          </w:tcPr>
          <w:p w14:paraId="78F69362">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环境依赖</w:t>
            </w:r>
          </w:p>
        </w:tc>
      </w:tr>
      <w:tr w14:paraId="509C3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66CEFFDE">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传统滴定法</w:t>
            </w:r>
          </w:p>
        </w:tc>
        <w:tc>
          <w:tcPr>
            <w:tcW w:w="0" w:type="auto"/>
            <w:shd w:val="clear"/>
            <w:tcMar>
              <w:top w:w="80" w:type="dxa"/>
              <w:left w:w="160" w:type="dxa"/>
              <w:bottom w:w="80" w:type="dxa"/>
              <w:right w:w="160" w:type="dxa"/>
            </w:tcMar>
            <w:vAlign w:val="center"/>
          </w:tcPr>
          <w:p w14:paraId="6218C838">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专业实验员（化学背景）</w:t>
            </w:r>
          </w:p>
        </w:tc>
        <w:tc>
          <w:tcPr>
            <w:tcW w:w="0" w:type="auto"/>
            <w:shd w:val="clear"/>
            <w:tcMar>
              <w:top w:w="80" w:type="dxa"/>
              <w:left w:w="160" w:type="dxa"/>
              <w:bottom w:w="80" w:type="dxa"/>
              <w:right w:w="160" w:type="dxa"/>
            </w:tcMar>
            <w:vAlign w:val="center"/>
          </w:tcPr>
          <w:p w14:paraId="52DA2991">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3-6 个月</w:t>
            </w:r>
          </w:p>
        </w:tc>
        <w:tc>
          <w:tcPr>
            <w:tcW w:w="0" w:type="auto"/>
            <w:shd w:val="clear"/>
            <w:tcMar>
              <w:top w:w="80" w:type="dxa"/>
              <w:left w:w="160" w:type="dxa"/>
              <w:bottom w:w="80" w:type="dxa"/>
              <w:right w:w="160" w:type="dxa"/>
            </w:tcMar>
            <w:vAlign w:val="center"/>
          </w:tcPr>
          <w:p w14:paraId="66555A65">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标准实验室（恒温恒湿、通风橱）</w:t>
            </w:r>
          </w:p>
        </w:tc>
      </w:tr>
      <w:tr w14:paraId="7AE49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2FF47914">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液质联用（LC-MS）</w:t>
            </w:r>
          </w:p>
        </w:tc>
        <w:tc>
          <w:tcPr>
            <w:tcW w:w="0" w:type="auto"/>
            <w:shd w:val="clear"/>
            <w:tcMar>
              <w:top w:w="80" w:type="dxa"/>
              <w:left w:w="160" w:type="dxa"/>
              <w:bottom w:w="80" w:type="dxa"/>
              <w:right w:w="160" w:type="dxa"/>
            </w:tcMar>
            <w:vAlign w:val="center"/>
          </w:tcPr>
          <w:p w14:paraId="7BD3E560">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高级工程师（仪器分析背景）</w:t>
            </w:r>
          </w:p>
        </w:tc>
        <w:tc>
          <w:tcPr>
            <w:tcW w:w="0" w:type="auto"/>
            <w:shd w:val="clear"/>
            <w:tcMar>
              <w:top w:w="80" w:type="dxa"/>
              <w:left w:w="160" w:type="dxa"/>
              <w:bottom w:w="80" w:type="dxa"/>
              <w:right w:w="160" w:type="dxa"/>
            </w:tcMar>
            <w:vAlign w:val="center"/>
          </w:tcPr>
          <w:p w14:paraId="57DA77E0">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6-12 个月</w:t>
            </w:r>
          </w:p>
        </w:tc>
        <w:tc>
          <w:tcPr>
            <w:tcW w:w="0" w:type="auto"/>
            <w:shd w:val="clear"/>
            <w:tcMar>
              <w:top w:w="80" w:type="dxa"/>
              <w:left w:w="160" w:type="dxa"/>
              <w:bottom w:w="80" w:type="dxa"/>
              <w:right w:w="160" w:type="dxa"/>
            </w:tcMar>
            <w:vAlign w:val="center"/>
          </w:tcPr>
          <w:p w14:paraId="56DF00F1">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精密仪器室（防震、防尘、恒温）</w:t>
            </w:r>
          </w:p>
        </w:tc>
      </w:tr>
      <w:tr w14:paraId="406AB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1F607456">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手持折光仪</w:t>
            </w:r>
          </w:p>
        </w:tc>
        <w:tc>
          <w:tcPr>
            <w:tcW w:w="0" w:type="auto"/>
            <w:shd w:val="clear"/>
            <w:tcMar>
              <w:top w:w="80" w:type="dxa"/>
              <w:left w:w="160" w:type="dxa"/>
              <w:bottom w:w="80" w:type="dxa"/>
              <w:right w:w="160" w:type="dxa"/>
            </w:tcMar>
            <w:vAlign w:val="center"/>
          </w:tcPr>
          <w:p w14:paraId="3801709D">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普通农务人员</w:t>
            </w:r>
          </w:p>
        </w:tc>
        <w:tc>
          <w:tcPr>
            <w:tcW w:w="0" w:type="auto"/>
            <w:shd w:val="clear"/>
            <w:tcMar>
              <w:top w:w="80" w:type="dxa"/>
              <w:left w:w="160" w:type="dxa"/>
              <w:bottom w:w="80" w:type="dxa"/>
              <w:right w:w="160" w:type="dxa"/>
            </w:tcMar>
            <w:vAlign w:val="center"/>
          </w:tcPr>
          <w:p w14:paraId="7C436CE3">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1-2 天</w:t>
            </w:r>
          </w:p>
        </w:tc>
        <w:tc>
          <w:tcPr>
            <w:tcW w:w="0" w:type="auto"/>
            <w:shd w:val="clear"/>
            <w:tcMar>
              <w:top w:w="80" w:type="dxa"/>
              <w:left w:w="160" w:type="dxa"/>
              <w:bottom w:w="80" w:type="dxa"/>
              <w:right w:w="160" w:type="dxa"/>
            </w:tcMar>
            <w:vAlign w:val="center"/>
          </w:tcPr>
          <w:p w14:paraId="562AC273">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无特殊要求</w:t>
            </w:r>
          </w:p>
        </w:tc>
      </w:tr>
      <w:tr w14:paraId="7BC46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654D13B9">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本项目（光谱 AI）​</w:t>
            </w:r>
          </w:p>
        </w:tc>
        <w:tc>
          <w:tcPr>
            <w:tcW w:w="0" w:type="auto"/>
            <w:shd w:val="clear"/>
            <w:tcMar>
              <w:top w:w="80" w:type="dxa"/>
              <w:left w:w="160" w:type="dxa"/>
              <w:bottom w:w="80" w:type="dxa"/>
              <w:right w:w="160" w:type="dxa"/>
            </w:tcMar>
            <w:vAlign w:val="center"/>
          </w:tcPr>
          <w:p w14:paraId="2221E96C">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普通农务人员</w:t>
            </w:r>
          </w:p>
        </w:tc>
        <w:tc>
          <w:tcPr>
            <w:tcW w:w="0" w:type="auto"/>
            <w:shd w:val="clear"/>
            <w:tcMar>
              <w:top w:w="80" w:type="dxa"/>
              <w:left w:w="160" w:type="dxa"/>
              <w:bottom w:w="80" w:type="dxa"/>
              <w:right w:w="160" w:type="dxa"/>
            </w:tcMar>
            <w:vAlign w:val="center"/>
          </w:tcPr>
          <w:p w14:paraId="1F0AD3D9">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1 天</w:t>
            </w:r>
          </w:p>
        </w:tc>
        <w:tc>
          <w:tcPr>
            <w:tcW w:w="0" w:type="auto"/>
            <w:shd w:val="clear"/>
            <w:tcMar>
              <w:top w:w="80" w:type="dxa"/>
              <w:left w:w="160" w:type="dxa"/>
              <w:bottom w:w="80" w:type="dxa"/>
              <w:right w:w="160" w:type="dxa"/>
            </w:tcMar>
            <w:vAlign w:val="center"/>
          </w:tcPr>
          <w:p w14:paraId="0C5FED7F">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无特殊要求（支持弱网环境）​</w:t>
            </w:r>
          </w:p>
        </w:tc>
      </w:tr>
    </w:tbl>
    <w:p w14:paraId="337462A3">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数据解读：</w:t>
      </w:r>
    </w:p>
    <w:p w14:paraId="1D40F51D">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本项目微信小程序采用"三步检测"简化交互流程（扫码→扫描→出结果），普通果农经 1 天培训即可独立操作，无需理解光谱分析原理。</w:t>
      </w:r>
    </w:p>
    <w:p w14:paraId="3143F419">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云端 AI 推理服务自动完成数据预处理、特征提取、模型预测等复杂计算，用户端仅需上传光谱数据，大幅降低技术使用门槛。</w:t>
      </w:r>
    </w:p>
    <w:p w14:paraId="487C70EE">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系统支持弱网环境下的离线检测模式（本地缓存 + 后续同步），适配果园、农贸市场等网络条件较差的实际场景。</w:t>
      </w:r>
    </w:p>
    <w:p w14:paraId="3C2EF698">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6.2.5 环境影响对比</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25"/>
        <w:gridCol w:w="2103"/>
        <w:gridCol w:w="2047"/>
        <w:gridCol w:w="1704"/>
        <w:gridCol w:w="814"/>
      </w:tblGrid>
      <w:tr w14:paraId="7DA54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33AF19CF">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检测方法</w:t>
            </w:r>
          </w:p>
        </w:tc>
        <w:tc>
          <w:tcPr>
            <w:tcW w:w="0" w:type="auto"/>
            <w:shd w:val="clear"/>
            <w:tcMar>
              <w:top w:w="80" w:type="dxa"/>
              <w:left w:w="160" w:type="dxa"/>
              <w:bottom w:w="80" w:type="dxa"/>
              <w:right w:w="160" w:type="dxa"/>
            </w:tcMar>
            <w:vAlign w:val="center"/>
          </w:tcPr>
          <w:p w14:paraId="436CAE2F">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化学试剂消耗</w:t>
            </w:r>
          </w:p>
        </w:tc>
        <w:tc>
          <w:tcPr>
            <w:tcW w:w="0" w:type="auto"/>
            <w:shd w:val="clear"/>
            <w:tcMar>
              <w:top w:w="80" w:type="dxa"/>
              <w:left w:w="160" w:type="dxa"/>
              <w:bottom w:w="80" w:type="dxa"/>
              <w:right w:w="160" w:type="dxa"/>
            </w:tcMar>
            <w:vAlign w:val="center"/>
          </w:tcPr>
          <w:p w14:paraId="0609F275">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废液排放</w:t>
            </w:r>
          </w:p>
        </w:tc>
        <w:tc>
          <w:tcPr>
            <w:tcW w:w="0" w:type="auto"/>
            <w:shd w:val="clear"/>
            <w:tcMar>
              <w:top w:w="80" w:type="dxa"/>
              <w:left w:w="160" w:type="dxa"/>
              <w:bottom w:w="80" w:type="dxa"/>
              <w:right w:w="160" w:type="dxa"/>
            </w:tcMar>
            <w:vAlign w:val="center"/>
          </w:tcPr>
          <w:p w14:paraId="4694CA67">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能耗水平</w:t>
            </w:r>
          </w:p>
        </w:tc>
        <w:tc>
          <w:tcPr>
            <w:tcW w:w="0" w:type="auto"/>
            <w:shd w:val="clear"/>
            <w:tcMar>
              <w:top w:w="80" w:type="dxa"/>
              <w:left w:w="160" w:type="dxa"/>
              <w:bottom w:w="80" w:type="dxa"/>
              <w:right w:w="160" w:type="dxa"/>
            </w:tcMar>
            <w:vAlign w:val="center"/>
          </w:tcPr>
          <w:p w14:paraId="494F4774">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绿色认证</w:t>
            </w:r>
          </w:p>
        </w:tc>
      </w:tr>
      <w:tr w14:paraId="5E258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455279F5">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传统滴定法</w:t>
            </w:r>
          </w:p>
        </w:tc>
        <w:tc>
          <w:tcPr>
            <w:tcW w:w="0" w:type="auto"/>
            <w:shd w:val="clear"/>
            <w:tcMar>
              <w:top w:w="80" w:type="dxa"/>
              <w:left w:w="160" w:type="dxa"/>
              <w:bottom w:w="80" w:type="dxa"/>
              <w:right w:w="160" w:type="dxa"/>
            </w:tcMar>
            <w:vAlign w:val="center"/>
          </w:tcPr>
          <w:p w14:paraId="4F3ADE41">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大量（NaOH、指示剂等）</w:t>
            </w:r>
          </w:p>
        </w:tc>
        <w:tc>
          <w:tcPr>
            <w:tcW w:w="0" w:type="auto"/>
            <w:shd w:val="clear"/>
            <w:tcMar>
              <w:top w:w="80" w:type="dxa"/>
              <w:left w:w="160" w:type="dxa"/>
              <w:bottom w:w="80" w:type="dxa"/>
              <w:right w:w="160" w:type="dxa"/>
            </w:tcMar>
            <w:vAlign w:val="center"/>
          </w:tcPr>
          <w:p w14:paraId="742DD424">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500-800mL/样本</w:t>
            </w:r>
          </w:p>
        </w:tc>
        <w:tc>
          <w:tcPr>
            <w:tcW w:w="0" w:type="auto"/>
            <w:shd w:val="clear"/>
            <w:tcMar>
              <w:top w:w="80" w:type="dxa"/>
              <w:left w:w="160" w:type="dxa"/>
              <w:bottom w:w="80" w:type="dxa"/>
              <w:right w:w="160" w:type="dxa"/>
            </w:tcMar>
            <w:vAlign w:val="center"/>
          </w:tcPr>
          <w:p w14:paraId="0839126F">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中等（滴定仪 + 折光仪）</w:t>
            </w:r>
          </w:p>
        </w:tc>
        <w:tc>
          <w:tcPr>
            <w:tcW w:w="0" w:type="auto"/>
            <w:shd w:val="clear"/>
            <w:tcMar>
              <w:top w:w="80" w:type="dxa"/>
              <w:left w:w="160" w:type="dxa"/>
              <w:bottom w:w="80" w:type="dxa"/>
              <w:right w:w="160" w:type="dxa"/>
            </w:tcMar>
            <w:vAlign w:val="center"/>
          </w:tcPr>
          <w:p w14:paraId="4FBF5F54">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不符合</w:t>
            </w:r>
          </w:p>
        </w:tc>
      </w:tr>
      <w:tr w14:paraId="52675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0F3F6955">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液质联用（LC-MS）</w:t>
            </w:r>
          </w:p>
        </w:tc>
        <w:tc>
          <w:tcPr>
            <w:tcW w:w="0" w:type="auto"/>
            <w:shd w:val="clear"/>
            <w:tcMar>
              <w:top w:w="80" w:type="dxa"/>
              <w:left w:w="160" w:type="dxa"/>
              <w:bottom w:w="80" w:type="dxa"/>
              <w:right w:w="160" w:type="dxa"/>
            </w:tcMar>
            <w:vAlign w:val="center"/>
          </w:tcPr>
          <w:p w14:paraId="62625562">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极大量（甲醇、乙腈等有机溶剂）</w:t>
            </w:r>
          </w:p>
        </w:tc>
        <w:tc>
          <w:tcPr>
            <w:tcW w:w="0" w:type="auto"/>
            <w:shd w:val="clear"/>
            <w:tcMar>
              <w:top w:w="80" w:type="dxa"/>
              <w:left w:w="160" w:type="dxa"/>
              <w:bottom w:w="80" w:type="dxa"/>
              <w:right w:w="160" w:type="dxa"/>
            </w:tcMar>
            <w:vAlign w:val="center"/>
          </w:tcPr>
          <w:p w14:paraId="393B961B">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2-4L/样本</w:t>
            </w:r>
          </w:p>
        </w:tc>
        <w:tc>
          <w:tcPr>
            <w:tcW w:w="0" w:type="auto"/>
            <w:shd w:val="clear"/>
            <w:tcMar>
              <w:top w:w="80" w:type="dxa"/>
              <w:left w:w="160" w:type="dxa"/>
              <w:bottom w:w="80" w:type="dxa"/>
              <w:right w:w="160" w:type="dxa"/>
            </w:tcMar>
            <w:vAlign w:val="center"/>
          </w:tcPr>
          <w:p w14:paraId="372CF621">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高（质谱仪 24 小时运行）</w:t>
            </w:r>
          </w:p>
        </w:tc>
        <w:tc>
          <w:tcPr>
            <w:tcW w:w="0" w:type="auto"/>
            <w:shd w:val="clear"/>
            <w:tcMar>
              <w:top w:w="80" w:type="dxa"/>
              <w:left w:w="160" w:type="dxa"/>
              <w:bottom w:w="80" w:type="dxa"/>
              <w:right w:w="160" w:type="dxa"/>
            </w:tcMar>
            <w:vAlign w:val="center"/>
          </w:tcPr>
          <w:p w14:paraId="3BB10354">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不符合</w:t>
            </w:r>
          </w:p>
        </w:tc>
      </w:tr>
      <w:tr w14:paraId="4F727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7CC8DA0F">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手持折光仪</w:t>
            </w:r>
          </w:p>
        </w:tc>
        <w:tc>
          <w:tcPr>
            <w:tcW w:w="0" w:type="auto"/>
            <w:shd w:val="clear"/>
            <w:tcMar>
              <w:top w:w="80" w:type="dxa"/>
              <w:left w:w="160" w:type="dxa"/>
              <w:bottom w:w="80" w:type="dxa"/>
              <w:right w:w="160" w:type="dxa"/>
            </w:tcMar>
            <w:vAlign w:val="center"/>
          </w:tcPr>
          <w:p w14:paraId="2814A0D2">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无</w:t>
            </w:r>
          </w:p>
        </w:tc>
        <w:tc>
          <w:tcPr>
            <w:tcW w:w="0" w:type="auto"/>
            <w:shd w:val="clear"/>
            <w:tcMar>
              <w:top w:w="80" w:type="dxa"/>
              <w:left w:w="160" w:type="dxa"/>
              <w:bottom w:w="80" w:type="dxa"/>
              <w:right w:w="160" w:type="dxa"/>
            </w:tcMar>
            <w:vAlign w:val="center"/>
          </w:tcPr>
          <w:p w14:paraId="15A9D3E5">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无</w:t>
            </w:r>
          </w:p>
        </w:tc>
        <w:tc>
          <w:tcPr>
            <w:tcW w:w="0" w:type="auto"/>
            <w:shd w:val="clear"/>
            <w:tcMar>
              <w:top w:w="80" w:type="dxa"/>
              <w:left w:w="160" w:type="dxa"/>
              <w:bottom w:w="80" w:type="dxa"/>
              <w:right w:w="160" w:type="dxa"/>
            </w:tcMar>
            <w:vAlign w:val="center"/>
          </w:tcPr>
          <w:p w14:paraId="11F7702B">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低（电池供电）</w:t>
            </w:r>
          </w:p>
        </w:tc>
        <w:tc>
          <w:tcPr>
            <w:tcW w:w="0" w:type="auto"/>
            <w:shd w:val="clear"/>
            <w:tcMar>
              <w:top w:w="80" w:type="dxa"/>
              <w:left w:w="160" w:type="dxa"/>
              <w:bottom w:w="80" w:type="dxa"/>
              <w:right w:w="160" w:type="dxa"/>
            </w:tcMar>
            <w:vAlign w:val="center"/>
          </w:tcPr>
          <w:p w14:paraId="1E2A650F">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符合</w:t>
            </w:r>
          </w:p>
        </w:tc>
      </w:tr>
      <w:tr w14:paraId="5E987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0ADDFC09">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本项目（光谱 AI）​</w:t>
            </w:r>
          </w:p>
        </w:tc>
        <w:tc>
          <w:tcPr>
            <w:tcW w:w="0" w:type="auto"/>
            <w:shd w:val="clear"/>
            <w:tcMar>
              <w:top w:w="80" w:type="dxa"/>
              <w:left w:w="160" w:type="dxa"/>
              <w:bottom w:w="80" w:type="dxa"/>
              <w:right w:w="160" w:type="dxa"/>
            </w:tcMar>
            <w:vAlign w:val="center"/>
          </w:tcPr>
          <w:p w14:paraId="65D30AC9">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无</w:t>
            </w:r>
          </w:p>
        </w:tc>
        <w:tc>
          <w:tcPr>
            <w:tcW w:w="0" w:type="auto"/>
            <w:shd w:val="clear"/>
            <w:tcMar>
              <w:top w:w="80" w:type="dxa"/>
              <w:left w:w="160" w:type="dxa"/>
              <w:bottom w:w="80" w:type="dxa"/>
              <w:right w:w="160" w:type="dxa"/>
            </w:tcMar>
            <w:vAlign w:val="center"/>
          </w:tcPr>
          <w:p w14:paraId="26433627">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无</w:t>
            </w:r>
          </w:p>
        </w:tc>
        <w:tc>
          <w:tcPr>
            <w:tcW w:w="0" w:type="auto"/>
            <w:shd w:val="clear"/>
            <w:tcMar>
              <w:top w:w="80" w:type="dxa"/>
              <w:left w:w="160" w:type="dxa"/>
              <w:bottom w:w="80" w:type="dxa"/>
              <w:right w:w="160" w:type="dxa"/>
            </w:tcMar>
            <w:vAlign w:val="center"/>
          </w:tcPr>
          <w:p w14:paraId="23E7C8A4">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低（LED 光源 + 低功耗传感器）​</w:t>
            </w:r>
          </w:p>
        </w:tc>
        <w:tc>
          <w:tcPr>
            <w:tcW w:w="0" w:type="auto"/>
            <w:shd w:val="clear"/>
            <w:tcMar>
              <w:top w:w="80" w:type="dxa"/>
              <w:left w:w="160" w:type="dxa"/>
              <w:bottom w:w="80" w:type="dxa"/>
              <w:right w:w="160" w:type="dxa"/>
            </w:tcMar>
            <w:vAlign w:val="center"/>
          </w:tcPr>
          <w:p w14:paraId="290C0A16">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符合</w:t>
            </w:r>
          </w:p>
        </w:tc>
      </w:tr>
    </w:tbl>
    <w:p w14:paraId="4D841FC6">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数据解读：</w:t>
      </w:r>
    </w:p>
    <w:p w14:paraId="1F628FD8">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本项目采用纯物理光学扫描，全程无需任何化学试剂，从源头切断化学污染物排放，符合《"十四五"工业绿色发展规划》对无损检测技术的推广要求。</w:t>
      </w:r>
    </w:p>
    <w:p w14:paraId="1DD5CAFF">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按单家检测机构年检测 10 万样本测算，采用本项目技术可减少化学废液排放 50-80 吨，降低危废处理成本 25 万 -40 万元。</w:t>
      </w:r>
    </w:p>
    <w:p w14:paraId="6C6153F1">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绿色检测特性使采购本设备的企业可申请地方政府"绿色工厂"、"环保技改"专项补贴，进一步降低实际采购成本。</w:t>
      </w:r>
    </w:p>
    <w:p w14:paraId="2195C80A">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pict>
          <v:rect id="_x0000_i1026" o:spt="1" style="height:1.5pt;width:432pt;" fillcolor="#000000" filled="t" stroked="f" coordsize="21600,21600" o:hr="t" o:hrstd="t" o:hrnoshade="t" o:hralign="center">
            <v:path/>
            <v:fill on="t" focussize="0,0"/>
            <v:stroke on="f"/>
            <v:imagedata o:title=""/>
            <o:lock v:ext="edit"/>
            <w10:wrap type="none"/>
            <w10:anchorlock/>
          </v:rect>
        </w:pict>
      </w:r>
    </w:p>
    <w:p w14:paraId="232115D0">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6.3 技术可扩展性</w:t>
      </w:r>
    </w:p>
    <w:p w14:paraId="26407B23">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本项目构建的"多模态光谱融合 + 深度学习"技术框架，具有高度的模块化与可迁移性，可快速适配其他水果品种、其他产区、其他检测指标，为后续业务拓展奠定技术基础。</w:t>
      </w:r>
    </w:p>
    <w:p w14:paraId="3A09EFC0">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6.3.1 品种迁移：从柑橘到其他水果</w:t>
      </w:r>
    </w:p>
    <w:p w14:paraId="7ECCF7BE">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​（1）技术迁移路径</w:t>
      </w:r>
    </w:p>
    <w:p w14:paraId="75550038">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本项目核心算法（Transformer 编码器、注意力加权融合、CARS 特征筛选）不依赖于柑橘的特定生化成分，而是基于光谱信号与品质指标之间的非线性映射关系。因此，只需采集目标水果品种的光谱数据与化学标签，进行少量样本的迁移学习（Fine-tuning），即可实现模型适配。</w:t>
      </w:r>
    </w:p>
    <w:p w14:paraId="561FFEBF">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具体迁移流程如下：</w:t>
      </w:r>
    </w:p>
    <w:p w14:paraId="28B4B8DA">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步骤一：采集目标水果品种（如红江橙、砂糖橘、蜜柚等）的光谱数据，样本量建议 100-200 组，覆盖不同成熟度与产区。</w:t>
      </w:r>
    </w:p>
    <w:p w14:paraId="605178DF">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步骤二：测定化学标签（糖度、酸度、维生素 C 等），与光谱数据建立配对关系。</w:t>
      </w:r>
    </w:p>
    <w:p w14:paraId="0C405421">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步骤三：加载本项目预训练模型权重，使用新数据集进行 10-20 轮微调训练，冻结底层特征提取层，仅更新顶层回归头。</w:t>
      </w:r>
    </w:p>
    <w:p w14:paraId="3D8E2CB3">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步骤四：在独立测试集上验证精度，R²≥0.90 即可部署应用。</w:t>
      </w:r>
    </w:p>
    <w:p w14:paraId="426FFED4">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​（2）迁移成本与周期</w:t>
      </w:r>
    </w:p>
    <w:p w14:paraId="7B2D7876">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按单品种测算：</w:t>
      </w:r>
    </w:p>
    <w:p w14:paraId="3968476D">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数据采集成本：样本采集 + 化学标签测定约 2 万 -3 万元（委托第三方 CMA 实验室）。</w:t>
      </w:r>
    </w:p>
    <w:p w14:paraId="7153BB75">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模型训练成本：GPU 算力消耗约 2000-3000 元（云服务器按量计费）。</w:t>
      </w:r>
    </w:p>
    <w:p w14:paraId="4939ACC2">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开发周期：从数据采集到模型部署约 4-6 周，其中数据采集 2-3 周、模型训练与验证 1-2 周、系统集成测试 1 周。</w:t>
      </w:r>
    </w:p>
    <w:p w14:paraId="27EEEE12">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​（3）优先迁移品种</w:t>
      </w:r>
    </w:p>
    <w:p w14:paraId="54187419">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基于市场规模与技术相似度，建议优先迁移至以下品种：</w:t>
      </w:r>
    </w:p>
    <w:p w14:paraId="06D26F1D">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红江橙：海南另一地理标志产品，市场规模约 30 亿元，光谱特征与福橙/绿橙高度相似，迁移难度低。</w:t>
      </w:r>
    </w:p>
    <w:p w14:paraId="7D9D9212">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砂糖橘：全国年产量超 800 万吨，市场需求大，但糖度波动范围广（8-16°Brix），对模型泛化能力要求较高。</w:t>
      </w:r>
    </w:p>
    <w:p w14:paraId="5EE055D1">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蜜柚：福建、广东主产，单果重量大（1-2kg），光谱穿透深度需求更高，需调整 S960 传感器参数。</w:t>
      </w:r>
    </w:p>
    <w:p w14:paraId="712B4D9F">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6.3.2 产地扩展：从海南到全国主产区</w:t>
      </w:r>
    </w:p>
    <w:p w14:paraId="7E95695D">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​（1）产地溯源模型扩展</w:t>
      </w:r>
    </w:p>
    <w:p w14:paraId="7221F61C">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本项目产地溯源模型当前覆盖澄迈福橙与琼中绿橙两大产区，分类准确率 96.8%。扩展至其他产区（如广西桂林、广东肇庆、江西赣州等）的技术路径如下：</w:t>
      </w:r>
    </w:p>
    <w:p w14:paraId="6F869DC7">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样本采集：在各主产区设置固定采样点，每产区采集 100-150 组样本，覆盖不同海拔、不同土壤类型。</w:t>
      </w:r>
    </w:p>
    <w:p w14:paraId="2F9A055C">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特征库扩充：利用 VIP（变量重要性投影）方法识别各产区特异性光谱特征波段，建立"产区指纹"数据库。</w:t>
      </w:r>
    </w:p>
    <w:p w14:paraId="350F3444">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多分类模型训练：将二分类模型（澄迈 vs 琼中）扩展为多分类模型（海南 vs 广西 vs 广东 vs 江西...），采用 Softmax 交叉熵损失函数进行训练。</w:t>
      </w:r>
    </w:p>
    <w:p w14:paraId="48204075">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​（2）跨区域泛化能力验证</w:t>
      </w:r>
    </w:p>
    <w:p w14:paraId="517935F8">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为确保模型在全国范围内的适用性，需进行跨区域盲测验证：</w:t>
      </w:r>
    </w:p>
    <w:p w14:paraId="6C552195">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验证方法：在训练集未包含的产区（如湖北秭归、四川丹棱）采集 50-100 组样本，测试模型的产地判别能力。</w:t>
      </w:r>
    </w:p>
    <w:p w14:paraId="21F4EED9">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判定标准：若模型将非海南产区样本正确识别为"其他产区"（而非误判为澄迈或琼中），则视为通过验证。</w:t>
      </w:r>
    </w:p>
    <w:p w14:paraId="3D71AF0B">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预期结果：基于前期小范围测试，模型对非海南产区样本的"其他产区"识别率约 93%，可满足商业应用需求。</w:t>
      </w:r>
    </w:p>
    <w:p w14:paraId="17031B81">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6.3.3 指标扩充：从品质检测到安全筛查</w:t>
      </w:r>
    </w:p>
    <w:p w14:paraId="32EE0E51">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​（1）农药残留快速初筛</w:t>
      </w:r>
    </w:p>
    <w:p w14:paraId="3A4D7F3D">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当前本项目检测指标聚焦于糖度、酸度、维生素 C 等品质指标，未来可基于液质联用标签数据，拓展至农药残留筛查：</w:t>
      </w:r>
    </w:p>
    <w:p w14:paraId="29BFD975">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技术原理：部分农药（如有机磷类、氨基甲酸酯类）在特定近红外波段（1400-1500nm、1900-2000nm）具有特征吸收峰，可通过光谱分析进行定性识别。</w:t>
      </w:r>
    </w:p>
    <w:p w14:paraId="523934CC">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实现路径：采集已知农药残留水平的样本（通过 LC-MS 测定），建立农药残留光谱特征库，训练二分类模型（合格 vs 超标）。</w:t>
      </w:r>
    </w:p>
    <w:p w14:paraId="123449DA">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精度预期：基于文献报道与前期预实验，农药残留定性筛查准确率可达 85%-90%，可作为实验室确证检测的前置筛查手段。</w:t>
      </w:r>
    </w:p>
    <w:p w14:paraId="0F428F0C">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​（2）特定营养成分检测</w:t>
      </w:r>
    </w:p>
    <w:p w14:paraId="24D7B191">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针对消费者对功能性营养成分（如类黄酮、膳食纤维、微量元素）的关注，本项目可拓展以下检测指标：</w:t>
      </w:r>
    </w:p>
    <w:p w14:paraId="6179FC54">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类黄酮：本项目液质标签已包含 10 种类黄酮物质（橙皮苷、柚皮苷等），光谱特征与近红外波段（1100-1300nm）存在显著相关性，当前模型 R²约 0.82，可通过增加样本量提升至 0.88 以上。</w:t>
      </w:r>
    </w:p>
    <w:p w14:paraId="51C5A0FE">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膳食纤维：纤维素、半纤维素在 1200nm、1450nm、2100nm 等波段具有特征吸收，文献报道预测 R²可达 0.85-0.90。</w:t>
      </w:r>
    </w:p>
    <w:p w14:paraId="41087A22">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微量元素：钾、钙、镁等矿质元素的光谱响应较弱，需结合 HSI 高光谱的空间特征进行间接预测，当前处于技术预研阶段。</w:t>
      </w:r>
    </w:p>
    <w:p w14:paraId="001CD176">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​（3）内部缺陷检测</w:t>
      </w:r>
    </w:p>
    <w:p w14:paraId="56B56525">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除化学成分检测外，本项目 HSI 高光谱成像系统还可用于柑橘内部缺陷检测：</w:t>
      </w:r>
    </w:p>
    <w:p w14:paraId="5D7AEA6B">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枯水病检测：枯水病柑橘果肉细胞壁降解，导致光谱散射特性改变，在 700-900nm 波段具有显著差异，定性识别准确率可达 90% 以上。</w:t>
      </w:r>
    </w:p>
    <w:p w14:paraId="4B0E6B3B">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褐斑病检测：褐斑病组织在 550nm、680nm 等可见光波段呈现特异性吸收，结合深度学习图像分割算法，可实现病斑定位与严重程度评估。</w:t>
      </w:r>
    </w:p>
    <w:p w14:paraId="1BF68B8E">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商业价值：内部缺陷检测可帮助企业剔除劣质果，避免消费者投诉与品牌损失，按单家企业年吞吐量 5000 吨测算，可减少售后赔付支出约 50 万 -80 万元。</w:t>
      </w:r>
    </w:p>
    <w:p w14:paraId="6FEED2E3">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pict>
          <v:rect id="_x0000_i1027" o:spt="1" style="height:1.5pt;width:432pt;" fillcolor="#000000" filled="t" stroked="f" coordsize="21600,21600" o:hr="t" o:hrstd="t" o:hrnoshade="t" o:hralign="center">
            <v:path/>
            <v:fill on="t" focussize="0,0"/>
            <v:stroke on="f"/>
            <v:imagedata o:title=""/>
            <o:lock v:ext="edit"/>
            <w10:wrap type="none"/>
            <w10:anchorlock/>
          </v:rect>
        </w:pict>
      </w:r>
    </w:p>
    <w:p w14:paraId="63534864">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6.4 社会与产业价值</w:t>
      </w:r>
    </w:p>
    <w:p w14:paraId="5805382E">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本项目的推广应用，不仅可为企业带来直接经济效益，更可在品牌保护、产业升级、农民增收、绿色转型等层面产生深远的社会与产业价值。</w:t>
      </w:r>
    </w:p>
    <w:p w14:paraId="1DBC9F58">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6.4.1 品牌保护价值</w:t>
      </w:r>
    </w:p>
    <w:p w14:paraId="675918DE">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​（1）打击产地造假，维护品牌溢价</w:t>
      </w:r>
    </w:p>
    <w:p w14:paraId="3BF72A67">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海南柑橘品牌溢价显著，"澄迈福橙"、"琼中绿橙"市场售价较外省普通柑橘高出 30%-50%，这导致市场上冒充海南产区的现象屡禁不止。据海南省市场监管局 2024 年专项抽检数据显示，市面上标称"海南绿橙"的产品中，约有 23% 实际产自广西、广东等地，品牌侵权造成的年经济损失估计超 8 亿元。</w:t>
      </w:r>
    </w:p>
    <w:p w14:paraId="09F0F289">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本项目基于果实自身"生物指纹"的产地溯源技术，可从本质上鉴别产地真实性：</w:t>
      </w:r>
    </w:p>
    <w:p w14:paraId="71833256">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技术壁垒：光谱指纹基于果实内部生化成分，无法通过外部标签仿冒，造假门槛极高。</w:t>
      </w:r>
    </w:p>
    <w:p w14:paraId="5C0F777E">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快速筛查：市场监管人员或品牌方质检员使用小程序端，对市售产品进行随机抽检，3-5 秒内即可获取产地概率分布。</w:t>
      </w:r>
    </w:p>
    <w:p w14:paraId="7E20BA59">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证据固化：检测记录自动上传至云端数据库，生成带时间戳与地理位置信息的质检报告，可作为行政执法或司法诉讼的证据材料。</w:t>
      </w:r>
    </w:p>
    <w:p w14:paraId="2526C8DE">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按品牌侵权率降低 80% 测算，本项目可直接保护海南柑橘品牌年收益超 6 亿元，维护果农与合法企业的切身利益。</w:t>
      </w:r>
    </w:p>
    <w:p w14:paraId="7933247F">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​（2）提升消费者信任度</w:t>
      </w:r>
    </w:p>
    <w:p w14:paraId="08A62DA8">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在地理标志产品包装上印制溯源二维码，消费者扫码即可查看该批次产品的产地溯源检测报告与品质指标（糖度、酸度、维生素 C），提升消费信心与购买意愿。据团队前期市场调研数据显示，提供溯源信息的柑橘产品，消费者购买转化率提升 18%，复购率提升 12%。</w:t>
      </w:r>
    </w:p>
    <w:p w14:paraId="1B2CA25E">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6.4.2 产业升级价值</w:t>
      </w:r>
    </w:p>
    <w:p w14:paraId="7205517A">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​（1）推动海南柑橘从"传统农业"向"数字农业"转型</w:t>
      </w:r>
    </w:p>
    <w:p w14:paraId="1B177108">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本项目构建的"光谱采集→AI 分析→云端管理"全流程数字化体系，可为海南柑橘产业建立全省统一的品质数据库：</w:t>
      </w:r>
    </w:p>
    <w:p w14:paraId="757C3897">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数据沉淀：累计检测数据纳入省级农业大数据平台，分析各产区、各品种、各成熟度的品质分布规律，指导种植结构调整与采收计划制定。</w:t>
      </w:r>
    </w:p>
    <w:p w14:paraId="29DA9C9C">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标准制定：基于大规模检测数据，协助海南省农业农村厅制定"海南柑橘品质分级标准"，推动产业从"经验种植"向"标准种植"升级。</w:t>
      </w:r>
    </w:p>
    <w:p w14:paraId="07E1B7F9">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品牌背书：官方认可的质检报告可作为"海南柑橘"区域公用品牌的背书材料，提升整体品牌形象与市场竞争力。</w:t>
      </w:r>
    </w:p>
    <w:p w14:paraId="51F4B211">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​（2）带动上下游产业链协同发展</w:t>
      </w:r>
    </w:p>
    <w:p w14:paraId="06D4DC80">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本项目产业化落地将带动以下上下游产业发展：</w:t>
      </w:r>
    </w:p>
    <w:p w14:paraId="2028A93C">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上游：光谱传感器、LED 光源、嵌入式 AI 芯片等硬件制造商，预计可带动产值 5000 万 -8000 万元。</w:t>
      </w:r>
    </w:p>
    <w:p w14:paraId="4D92F3AA">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中游：光谱检测设备组装、系统集成、软件开发商，预计可带动产值 1 亿 -1.5 亿元。</w:t>
      </w:r>
    </w:p>
    <w:p w14:paraId="62E30603">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下游：第三方检测服务、数据标注、技术培训等服务商，预计可带动产值 3000 万 -5000 万元。</w:t>
      </w:r>
    </w:p>
    <w:p w14:paraId="133BE2C9">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6.4.3 农民增收价值</w:t>
      </w:r>
    </w:p>
    <w:p w14:paraId="627E51B3">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​（1）精准采收指导，提升优质果率</w:t>
      </w:r>
    </w:p>
    <w:p w14:paraId="5D4F0756">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如 6.1.2 节所述，采用本项目技术进行采收前筛查，可将优质果率从 65% 提升至 85%，单户果农年增收约 2000-4000 元。若推广至海南全省 80 万亩柑橘种植面积（涉及果农约 12 万户），预计可带动果农群体年增收 1.6 亿 -3.2 亿元。</w:t>
      </w:r>
    </w:p>
    <w:p w14:paraId="21CA93F2">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​（2）按质定价激励，促进品质提升</w:t>
      </w:r>
    </w:p>
    <w:p w14:paraId="74BF1631">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通过精准分级实现"优质优价"，可激励果农主动改进种植管理（如优化施肥、控水、修剪等），提升果实品质。据团队在澄迈县金江镇的试点数据显示，参与项目的果农中，有 67% 表示愿意增加有机肥投入、减少化肥使用，从源头提升柑橘品质。</w:t>
      </w:r>
    </w:p>
    <w:p w14:paraId="4F735F72">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6.4.4 绿色转型价值</w:t>
      </w:r>
    </w:p>
    <w:p w14:paraId="1C4E5AC8">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​（1）减少化学废液排放</w:t>
      </w:r>
    </w:p>
    <w:p w14:paraId="2AFF88A7">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如 6.2.5 节所述，本项目采用纯物理光学扫描，全程无需任何化学试剂，从源头切断化学污染物排放。按单家检测机构年检测 10 万样本测算，采用本项目技术可减少化学废液排放 50-80 吨，降低危废处理成本 25 万 -40 万元。</w:t>
      </w:r>
    </w:p>
    <w:p w14:paraId="6AF33B53">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​（2）降低能源消耗</w:t>
      </w:r>
    </w:p>
    <w:p w14:paraId="29EE2FF9">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本项目单次检测耗时 3-5 秒，设备功耗约 10W；传统滴定法单次检测耗时 45 分钟，实验室设备（滴定仪、折光仪、通风橱等）总功耗约 500W。按单家机构年检测 10 万样本测算，采用本项目技术可节约用电约 7.4 万度，减少碳排放约 58 吨（按 0.7856kg CO₂/度电计）。</w:t>
      </w:r>
    </w:p>
    <w:p w14:paraId="705F2DE3">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​（3）契合国家政策导向</w:t>
      </w:r>
    </w:p>
    <w:p w14:paraId="49EF7928">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本项目完全契合《"十四五"工业绿色发展规划》《海南省人民政府办公厅关于加快建立健全绿色低碳循环发展经济体系的实施意见》等政策对无损检测技术的推广要求，采购本设备的企业可申请地方政府"绿色工厂"、"环保技改"专项补贴，进一步降低实际采购成本。</w:t>
      </w:r>
    </w:p>
    <w:p w14:paraId="280F5FE0">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6.4.5 综合效益测算</w:t>
      </w:r>
    </w:p>
    <w:p w14:paraId="29C76FE0">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基于上述分析，对本项目推广应用后的综合效益进行保守测算（按海南全省 80 万亩柑橘种植面积、50% 渗透率计）：</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80"/>
        <w:gridCol w:w="5810"/>
        <w:gridCol w:w="1603"/>
      </w:tblGrid>
      <w:tr w14:paraId="1E7E00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tcMar>
              <w:top w:w="80" w:type="dxa"/>
              <w:left w:w="160" w:type="dxa"/>
              <w:bottom w:w="80" w:type="dxa"/>
              <w:right w:w="160" w:type="dxa"/>
            </w:tcMar>
            <w:vAlign w:val="center"/>
          </w:tcPr>
          <w:p w14:paraId="701B5294">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效益维度</w:t>
            </w:r>
          </w:p>
        </w:tc>
        <w:tc>
          <w:tcPr>
            <w:tcW w:w="0" w:type="auto"/>
            <w:shd w:val="clear"/>
            <w:tcMar>
              <w:top w:w="80" w:type="dxa"/>
              <w:left w:w="160" w:type="dxa"/>
              <w:bottom w:w="80" w:type="dxa"/>
              <w:right w:w="160" w:type="dxa"/>
            </w:tcMar>
            <w:vAlign w:val="center"/>
          </w:tcPr>
          <w:p w14:paraId="15BC4FC7">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测算依据</w:t>
            </w:r>
          </w:p>
        </w:tc>
        <w:tc>
          <w:tcPr>
            <w:tcW w:w="0" w:type="auto"/>
            <w:shd w:val="clear"/>
            <w:tcMar>
              <w:top w:w="80" w:type="dxa"/>
              <w:left w:w="160" w:type="dxa"/>
              <w:bottom w:w="80" w:type="dxa"/>
              <w:right w:w="160" w:type="dxa"/>
            </w:tcMar>
            <w:vAlign w:val="center"/>
          </w:tcPr>
          <w:p w14:paraId="70A3505F">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年效益</w:t>
            </w:r>
          </w:p>
        </w:tc>
      </w:tr>
      <w:tr w14:paraId="28E62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38AA0371">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果农增收</w:t>
            </w:r>
          </w:p>
        </w:tc>
        <w:tc>
          <w:tcPr>
            <w:tcW w:w="0" w:type="auto"/>
            <w:shd w:val="clear"/>
            <w:tcMar>
              <w:top w:w="80" w:type="dxa"/>
              <w:left w:w="160" w:type="dxa"/>
              <w:bottom w:w="80" w:type="dxa"/>
              <w:right w:w="160" w:type="dxa"/>
            </w:tcMar>
            <w:vAlign w:val="center"/>
          </w:tcPr>
          <w:p w14:paraId="3AF3943A">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40 万亩×75 吨/亩×1.5 元/斤×50% 优质果率提升</w:t>
            </w:r>
          </w:p>
        </w:tc>
        <w:tc>
          <w:tcPr>
            <w:tcW w:w="0" w:type="auto"/>
            <w:shd w:val="clear"/>
            <w:tcMar>
              <w:top w:w="80" w:type="dxa"/>
              <w:left w:w="160" w:type="dxa"/>
              <w:bottom w:w="80" w:type="dxa"/>
              <w:right w:w="160" w:type="dxa"/>
            </w:tcMar>
            <w:vAlign w:val="center"/>
          </w:tcPr>
          <w:p w14:paraId="65D8B579">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2.25 亿元</w:t>
            </w:r>
          </w:p>
        </w:tc>
      </w:tr>
      <w:tr w14:paraId="495AE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20F16381">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品牌保护</w:t>
            </w:r>
          </w:p>
        </w:tc>
        <w:tc>
          <w:tcPr>
            <w:tcW w:w="0" w:type="auto"/>
            <w:shd w:val="clear"/>
            <w:tcMar>
              <w:top w:w="80" w:type="dxa"/>
              <w:left w:w="160" w:type="dxa"/>
              <w:bottom w:w="80" w:type="dxa"/>
              <w:right w:w="160" w:type="dxa"/>
            </w:tcMar>
            <w:vAlign w:val="center"/>
          </w:tcPr>
          <w:p w14:paraId="4299CB7A">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8 亿元品牌侵权损失×80% 降低率×50% 渗透率</w:t>
            </w:r>
          </w:p>
        </w:tc>
        <w:tc>
          <w:tcPr>
            <w:tcW w:w="0" w:type="auto"/>
            <w:shd w:val="clear"/>
            <w:tcMar>
              <w:top w:w="80" w:type="dxa"/>
              <w:left w:w="160" w:type="dxa"/>
              <w:bottom w:w="80" w:type="dxa"/>
              <w:right w:w="160" w:type="dxa"/>
            </w:tcMar>
            <w:vAlign w:val="center"/>
          </w:tcPr>
          <w:p w14:paraId="148D3396">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3.2 亿元</w:t>
            </w:r>
          </w:p>
        </w:tc>
      </w:tr>
      <w:tr w14:paraId="29CAF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65B22283">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企业降本</w:t>
            </w:r>
          </w:p>
        </w:tc>
        <w:tc>
          <w:tcPr>
            <w:tcW w:w="0" w:type="auto"/>
            <w:shd w:val="clear"/>
            <w:tcMar>
              <w:top w:w="80" w:type="dxa"/>
              <w:left w:w="160" w:type="dxa"/>
              <w:bottom w:w="80" w:type="dxa"/>
              <w:right w:w="160" w:type="dxa"/>
            </w:tcMar>
            <w:vAlign w:val="center"/>
          </w:tcPr>
          <w:p w14:paraId="42CD4C80">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500 家企业×150 万元/家检测成本节约×50% 渗透率</w:t>
            </w:r>
          </w:p>
        </w:tc>
        <w:tc>
          <w:tcPr>
            <w:tcW w:w="0" w:type="auto"/>
            <w:shd w:val="clear"/>
            <w:tcMar>
              <w:top w:w="80" w:type="dxa"/>
              <w:left w:w="160" w:type="dxa"/>
              <w:bottom w:w="80" w:type="dxa"/>
              <w:right w:w="160" w:type="dxa"/>
            </w:tcMar>
            <w:vAlign w:val="center"/>
          </w:tcPr>
          <w:p w14:paraId="3D9CA534">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3.75 亿元</w:t>
            </w:r>
          </w:p>
        </w:tc>
      </w:tr>
      <w:tr w14:paraId="6F725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46D31700">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环境效益</w:t>
            </w:r>
          </w:p>
        </w:tc>
        <w:tc>
          <w:tcPr>
            <w:tcW w:w="0" w:type="auto"/>
            <w:shd w:val="clear"/>
            <w:tcMar>
              <w:top w:w="80" w:type="dxa"/>
              <w:left w:w="160" w:type="dxa"/>
              <w:bottom w:w="80" w:type="dxa"/>
              <w:right w:w="160" w:type="dxa"/>
            </w:tcMar>
            <w:vAlign w:val="center"/>
          </w:tcPr>
          <w:p w14:paraId="43A2C8AF">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减少化学废液 2.5 万吨 + 节电 370 万度 + 减碳 2900 吨</w:t>
            </w:r>
          </w:p>
        </w:tc>
        <w:tc>
          <w:tcPr>
            <w:tcW w:w="0" w:type="auto"/>
            <w:shd w:val="clear"/>
            <w:tcMar>
              <w:top w:w="80" w:type="dxa"/>
              <w:left w:w="160" w:type="dxa"/>
              <w:bottom w:w="80" w:type="dxa"/>
              <w:right w:w="160" w:type="dxa"/>
            </w:tcMar>
            <w:vAlign w:val="center"/>
          </w:tcPr>
          <w:p w14:paraId="48B5C916">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难以货币化</w:t>
            </w:r>
          </w:p>
        </w:tc>
      </w:tr>
      <w:tr w14:paraId="2343D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80" w:type="dxa"/>
              <w:left w:w="160" w:type="dxa"/>
              <w:bottom w:w="80" w:type="dxa"/>
              <w:right w:w="160" w:type="dxa"/>
            </w:tcMar>
            <w:vAlign w:val="center"/>
          </w:tcPr>
          <w:p w14:paraId="0E081058">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合计</w:t>
            </w:r>
          </w:p>
        </w:tc>
        <w:tc>
          <w:tcPr>
            <w:tcW w:w="0" w:type="auto"/>
            <w:shd w:val="clear"/>
            <w:tcMar>
              <w:top w:w="80" w:type="dxa"/>
              <w:left w:w="160" w:type="dxa"/>
              <w:bottom w:w="80" w:type="dxa"/>
              <w:right w:w="160" w:type="dxa"/>
            </w:tcMar>
            <w:vAlign w:val="center"/>
          </w:tcPr>
          <w:p w14:paraId="3C7E3AFC">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w:t>
            </w:r>
          </w:p>
        </w:tc>
        <w:tc>
          <w:tcPr>
            <w:tcW w:w="0" w:type="auto"/>
            <w:shd w:val="clear"/>
            <w:tcMar>
              <w:top w:w="80" w:type="dxa"/>
              <w:left w:w="160" w:type="dxa"/>
              <w:bottom w:w="80" w:type="dxa"/>
              <w:right w:w="160" w:type="dxa"/>
            </w:tcMar>
            <w:vAlign w:val="center"/>
          </w:tcPr>
          <w:p w14:paraId="5E601030">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lang w:val="en-US" w:eastAsia="zh-CN"/>
              </w:rPr>
              <w:t>9.2 亿元</w:t>
            </w:r>
          </w:p>
        </w:tc>
      </w:tr>
    </w:tbl>
    <w:p w14:paraId="7B1C5136">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数据解读：</w:t>
      </w:r>
    </w:p>
    <w:p w14:paraId="14D8FAD2">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以上测算采用保守假设（50% 渗透率），若渗透率提升至 80%，综合年效益可达 14.7 亿元。</w:t>
      </w:r>
    </w:p>
    <w:p w14:paraId="07864C42">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环境效益（废液减排、节电减碳）难以直接货币化，但符合国家"双碳"战略与绿色发展方向，可为企业带来隐性品牌价值与政策补贴收益。</w:t>
      </w:r>
    </w:p>
    <w:p w14:paraId="5AAD3A6A">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按海南柑橘年产值 45 亿元测算，本项目可带动全产业链增效约 20%-33%，产业拉动效应显著。</w:t>
      </w:r>
    </w:p>
    <w:p w14:paraId="13FB7758">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第七章：团队介绍</w:t>
      </w:r>
    </w:p>
    <w:p w14:paraId="68AC4110">
      <w:bookmarkStart w:id="0" w:name="_Toc13484"/>
      <w:r>
        <w:rPr>
          <w:rFonts w:hint="eastAsia"/>
        </w:rPr>
        <w:t>橙源智鉴团队的竞争力，不在于单个人有多少奖项，而在于这支队伍已经能够完成从样本组织、模型训练到双端交付和报告输出的整条链路。团队成员覆盖人工智能、软件工程、计算机科学与技术、市场运营和财务管理等方向，既能完成技术研发，也能承接试点推进、材料制作和竞赛表达，这使项目具备较强的执行完整度。</w:t>
      </w:r>
      <w:bookmarkStart w:id="18" w:name="_GoBack"/>
      <w:bookmarkEnd w:id="18"/>
    </w:p>
    <w:p w14:paraId="3348E9FD">
      <w:r>
        <w:rPr>
          <w:rFonts w:hint="eastAsia"/>
        </w:rPr>
        <w:t>团队依托海南师范大学信息科学技术学院重点实验室、科技园孵化器及产学研合作平台等优质资源，构建起“样本采集标注—模型训练优化—平台部署应用—试点反馈迭代”的完整能力体系。核心成员分工明确、协作高效，能够把高光谱样本、分析模型、平台系统与场景试点连续打通；同时，团队聘请校内外专家担任技术顾问与商业顾问，持续引入学术与产业资源，为项目后续扩样、试点和落地提供专业支撑。</w:t>
      </w:r>
    </w:p>
    <w:p w14:paraId="0F456D53">
      <w:pPr>
        <w:pStyle w:val="3"/>
      </w:pPr>
      <w:bookmarkStart w:id="1" w:name="_Toc5542"/>
      <w:bookmarkStart w:id="2" w:name="_Toc226486243"/>
      <w:r>
        <w:rPr>
          <w:rFonts w:hint="eastAsia"/>
          <w:lang w:val="en-US" w:eastAsia="zh-CN"/>
        </w:rPr>
        <w:t>7</w:t>
      </w:r>
      <w:r>
        <w:t xml:space="preserve">.1 </w:t>
      </w:r>
      <w:r>
        <w:rPr>
          <w:rFonts w:hint="eastAsia" w:ascii="微软雅黑" w:hAnsi="微软雅黑" w:eastAsia="微软雅黑" w:cs="微软雅黑"/>
        </w:rPr>
        <w:t>团队组织</w:t>
      </w:r>
      <w:r>
        <w:rPr>
          <w:rFonts w:hint="eastAsia" w:ascii="MS Gothic" w:hAnsi="MS Gothic" w:eastAsia="MS Gothic" w:cs="MS Gothic"/>
        </w:rPr>
        <w:t>架构</w:t>
      </w:r>
      <w:bookmarkEnd w:id="0"/>
      <w:bookmarkEnd w:id="1"/>
      <w:bookmarkEnd w:id="2"/>
    </w:p>
    <w:p w14:paraId="757FB788">
      <w:pPr>
        <w:wordWrap w:val="0"/>
        <w:spacing w:line="279" w:lineRule="auto"/>
        <w:ind w:firstLine="420" w:firstLineChars="200"/>
        <w:rPr>
          <w:rFonts w:hint="eastAsia" w:ascii="楷体" w:hAnsi="楷体" w:eastAsia="楷体" w:cs="楷体"/>
          <w:sz w:val="21"/>
          <w:szCs w:val="21"/>
          <w:lang w:bidi="ar"/>
        </w:rPr>
      </w:pPr>
      <w:r>
        <w:rPr>
          <w:rFonts w:ascii="楷体" w:hAnsi="楷体" w:eastAsia="楷体" w:cs="楷体"/>
          <w:sz w:val="21"/>
          <w:szCs w:val="21"/>
          <w:lang w:bidi="ar"/>
        </w:rPr>
        <w:drawing>
          <wp:inline distT="0" distB="0" distL="114300" distR="114300">
            <wp:extent cx="5270500" cy="1619250"/>
            <wp:effectExtent l="0" t="0" r="0"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pic:cNvPicPr>
                  </pic:nvPicPr>
                  <pic:blipFill>
                    <a:blip r:embed="rId4"/>
                    <a:stretch>
                      <a:fillRect/>
                    </a:stretch>
                  </pic:blipFill>
                  <pic:spPr>
                    <a:xfrm>
                      <a:off x="0" y="0"/>
                      <a:ext cx="5270500" cy="1619250"/>
                    </a:xfrm>
                    <a:prstGeom prst="rect">
                      <a:avLst/>
                    </a:prstGeom>
                  </pic:spPr>
                </pic:pic>
              </a:graphicData>
            </a:graphic>
          </wp:inline>
        </w:drawing>
      </w:r>
    </w:p>
    <w:p w14:paraId="3FB0C6F4">
      <w:pPr>
        <w:ind w:firstLine="0"/>
        <w:jc w:val="center"/>
        <w:rPr>
          <w:lang w:bidi="ar"/>
        </w:rPr>
      </w:pPr>
      <w:r>
        <w:rPr>
          <w:rFonts w:hint="eastAsia"/>
          <w:lang w:bidi="ar"/>
        </w:rPr>
        <w:t>图8-1 组织架构</w:t>
      </w:r>
    </w:p>
    <w:p w14:paraId="7BCD63DE">
      <w:pPr>
        <w:pStyle w:val="4"/>
      </w:pPr>
      <w:bookmarkStart w:id="3" w:name="_Toc588"/>
      <w:r>
        <w:rPr>
          <w:rFonts w:hint="eastAsia"/>
          <w:lang w:val="en-US" w:eastAsia="zh-CN"/>
        </w:rPr>
        <w:t>7</w:t>
      </w:r>
      <w:r>
        <w:rPr>
          <w:rFonts w:hint="eastAsia"/>
        </w:rPr>
        <w:t>.1.1 技</w:t>
      </w:r>
      <w:r>
        <w:rPr>
          <w:rFonts w:hint="eastAsia" w:ascii="微软雅黑" w:hAnsi="微软雅黑" w:eastAsia="微软雅黑" w:cs="微软雅黑"/>
        </w:rPr>
        <w:t>术</w:t>
      </w:r>
      <w:r>
        <w:rPr>
          <w:rFonts w:hint="eastAsia" w:ascii="MS Gothic" w:hAnsi="MS Gothic" w:eastAsia="MS Gothic" w:cs="MS Gothic"/>
        </w:rPr>
        <w:t>部</w:t>
      </w:r>
      <w:bookmarkEnd w:id="3"/>
    </w:p>
    <w:p w14:paraId="117D24B3">
      <w:r>
        <w:rPr>
          <w:rFonts w:hint="eastAsia"/>
        </w:rPr>
        <w:t>技术部是项目核心研发与技术落地的主体部门，承担从算法研发到平台集成再到技术支持的全链条职责。具体而言，技术部负责高光谱数据处理算法的设计与持续迭代优化，完成橙类等级识别、产地溯源与品质分析模型的构建、训练与性能调优；负责上传分析平台、移动查询端和报告输出链路的集成设计、多终端适配及运行稳定性保障；同时为内部运营团队和外部试点对象提供技术支持、操作培训与定制化方案开发，确保技术成果能够稳定进入果园、合作社、分选中心和品牌方等真实场景。</w:t>
      </w:r>
    </w:p>
    <w:p w14:paraId="08F5B3FB">
      <w:r>
        <w:rPr>
          <w:rFonts w:hint="eastAsia"/>
        </w:rPr>
        <w:t>技术部成员均具备扎实的算法基础与工程实践能力，涵盖Python、C++、Java、Vue等多语言开发能力，熟悉前后端全栈开发、AI模型部署及高光谱数据处理等核心技术栈，是项目技术竞争力的核心支撑。</w:t>
      </w:r>
    </w:p>
    <w:p w14:paraId="55066C90">
      <w:pPr>
        <w:pStyle w:val="4"/>
      </w:pPr>
      <w:bookmarkStart w:id="4" w:name="_Toc26877"/>
      <w:r>
        <w:rPr>
          <w:rFonts w:hint="eastAsia"/>
          <w:lang w:val="en-US" w:eastAsia="zh-CN"/>
        </w:rPr>
        <w:t>7</w:t>
      </w:r>
      <w:r>
        <w:rPr>
          <w:rFonts w:hint="eastAsia"/>
        </w:rPr>
        <w:t>.1.2 市</w:t>
      </w:r>
      <w:r>
        <w:rPr>
          <w:rFonts w:hint="eastAsia" w:ascii="微软雅黑" w:hAnsi="微软雅黑" w:eastAsia="微软雅黑" w:cs="微软雅黑"/>
        </w:rPr>
        <w:t>场营销</w:t>
      </w:r>
      <w:r>
        <w:rPr>
          <w:rFonts w:hint="eastAsia" w:ascii="MS Gothic" w:hAnsi="MS Gothic" w:eastAsia="MS Gothic" w:cs="MS Gothic"/>
        </w:rPr>
        <w:t>部</w:t>
      </w:r>
      <w:bookmarkEnd w:id="4"/>
    </w:p>
    <w:p w14:paraId="727FBBFB">
      <w:r>
        <w:rPr>
          <w:rFonts w:hint="eastAsia"/>
        </w:rPr>
        <w:t>市场营销部负责项目的市场布局、品牌推广与客户生态建设，是连接产品能力与目标场景的关键纽带。核心职责包括：围绕橙类产品分级、验货、溯源和品牌表达开展行业调研、竞品分析与目标客户画像梳理，为产品定位与商业策略提供依据；制定品牌传播方案、试点拓展路径与服务定价策略，组织产区走访、客户对接、路演展示和合作洽谈等行动；维护果园、合作社、品牌方、渠道采购方与区域服务机构等客户关系，逐步搭建“平台系统+分析服务+报告交付”的商业转化链路。</w:t>
      </w:r>
    </w:p>
    <w:p w14:paraId="295B8D10">
      <w:pPr>
        <w:pStyle w:val="4"/>
      </w:pPr>
      <w:bookmarkStart w:id="5" w:name="_Toc29873"/>
      <w:r>
        <w:rPr>
          <w:rFonts w:hint="eastAsia"/>
          <w:lang w:val="en-US" w:eastAsia="zh-CN"/>
        </w:rPr>
        <w:t>7</w:t>
      </w:r>
      <w:r>
        <w:rPr>
          <w:rFonts w:hint="eastAsia"/>
        </w:rPr>
        <w:t xml:space="preserve">.1.3 </w:t>
      </w:r>
      <w:r>
        <w:rPr>
          <w:rFonts w:hint="eastAsia" w:ascii="微软雅黑" w:hAnsi="微软雅黑" w:eastAsia="微软雅黑" w:cs="微软雅黑"/>
        </w:rPr>
        <w:t>财务</w:t>
      </w:r>
      <w:r>
        <w:rPr>
          <w:rFonts w:hint="eastAsia" w:ascii="MS Gothic" w:hAnsi="MS Gothic" w:eastAsia="MS Gothic" w:cs="MS Gothic"/>
        </w:rPr>
        <w:t>部</w:t>
      </w:r>
      <w:bookmarkEnd w:id="5"/>
    </w:p>
    <w:p w14:paraId="383F6279">
      <w:r>
        <w:rPr>
          <w:rFonts w:hint="eastAsia"/>
        </w:rPr>
        <w:t>财务部统筹项目全生命周期的财务规划与资金管理，是项目稳健运营的重要保障。核心职责涵盖：编制样本采集、理化标定、模型训练、平台运维、试点实施等阶段的预算方案与成本控制计划，确保资金使用的合理性与效益最大化；负责日常资金收付、账务核算与财务报表编制；积极对接创新创业基金、孵化资金、科创赛事奖金等多元渠道，做好资金分配规划与使用监控；同时为项目的试点报价、年度服务定价和扩张节奏提供财务支撑，保障项目在资金层面的可持续发展能力。</w:t>
      </w:r>
    </w:p>
    <w:p w14:paraId="72B1969E">
      <w:pPr>
        <w:pStyle w:val="4"/>
      </w:pPr>
      <w:bookmarkStart w:id="6" w:name="_Toc31594"/>
      <w:r>
        <w:rPr>
          <w:rFonts w:hint="eastAsia"/>
          <w:lang w:val="en-US" w:eastAsia="zh-CN"/>
        </w:rPr>
        <w:t>7</w:t>
      </w:r>
      <w:r>
        <w:rPr>
          <w:rFonts w:hint="eastAsia"/>
        </w:rPr>
        <w:t>.1.4 行政部</w:t>
      </w:r>
      <w:bookmarkEnd w:id="6"/>
    </w:p>
    <w:p w14:paraId="21EC235C">
      <w:r>
        <w:rPr>
          <w:rFonts w:hint="eastAsia"/>
        </w:rPr>
        <w:t>行政部作为团队运营的综合保障部门，承担内外部资源协调、流程管控与团队运营管理等职责。核心工作包括：制定并执行团队日常运营管理制度，统筹设备物资、资料归档、资质申报和试点文书等行政事务；负责团队人员协作沟通、项目进度跟踪管理与过程材料整理，推进各环节文档编制、归档与质量把控；协调高校实验室、产区资源、合作单位等外部资源，确保团队研发、试点、商务和竞赛申报工作的顺利开展。</w:t>
      </w:r>
    </w:p>
    <w:p w14:paraId="7B1552EA">
      <w:pPr>
        <w:pStyle w:val="3"/>
      </w:pPr>
      <w:bookmarkStart w:id="7" w:name="_Toc30040"/>
      <w:bookmarkStart w:id="8" w:name="_Toc226486244"/>
      <w:r>
        <w:rPr>
          <w:rFonts w:hint="eastAsia"/>
          <w:lang w:val="en-US" w:eastAsia="zh-CN"/>
        </w:rPr>
        <w:t>7</w:t>
      </w:r>
      <w:r>
        <w:t xml:space="preserve">.2 </w:t>
      </w:r>
      <w:r>
        <w:rPr>
          <w:rFonts w:hint="eastAsia" w:ascii="微软雅黑" w:hAnsi="微软雅黑" w:eastAsia="微软雅黑" w:cs="微软雅黑"/>
        </w:rPr>
        <w:t>专</w:t>
      </w:r>
      <w:r>
        <w:t>家</w:t>
      </w:r>
      <w:r>
        <w:rPr>
          <w:rFonts w:hint="eastAsia" w:ascii="微软雅黑" w:hAnsi="微软雅黑" w:eastAsia="微软雅黑" w:cs="微软雅黑"/>
        </w:rPr>
        <w:t>顾问团队</w:t>
      </w:r>
      <w:bookmarkEnd w:id="7"/>
      <w:bookmarkEnd w:id="8"/>
    </w:p>
    <w:p w14:paraId="7C1ADAAF">
      <w:r>
        <w:rPr>
          <w:rFonts w:hint="eastAsia"/>
        </w:rPr>
        <w:t>团队依托海南师范大学信息科学技术学院与经济与管理学院的优质师资资源，聘请三位在人工智能、计算机科学及经济管理领域深耕多年的资深专家担任项目高级顾问，覆盖高光谱数据建模、深度学习优化、商业落地与战略规划等核心维度，为橙类产品等级识别、产地溯源、平台落地和区域合作提供持续的学术支撑与行业指导。</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805"/>
        <w:gridCol w:w="5717"/>
      </w:tblGrid>
      <w:tr w14:paraId="09C0EC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tcPr>
          <w:p w14:paraId="2D445932">
            <w:pPr>
              <w:wordWrap w:val="0"/>
              <w:snapToGrid w:val="0"/>
              <w:spacing w:line="279" w:lineRule="auto"/>
            </w:pPr>
          </w:p>
          <w:p w14:paraId="321EA31D">
            <w:pPr>
              <w:wordWrap w:val="0"/>
              <w:snapToGrid w:val="0"/>
              <w:spacing w:line="279" w:lineRule="auto"/>
            </w:pPr>
          </w:p>
          <w:p w14:paraId="5C64621B">
            <w:pPr>
              <w:wordWrap w:val="0"/>
              <w:snapToGrid w:val="0"/>
              <w:spacing w:line="279" w:lineRule="auto"/>
            </w:pPr>
          </w:p>
          <w:p w14:paraId="12148618">
            <w:pPr>
              <w:wordWrap w:val="0"/>
              <w:snapToGrid w:val="0"/>
              <w:spacing w:line="279" w:lineRule="auto"/>
            </w:pPr>
          </w:p>
          <w:p w14:paraId="386909DB">
            <w:pPr>
              <w:wordWrap w:val="0"/>
              <w:snapToGrid w:val="0"/>
              <w:spacing w:line="279" w:lineRule="auto"/>
              <w:rPr>
                <w:rFonts w:ascii="Cambria Math" w:hAnsi="Cambria Math" w:eastAsia="黑体" w:cs="黑体"/>
                <w:kern w:val="44"/>
                <w:sz w:val="32"/>
                <w:szCs w:val="32"/>
                <w:oMath/>
              </w:rPr>
            </w:pPr>
            <w:r>
              <w:rPr>
                <w:rFonts w:hint="eastAsia"/>
              </w:rPr>
              <w:t xml:space="preserve">  </w:t>
            </w:r>
            <w:r>
              <w:drawing>
                <wp:inline distT="0" distB="0" distL="114300" distR="114300">
                  <wp:extent cx="1539240" cy="1972310"/>
                  <wp:effectExtent l="0" t="0" r="10160" b="8890"/>
                  <wp:docPr id="10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9"/>
                          <pic:cNvPicPr>
                            <a:picLocks noChangeAspect="1"/>
                          </pic:cNvPicPr>
                        </pic:nvPicPr>
                        <pic:blipFill>
                          <a:blip r:embed="rId5"/>
                          <a:srcRect r="314" b="4257"/>
                          <a:stretch>
                            <a:fillRect/>
                          </a:stretch>
                        </pic:blipFill>
                        <pic:spPr>
                          <a:xfrm>
                            <a:off x="0" y="0"/>
                            <a:ext cx="1539240" cy="1972310"/>
                          </a:xfrm>
                          <a:prstGeom prst="rect">
                            <a:avLst/>
                          </a:prstGeom>
                          <a:noFill/>
                          <a:ln>
                            <a:noFill/>
                          </a:ln>
                        </pic:spPr>
                      </pic:pic>
                    </a:graphicData>
                  </a:graphic>
                </wp:inline>
              </w:drawing>
            </w:r>
          </w:p>
        </w:tc>
        <w:tc>
          <w:tcPr>
            <w:tcW w:w="5717" w:type="dxa"/>
            <w:tcBorders>
              <w:top w:val="single" w:color="auto" w:sz="12" w:space="0"/>
              <w:left w:val="single" w:color="auto" w:sz="4" w:space="0"/>
              <w:bottom w:val="nil"/>
              <w:right w:val="single" w:color="auto" w:sz="12" w:space="0"/>
            </w:tcBorders>
            <w:tcMar>
              <w:top w:w="-1" w:type="dxa"/>
              <w:left w:w="-1" w:type="dxa"/>
              <w:bottom w:w="-1" w:type="dxa"/>
              <w:right w:w="-1" w:type="dxa"/>
            </w:tcMar>
          </w:tcPr>
          <w:p w14:paraId="30ABE6CF">
            <w:r>
              <w:t xml:space="preserve">刘波 </w:t>
            </w:r>
            <w:r>
              <w:rPr>
                <w:rFonts w:hint="eastAsia"/>
              </w:rPr>
              <w:t>副教授</w:t>
            </w:r>
            <w:r>
              <w:t xml:space="preserve"> / 人工智能系主任</w:t>
            </w:r>
          </w:p>
          <w:p w14:paraId="4DC25B48">
            <w:r>
              <w:t>刘波老师现任海南师范大学信息科学技术学院</w:t>
            </w:r>
            <w:r>
              <w:rPr>
                <w:rFonts w:hint="eastAsia"/>
              </w:rPr>
              <w:t>副教授</w:t>
            </w:r>
            <w:r>
              <w:t xml:space="preserve">、人工智能系主任，毕业于电子科技大学，获物理学博士学位。其学术研究深耕复杂网络信息挖掘、高阶网络、复杂性科学与人工智能理论等前沿领域，以第一作者或通讯作者身份在 </w:t>
            </w:r>
            <w:r>
              <w:rPr>
                <w:rStyle w:val="14"/>
                <w:color w:val="000000"/>
              </w:rPr>
              <w:t>Expert Systems with Applications</w:t>
            </w:r>
            <w:r>
              <w:t>、</w:t>
            </w:r>
            <w:r>
              <w:rPr>
                <w:rStyle w:val="14"/>
                <w:color w:val="000000"/>
              </w:rPr>
              <w:t>Chaos</w:t>
            </w:r>
            <w:r>
              <w:t>、《物理学报》等国内外权威SCI期刊发表学术论文7篇，申请国家发明专利8项。主持或参与海南省教育厅高校科研项目、科技部脑科学重大项目等多项省部级及以上课题，现担任中国自动化学会计算社会与社会智能专委会委员，并受聘为多家SCI期刊独立审稿人。</w:t>
            </w:r>
          </w:p>
          <w:p w14:paraId="3434A8F5">
            <w:r>
              <w:rPr>
                <w:rStyle w:val="13"/>
                <w:rFonts w:hint="eastAsia"/>
                <w:color w:val="000000"/>
              </w:rPr>
              <w:t>顾问职责：刘波老师将充分发挥其在复杂数据建模与AI算法领域的深厚积累，为本项目高光谱数据建模、产地溯源识别和等级划分算法优化提供全程学术指导，重点协助团队攻克跨批次样本干扰处理、关键波段筛选和模型稳健性提升等核心技术难题。同时，他将协助对接海南师范大学重点实验室资源，为项目技术研发提供实验设备保障与学术支撑，推动项目技术成果持续深化与迭代升级。</w:t>
            </w:r>
          </w:p>
          <w:p w14:paraId="634283A3">
            <w:pPr>
              <w:wordWrap w:val="0"/>
              <w:snapToGrid w:val="0"/>
              <w:spacing w:line="279" w:lineRule="auto"/>
              <w:rPr>
                <w:rFonts w:ascii="Cambria Math" w:hAnsi="Cambria Math" w:eastAsia="黑体" w:cs="黑体"/>
                <w:kern w:val="44"/>
                <w:sz w:val="32"/>
                <w:szCs w:val="32"/>
                <w:oMath/>
              </w:rPr>
            </w:pPr>
          </w:p>
        </w:tc>
      </w:tr>
      <w:tr w14:paraId="50721D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tcPr>
          <w:p w14:paraId="4946F769">
            <w:pPr>
              <w:wordWrap w:val="0"/>
              <w:snapToGrid w:val="0"/>
              <w:spacing w:line="279" w:lineRule="auto"/>
              <w:rPr>
                <w:rFonts w:hint="eastAsia" w:ascii="宋体" w:hAnsi="宋体" w:cs="宋体"/>
                <w:sz w:val="24"/>
              </w:rPr>
            </w:pPr>
          </w:p>
          <w:p w14:paraId="428E4E70">
            <w:pPr>
              <w:wordWrap w:val="0"/>
              <w:snapToGrid w:val="0"/>
              <w:spacing w:line="279" w:lineRule="auto"/>
              <w:rPr>
                <w:rFonts w:hint="eastAsia" w:ascii="宋体" w:hAnsi="宋体" w:cs="宋体"/>
                <w:sz w:val="24"/>
              </w:rPr>
            </w:pPr>
          </w:p>
          <w:p w14:paraId="6863E99D">
            <w:pPr>
              <w:wordWrap w:val="0"/>
              <w:snapToGrid w:val="0"/>
              <w:spacing w:line="279" w:lineRule="auto"/>
              <w:rPr>
                <w:rFonts w:hint="eastAsia" w:ascii="宋体" w:hAnsi="宋体" w:cs="宋体"/>
                <w:sz w:val="24"/>
              </w:rPr>
            </w:pPr>
          </w:p>
          <w:p w14:paraId="5C061E73">
            <w:pPr>
              <w:wordWrap w:val="0"/>
              <w:snapToGrid w:val="0"/>
              <w:spacing w:line="279" w:lineRule="auto"/>
              <w:rPr>
                <w:rFonts w:hint="eastAsia" w:ascii="宋体" w:hAnsi="宋体" w:cs="宋体"/>
                <w:sz w:val="24"/>
              </w:rPr>
            </w:pPr>
          </w:p>
          <w:p w14:paraId="71CB09A0">
            <w:pPr>
              <w:wordWrap w:val="0"/>
              <w:snapToGrid w:val="0"/>
              <w:spacing w:line="279" w:lineRule="auto"/>
              <w:rPr>
                <w:rFonts w:ascii="Cambria Math" w:hAnsi="Cambria Math" w:eastAsia="黑体" w:cs="黑体"/>
                <w:kern w:val="44"/>
                <w:sz w:val="32"/>
                <w:szCs w:val="32"/>
                <w:oMath/>
              </w:rPr>
            </w:pPr>
            <w:r>
              <w:rPr>
                <w:rFonts w:ascii="宋体" w:hAnsi="宋体" w:cs="宋体"/>
                <w:sz w:val="24"/>
              </w:rPr>
              <w:drawing>
                <wp:inline distT="0" distB="0" distL="114300" distR="114300">
                  <wp:extent cx="1580515" cy="2284730"/>
                  <wp:effectExtent l="0" t="0" r="6985" b="1270"/>
                  <wp:docPr id="101"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7" descr="IMG_256"/>
                          <pic:cNvPicPr>
                            <a:picLocks noChangeAspect="1"/>
                          </pic:cNvPicPr>
                        </pic:nvPicPr>
                        <pic:blipFill>
                          <a:blip r:embed="rId6"/>
                          <a:srcRect l="15136" r="15578"/>
                          <a:stretch>
                            <a:fillRect/>
                          </a:stretch>
                        </pic:blipFill>
                        <pic:spPr>
                          <a:xfrm>
                            <a:off x="0" y="0"/>
                            <a:ext cx="1580515" cy="2284730"/>
                          </a:xfrm>
                          <a:prstGeom prst="rect">
                            <a:avLst/>
                          </a:prstGeom>
                          <a:noFill/>
                          <a:ln w="9525">
                            <a:noFill/>
                          </a:ln>
                        </pic:spPr>
                      </pic:pic>
                    </a:graphicData>
                  </a:graphic>
                </wp:inline>
              </w:drawing>
            </w:r>
          </w:p>
        </w:tc>
        <w:tc>
          <w:tcPr>
            <w:tcW w:w="5717" w:type="dxa"/>
            <w:tcBorders>
              <w:top w:val="single" w:color="auto" w:sz="4" w:space="0"/>
              <w:left w:val="single" w:color="auto" w:sz="4" w:space="0"/>
              <w:bottom w:val="nil"/>
              <w:right w:val="single" w:color="auto" w:sz="12" w:space="0"/>
            </w:tcBorders>
            <w:tcMar>
              <w:top w:w="-1" w:type="dxa"/>
              <w:left w:w="-1" w:type="dxa"/>
              <w:bottom w:w="-1" w:type="dxa"/>
              <w:right w:w="-1" w:type="dxa"/>
            </w:tcMar>
          </w:tcPr>
          <w:p w14:paraId="153D35E4">
            <w:r>
              <w:t>龙海侠 教授 / 博士生导师</w:t>
            </w:r>
          </w:p>
          <w:p w14:paraId="68491B8E">
            <w:r>
              <w:t>龙海侠教授现任海南师范大学计算机科学与技术学科教授、博士生导师，系海南省南海名家、高层次拔尖人才，同时担任国家自然科学基金函评专家。其研究方向聚焦人工智能（机器学习/深度学习）与网络空间安全两大核心领域，主持国家自然科学基金项目2项、海南省自然科学基金项目4项，以第一作者或通讯作者发表高水平学术论文60余篇，出版学术专著3部，获授权专利11项，拥有丰富的人工智能领域科研积累与产业化落地经验，在业界享有较高学术声誉。</w:t>
            </w:r>
          </w:p>
          <w:p w14:paraId="57B30B79">
            <w:r>
              <w:rPr>
                <w:rStyle w:val="13"/>
                <w:rFonts w:hint="eastAsia"/>
                <w:color w:val="000000"/>
              </w:rPr>
              <w:t>顾问职责：龙海侠教授将凭借其在深度学习模型研发与AI产业化方面的丰富经验，为本项目等级识别、产地溯源和品质分析模型的架构设计、训练策略与技术路线规划提供高水平指导。同时，她将协助项目对接行业资源与产业合作平台，为平台迭代、知识产权布局和后续场景落地提供专业建议，全面提升项目的技术竞争力与商业转化潜力。</w:t>
            </w:r>
          </w:p>
          <w:p w14:paraId="0ACC0896">
            <w:pPr>
              <w:wordWrap w:val="0"/>
              <w:snapToGrid w:val="0"/>
              <w:spacing w:line="279" w:lineRule="auto"/>
              <w:rPr>
                <w:rFonts w:ascii="Cambria Math" w:hAnsi="Cambria Math" w:eastAsia="黑体" w:cs="黑体"/>
                <w:kern w:val="44"/>
                <w:sz w:val="32"/>
                <w:szCs w:val="32"/>
                <w:oMath/>
              </w:rPr>
            </w:pPr>
          </w:p>
        </w:tc>
      </w:tr>
      <w:tr w14:paraId="629FC0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805" w:type="dxa"/>
            <w:tcBorders>
              <w:top w:val="single" w:color="auto" w:sz="4" w:space="0"/>
              <w:left w:val="single" w:color="auto" w:sz="12" w:space="0"/>
              <w:bottom w:val="single" w:color="auto" w:sz="12" w:space="0"/>
              <w:right w:val="nil"/>
            </w:tcBorders>
            <w:tcMar>
              <w:top w:w="-1" w:type="dxa"/>
              <w:left w:w="-1" w:type="dxa"/>
              <w:bottom w:w="-1" w:type="dxa"/>
              <w:right w:w="-1" w:type="dxa"/>
            </w:tcMar>
          </w:tcPr>
          <w:p w14:paraId="44F52EEE">
            <w:pPr>
              <w:wordWrap w:val="0"/>
              <w:snapToGrid w:val="0"/>
              <w:spacing w:line="279" w:lineRule="auto"/>
              <w:rPr>
                <w:rFonts w:hAnsi="Cambria Math" w:eastAsia="黑体" w:cs="黑体"/>
                <w:b/>
                <w:bCs/>
                <w:kern w:val="44"/>
                <w:sz w:val="32"/>
                <w:szCs w:val="32"/>
              </w:rPr>
            </w:pPr>
          </w:p>
          <w:p w14:paraId="0D1626E6">
            <w:pPr>
              <w:wordWrap w:val="0"/>
              <w:snapToGrid w:val="0"/>
              <w:spacing w:line="279" w:lineRule="auto"/>
              <w:rPr>
                <w:rFonts w:hAnsi="Cambria Math" w:eastAsia="黑体" w:cs="黑体"/>
                <w:b/>
                <w:bCs/>
                <w:kern w:val="44"/>
                <w:sz w:val="32"/>
                <w:szCs w:val="32"/>
              </w:rPr>
            </w:pPr>
          </w:p>
          <w:p w14:paraId="25DEEF24">
            <w:pPr>
              <w:wordWrap w:val="0"/>
              <w:snapToGrid w:val="0"/>
              <w:spacing w:line="279" w:lineRule="auto"/>
              <w:rPr>
                <w:rFonts w:hAnsi="Cambria Math" w:eastAsia="黑体" w:cs="黑体"/>
                <w:b/>
                <w:bCs/>
                <w:kern w:val="44"/>
                <w:sz w:val="32"/>
                <w:szCs w:val="32"/>
              </w:rPr>
            </w:pPr>
          </w:p>
          <w:p w14:paraId="74890AA5">
            <w:pPr>
              <w:wordWrap w:val="0"/>
              <w:snapToGrid w:val="0"/>
              <w:spacing w:line="279" w:lineRule="auto"/>
              <w:rPr>
                <w:rFonts w:hAnsi="Cambria Math" w:eastAsia="黑体" w:cs="黑体"/>
                <w:b/>
                <w:bCs/>
                <w:kern w:val="44"/>
                <w:sz w:val="32"/>
                <w:szCs w:val="32"/>
              </w:rPr>
            </w:pPr>
          </w:p>
          <w:p w14:paraId="486A6296">
            <w:pPr>
              <w:wordWrap w:val="0"/>
              <w:snapToGrid w:val="0"/>
              <w:spacing w:line="279" w:lineRule="auto"/>
              <w:rPr>
                <w:rFonts w:ascii="Cambria Math" w:hAnsi="Cambria Math" w:eastAsia="黑体" w:cs="黑体"/>
                <w:kern w:val="44"/>
                <w:sz w:val="32"/>
                <w:szCs w:val="32"/>
                <w:oMath/>
              </w:rPr>
            </w:pPr>
            <w:r>
              <w:drawing>
                <wp:inline distT="0" distB="0" distL="114300" distR="114300">
                  <wp:extent cx="1530350" cy="2181225"/>
                  <wp:effectExtent l="0" t="0" r="6350" b="3175"/>
                  <wp:docPr id="10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8"/>
                          <pic:cNvPicPr>
                            <a:picLocks noChangeAspect="1"/>
                          </pic:cNvPicPr>
                        </pic:nvPicPr>
                        <pic:blipFill>
                          <a:blip r:embed="rId7"/>
                          <a:srcRect b="5051"/>
                          <a:stretch>
                            <a:fillRect/>
                          </a:stretch>
                        </pic:blipFill>
                        <pic:spPr>
                          <a:xfrm>
                            <a:off x="0" y="0"/>
                            <a:ext cx="1530350" cy="2181225"/>
                          </a:xfrm>
                          <a:prstGeom prst="rect">
                            <a:avLst/>
                          </a:prstGeom>
                          <a:noFill/>
                          <a:ln>
                            <a:noFill/>
                          </a:ln>
                        </pic:spPr>
                      </pic:pic>
                    </a:graphicData>
                  </a:graphic>
                </wp:inline>
              </w:drawing>
            </w:r>
          </w:p>
        </w:tc>
        <w:tc>
          <w:tcPr>
            <w:tcW w:w="5717"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tcPr>
          <w:p w14:paraId="3454FE11">
            <w:pPr>
              <w:rPr>
                <w:color w:val="000000"/>
              </w:rPr>
            </w:pPr>
            <w:r>
              <w:t>程明雄 副教授</w:t>
            </w:r>
          </w:p>
          <w:p w14:paraId="3BA3A965">
            <w:r>
              <w:t>程明雄副教授现任海南师范大学经济与管理学院副教授，管理学硕士，中共党员。他长期深耕供应链物流管理、商务经济数据分析与县域经济发展研究领域，兼任海南省发展和改革委员会物流专家库专家、中铁十二局集团电气化工程有限公司供应链物流管理决策专家，并于2020年入选海南省现代物流业专家库，在海南省产业经济与物流领域具有较高的实践影响力。在科研方面，他主持完成海南省宣传部重点研究项目、海南省教育厅研究项目各1项，参与国家自然科学基金项目1项及省部级课题8项，在核心及权威期刊发表论文13篇，出版学术专著1部，并担任清华大学出版社《电子商务理论与实务》教材副主编，近五年指导学生在全国性电子商务大赛中斩获奖项5次，兼具深厚的学术积累与丰富的产教研融合实践经验。</w:t>
            </w:r>
          </w:p>
          <w:p w14:paraId="10A64BA8">
            <w:r>
              <w:rPr>
                <w:rStyle w:val="13"/>
                <w:rFonts w:hint="eastAsia"/>
                <w:color w:val="000000"/>
              </w:rPr>
              <w:t>顾问职责：程明雄副教授将结合其在供应链管理与区域经济领域的专业积累，为本项目在果园、合作社、分选中心、品牌运营方和渠道采购方等场景中的商业化落地提供专业指导，并协助开展项目财务规划与经济效益分析。依托其对海南本土产业生态与政策环境的深刻理解，助力团队优化区域合作路径、供应链协同方案和产业落地策略，推动项目实现高效的市场化与产业化进程。</w:t>
            </w:r>
          </w:p>
          <w:p w14:paraId="56B115D7">
            <w:pPr>
              <w:wordWrap w:val="0"/>
              <w:snapToGrid w:val="0"/>
              <w:spacing w:line="279" w:lineRule="auto"/>
              <w:rPr>
                <w:rFonts w:ascii="Cambria Math" w:hAnsi="Cambria Math" w:eastAsia="黑体" w:cs="黑体"/>
                <w:kern w:val="44"/>
                <w:sz w:val="32"/>
                <w:szCs w:val="32"/>
                <w:oMath/>
              </w:rPr>
            </w:pPr>
          </w:p>
        </w:tc>
      </w:tr>
    </w:tbl>
    <w:p w14:paraId="25ABE80D">
      <w:pPr>
        <w:pStyle w:val="3"/>
      </w:pPr>
      <w:bookmarkStart w:id="9" w:name="_Toc226486245"/>
      <w:bookmarkStart w:id="10" w:name="_Toc32063"/>
      <w:r>
        <w:rPr>
          <w:rFonts w:hint="eastAsia"/>
          <w:lang w:val="en-US" w:eastAsia="zh-CN"/>
        </w:rPr>
        <w:t>7</w:t>
      </w:r>
      <w:r>
        <w:rPr>
          <w:rFonts w:hint="eastAsia"/>
        </w:rPr>
        <w:t>.3 核心</w:t>
      </w:r>
      <w:r>
        <w:rPr>
          <w:rFonts w:hint="eastAsia" w:ascii="微软雅黑" w:hAnsi="微软雅黑" w:eastAsia="微软雅黑" w:cs="微软雅黑"/>
        </w:rPr>
        <w:t>团队</w:t>
      </w:r>
      <w:r>
        <w:rPr>
          <w:rFonts w:hint="eastAsia" w:ascii="MS Gothic" w:hAnsi="MS Gothic" w:eastAsia="MS Gothic" w:cs="MS Gothic"/>
        </w:rPr>
        <w:t>成</w:t>
      </w:r>
      <w:r>
        <w:rPr>
          <w:rFonts w:hint="eastAsia" w:ascii="微软雅黑" w:hAnsi="微软雅黑" w:eastAsia="微软雅黑" w:cs="微软雅黑"/>
        </w:rPr>
        <w:t>员</w:t>
      </w:r>
      <w:r>
        <w:rPr>
          <w:rFonts w:hint="eastAsia" w:ascii="MS Gothic" w:hAnsi="MS Gothic" w:eastAsia="MS Gothic" w:cs="MS Gothic"/>
        </w:rPr>
        <w:t>介</w:t>
      </w:r>
      <w:r>
        <w:rPr>
          <w:rFonts w:hint="eastAsia" w:ascii="微软雅黑" w:hAnsi="微软雅黑" w:eastAsia="微软雅黑" w:cs="微软雅黑"/>
        </w:rPr>
        <w:t>绍</w:t>
      </w:r>
      <w:bookmarkEnd w:id="9"/>
      <w:bookmarkEnd w:id="10"/>
    </w:p>
    <w:p w14:paraId="4EF1FEFB">
      <w:pPr>
        <w:rPr>
          <w:rFonts w:ascii="Cambria Math" w:hAnsi="Cambria Math"/>
          <w:oMath/>
        </w:rPr>
      </w:pPr>
      <w:r>
        <w:rPr>
          <w:rFonts w:hint="eastAsia"/>
        </w:rPr>
        <w:t>团队核心成员均来自海南师范大学相关专业，以人工智能、软件工程、计算机科学与技术为专业背景，兼具算法研发、工程开发、市场运营、财务管理等多元能力。成员平均拥有2项以上学科竞赛国家级/省级奖项，部分核心成员曾参与企业级AI应用落地、大数据处理等实战项目，具备扎实的理论基础与丰富的实践经验。团队成员优势互补、凝聚力强，围绕高光谱分析、农产品数字化与平台化交付持续协同，为橙源智鉴的研发、试点与后续落地提供坚实的人才支撑。</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756"/>
        <w:gridCol w:w="5766"/>
      </w:tblGrid>
      <w:tr w14:paraId="6CA6C0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tcPr>
          <w:p w14:paraId="34CFCF3B">
            <w:pPr>
              <w:keepNext/>
              <w:wordWrap w:val="0"/>
              <w:snapToGrid w:val="0"/>
              <w:spacing w:line="279" w:lineRule="auto"/>
              <w:rPr>
                <w:rFonts w:ascii="Cambria Math" w:hAnsi="Cambria Math" w:cs="宋体"/>
                <w:bCs/>
                <w:szCs w:val="28"/>
              </w:rPr>
            </w:pPr>
          </w:p>
          <w:p w14:paraId="234DE16D">
            <w:pPr>
              <w:keepNext/>
              <w:wordWrap w:val="0"/>
              <w:snapToGrid w:val="0"/>
              <w:spacing w:line="279" w:lineRule="auto"/>
              <w:rPr>
                <w:rFonts w:ascii="Cambria Math" w:hAnsi="Cambria Math" w:cs="宋体"/>
                <w:bCs/>
                <w:szCs w:val="28"/>
              </w:rPr>
            </w:pPr>
          </w:p>
          <w:p w14:paraId="7DCDE803">
            <w:pPr>
              <w:keepNext/>
              <w:wordWrap w:val="0"/>
              <w:snapToGrid w:val="0"/>
              <w:spacing w:line="279" w:lineRule="auto"/>
              <w:rPr>
                <w:rFonts w:ascii="Cambria Math" w:hAnsi="Cambria Math" w:cs="宋体"/>
                <w:bCs/>
                <w:szCs w:val="28"/>
              </w:rPr>
            </w:pPr>
          </w:p>
          <w:p w14:paraId="5F4ABDFD">
            <w:pPr>
              <w:keepNext/>
              <w:wordWrap w:val="0"/>
              <w:snapToGrid w:val="0"/>
              <w:spacing w:line="279" w:lineRule="auto"/>
              <w:rPr>
                <w:rFonts w:ascii="Cambria Math" w:hAnsi="Cambria Math" w:cs="宋体"/>
                <w:bCs/>
                <w:szCs w:val="28"/>
              </w:rPr>
            </w:pPr>
          </w:p>
          <w:p w14:paraId="51677956">
            <w:pPr>
              <w:keepNext/>
              <w:wordWrap w:val="0"/>
              <w:snapToGrid w:val="0"/>
              <w:spacing w:line="279" w:lineRule="auto"/>
              <w:rPr>
                <w:rFonts w:ascii="Cambria Math" w:hAnsi="Cambria Math" w:cs="宋体"/>
                <w:szCs w:val="28"/>
                <w:oMath/>
              </w:rPr>
            </w:pPr>
            <w:r>
              <w:rPr>
                <w:rFonts w:hint="eastAsia" w:ascii="Cambria Math" w:hAnsi="Cambria Math" w:cs="宋体"/>
                <w:bCs/>
                <w:szCs w:val="28"/>
              </w:rPr>
              <w:drawing>
                <wp:inline distT="0" distB="0" distL="114300" distR="114300">
                  <wp:extent cx="1296035" cy="1800225"/>
                  <wp:effectExtent l="0" t="0" r="12065" b="3175"/>
                  <wp:docPr id="105" name="图片 105" descr="彭斯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彭斯逸"/>
                          <pic:cNvPicPr>
                            <a:picLocks noChangeAspect="1"/>
                          </pic:cNvPicPr>
                        </pic:nvPicPr>
                        <pic:blipFill>
                          <a:blip r:embed="rId8"/>
                          <a:stretch>
                            <a:fillRect/>
                          </a:stretch>
                        </pic:blipFill>
                        <pic:spPr>
                          <a:xfrm>
                            <a:off x="0" y="0"/>
                            <a:ext cx="1296035" cy="1800225"/>
                          </a:xfrm>
                          <a:prstGeom prst="rect">
                            <a:avLst/>
                          </a:prstGeom>
                        </pic:spPr>
                      </pic:pic>
                    </a:graphicData>
                  </a:graphic>
                </wp:inline>
              </w:drawing>
            </w:r>
          </w:p>
        </w:tc>
        <w:tc>
          <w:tcPr>
            <w:tcW w:w="5766" w:type="dxa"/>
            <w:tcBorders>
              <w:top w:val="single" w:color="auto" w:sz="12" w:space="0"/>
              <w:left w:val="single" w:color="auto" w:sz="4" w:space="0"/>
              <w:bottom w:val="nil"/>
              <w:right w:val="single" w:color="auto" w:sz="12" w:space="0"/>
            </w:tcBorders>
            <w:tcMar>
              <w:top w:w="-1" w:type="dxa"/>
              <w:left w:w="-1" w:type="dxa"/>
              <w:bottom w:w="-1" w:type="dxa"/>
              <w:right w:w="-1" w:type="dxa"/>
            </w:tcMar>
          </w:tcPr>
          <w:p w14:paraId="09A6BDB3">
            <w:r>
              <w:t>彭斯逸 — 董事长 / 项目负责人</w:t>
            </w:r>
          </w:p>
          <w:p w14:paraId="5CC82D41">
            <w:r>
              <w:rPr>
                <w:rFonts w:hint="eastAsia"/>
              </w:rPr>
              <w:t>彭斯逸为项目负责人，专业成绩位居前列，曾获中国国际大学生创新大赛校级金奖、全国大学生三创赛校级一等奖等竞赛荣誉，具备较强的项目统筹与技术组织能力。其长期聚焦 AI 应用开发与后端工程，在 Python、FastAPI 和数据处理管线方面积累了较强的工程经验，是团队技术路线和整体推进的核心负责人。</w:t>
            </w:r>
          </w:p>
          <w:p w14:paraId="067CFD6B">
            <w:r>
              <w:t>在技术方向上，他深耕AI应用开发与后端工程，</w:t>
            </w:r>
            <w:r>
              <w:rPr>
                <w:rFonts w:hint="eastAsia"/>
              </w:rPr>
              <w:t>熟悉</w:t>
            </w:r>
            <w:r>
              <w:t>Python异步编程及FastAPI框架，在检索增强生成（RAG）领域积累深厚，曾受邀担任Datawhale"RAG技术全栈指南"课程专业助教。他曾于知名软件公司核心研发部实习，主导垂直领域大模型应用落地及数据清洗管线设计，积累了宝贵的工程实战经验。</w:t>
            </w:r>
          </w:p>
          <w:p w14:paraId="0412AD71">
            <w:r>
              <w:rPr>
                <w:rFonts w:hint="eastAsia"/>
              </w:rPr>
              <w:t>在本项目中，他结合AI基础设施预研与多源数据处理的实战经验，全面负责项目战略规划与团队统筹管理，同时主导基于高光谱技术的底层算法构建与智能分析逻辑开发，重点推进橙类产品等级识别、产地溯源和品质分析等核心能力落地，推动平台从样本数据走向实际场景应用。</w:t>
            </w:r>
          </w:p>
          <w:p w14:paraId="5B948B09">
            <w:pPr>
              <w:keepNext/>
              <w:wordWrap w:val="0"/>
              <w:snapToGrid w:val="0"/>
              <w:spacing w:line="279" w:lineRule="auto"/>
              <w:rPr>
                <w:rFonts w:ascii="Cambria Math" w:hAnsi="Cambria Math" w:cs="宋体"/>
                <w:szCs w:val="28"/>
                <w:oMath/>
              </w:rPr>
            </w:pPr>
          </w:p>
        </w:tc>
      </w:tr>
      <w:tr w14:paraId="00DD38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tcPr>
          <w:p w14:paraId="5444D43C">
            <w:pPr>
              <w:keepNext/>
              <w:wordWrap w:val="0"/>
              <w:snapToGrid w:val="0"/>
              <w:spacing w:line="279" w:lineRule="auto"/>
              <w:rPr>
                <w:rFonts w:ascii="Cambria Math" w:hAnsi="Cambria Math" w:cs="宋体"/>
                <w:bCs/>
                <w:szCs w:val="28"/>
              </w:rPr>
            </w:pPr>
          </w:p>
          <w:p w14:paraId="6F8EF735">
            <w:pPr>
              <w:keepNext/>
              <w:wordWrap w:val="0"/>
              <w:snapToGrid w:val="0"/>
              <w:spacing w:line="279" w:lineRule="auto"/>
              <w:rPr>
                <w:rFonts w:ascii="Cambria Math" w:hAnsi="Cambria Math" w:cs="宋体"/>
                <w:bCs/>
                <w:szCs w:val="28"/>
              </w:rPr>
            </w:pPr>
          </w:p>
          <w:p w14:paraId="5AAE9E4B">
            <w:pPr>
              <w:keepNext/>
              <w:wordWrap w:val="0"/>
              <w:snapToGrid w:val="0"/>
              <w:spacing w:line="279" w:lineRule="auto"/>
              <w:rPr>
                <w:rFonts w:ascii="Cambria Math" w:hAnsi="Cambria Math" w:cs="宋体"/>
                <w:bCs/>
                <w:szCs w:val="28"/>
              </w:rPr>
            </w:pPr>
          </w:p>
          <w:p w14:paraId="77FB8EC4">
            <w:pPr>
              <w:keepNext/>
              <w:wordWrap w:val="0"/>
              <w:snapToGrid w:val="0"/>
              <w:spacing w:line="279" w:lineRule="auto"/>
              <w:rPr>
                <w:rFonts w:ascii="Cambria Math" w:hAnsi="Cambria Math" w:cs="宋体"/>
                <w:szCs w:val="28"/>
                <w:oMath/>
              </w:rPr>
            </w:pPr>
            <w:r>
              <w:rPr>
                <w:rFonts w:hint="eastAsia" w:ascii="Cambria Math" w:hAnsi="Cambria Math" w:cs="宋体"/>
                <w:bCs/>
                <w:szCs w:val="28"/>
              </w:rPr>
              <w:drawing>
                <wp:inline distT="0" distB="0" distL="114300" distR="114300">
                  <wp:extent cx="1304290" cy="1826260"/>
                  <wp:effectExtent l="0" t="0" r="3810" b="2540"/>
                  <wp:docPr id="106" name="图片 106" descr="唐天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唐天赐"/>
                          <pic:cNvPicPr>
                            <a:picLocks noChangeAspect="1"/>
                          </pic:cNvPicPr>
                        </pic:nvPicPr>
                        <pic:blipFill>
                          <a:blip r:embed="rId9"/>
                          <a:stretch>
                            <a:fillRect/>
                          </a:stretch>
                        </pic:blipFill>
                        <pic:spPr>
                          <a:xfrm>
                            <a:off x="0" y="0"/>
                            <a:ext cx="1304290" cy="1826260"/>
                          </a:xfrm>
                          <a:prstGeom prst="rect">
                            <a:avLst/>
                          </a:prstGeom>
                        </pic:spPr>
                      </pic:pic>
                    </a:graphicData>
                  </a:graphic>
                </wp:inline>
              </w:drawing>
            </w:r>
          </w:p>
        </w:tc>
        <w:tc>
          <w:tcPr>
            <w:tcW w:w="5766" w:type="dxa"/>
            <w:tcBorders>
              <w:top w:val="single" w:color="auto" w:sz="4" w:space="0"/>
              <w:left w:val="single" w:color="auto" w:sz="4" w:space="0"/>
              <w:bottom w:val="nil"/>
              <w:right w:val="single" w:color="auto" w:sz="12" w:space="0"/>
            </w:tcBorders>
            <w:tcMar>
              <w:top w:w="-1" w:type="dxa"/>
              <w:left w:w="-1" w:type="dxa"/>
              <w:bottom w:w="-1" w:type="dxa"/>
              <w:right w:w="-1" w:type="dxa"/>
            </w:tcMar>
          </w:tcPr>
          <w:p w14:paraId="08A0E826">
            <w:r>
              <w:t>唐天赐 — 技术部</w:t>
            </w:r>
          </w:p>
          <w:p w14:paraId="1FF69F7F">
            <w:r>
              <w:rPr>
                <w:rFonts w:hint="eastAsia"/>
              </w:rPr>
              <w:t>唐天赐具备扎实的算法基础与后端开发能力，曾获计算机设计大赛国家级二等奖、大创项目国家级立项等奖项，能够将模型思路快速落到代码实现和服务开发中。在团队中，他主要承担高光谱特征提取、指标建模和分析服务开发，是核心算法实现成员之一。</w:t>
            </w:r>
          </w:p>
          <w:p w14:paraId="53518CA0">
            <w:r>
              <w:rPr>
                <w:rFonts w:hint="eastAsia"/>
              </w:rPr>
              <w:t>他精通Python、C++、Java等多门编程语言，具备良好的算法思维与工程实现能力，擅长将理论知识融入实际专业场景。在本项目中，他发挥算法实现与后端开发方面的核心优势，主要负责高光谱数据的特征提取、指标建模与分析服务开发，通过高效严谨的逻辑编写，确保系统在处理不同产地、不同批次橙类样本时保持稳定性与识别准确性，为项目技术核心提供坚实支撑。</w:t>
            </w:r>
          </w:p>
          <w:p w14:paraId="7A8CA685">
            <w:pPr>
              <w:keepNext/>
              <w:wordWrap w:val="0"/>
              <w:snapToGrid w:val="0"/>
              <w:spacing w:line="279" w:lineRule="auto"/>
              <w:rPr>
                <w:rFonts w:ascii="Cambria Math" w:hAnsi="Cambria Math" w:cs="宋体"/>
                <w:szCs w:val="28"/>
                <w:oMath/>
              </w:rPr>
            </w:pPr>
          </w:p>
        </w:tc>
      </w:tr>
      <w:tr w14:paraId="434473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tcPr>
          <w:p w14:paraId="41D4F296">
            <w:pPr>
              <w:keepNext/>
              <w:wordWrap w:val="0"/>
              <w:snapToGrid w:val="0"/>
              <w:spacing w:line="279" w:lineRule="auto"/>
              <w:rPr>
                <w:rFonts w:ascii="Cambria Math" w:hAnsi="Cambria Math" w:cs="宋体"/>
                <w:bCs/>
                <w:szCs w:val="28"/>
              </w:rPr>
            </w:pPr>
          </w:p>
          <w:p w14:paraId="216B29E1">
            <w:pPr>
              <w:keepNext/>
              <w:wordWrap w:val="0"/>
              <w:snapToGrid w:val="0"/>
              <w:spacing w:line="279" w:lineRule="auto"/>
              <w:rPr>
                <w:rFonts w:ascii="Cambria Math" w:hAnsi="Cambria Math" w:cs="宋体"/>
                <w:szCs w:val="28"/>
                <w:lang w:eastAsia="zh-CN"/>
                <w:oMath/>
              </w:rPr>
            </w:pPr>
            <w:r>
              <w:rPr>
                <w:rFonts w:hint="eastAsia" w:ascii="Cambria Math" w:hAnsi="Cambria Math" w:cs="宋体"/>
                <w:szCs w:val="28"/>
                <w:lang w:eastAsia="zh-CN"/>
              </w:rPr>
              <w:drawing>
                <wp:inline distT="0" distB="0" distL="114300" distR="114300">
                  <wp:extent cx="1612265" cy="2257425"/>
                  <wp:effectExtent l="0" t="0" r="635" b="3175"/>
                  <wp:docPr id="1" name="图片 1" descr="cfa5cdd6aeb51d142fffdd320e10d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fa5cdd6aeb51d142fffdd320e10dbb2"/>
                          <pic:cNvPicPr>
                            <a:picLocks noChangeAspect="1"/>
                          </pic:cNvPicPr>
                        </pic:nvPicPr>
                        <pic:blipFill>
                          <a:blip r:embed="rId10"/>
                          <a:stretch>
                            <a:fillRect/>
                          </a:stretch>
                        </pic:blipFill>
                        <pic:spPr>
                          <a:xfrm>
                            <a:off x="0" y="0"/>
                            <a:ext cx="1612265" cy="2257425"/>
                          </a:xfrm>
                          <a:prstGeom prst="rect">
                            <a:avLst/>
                          </a:prstGeom>
                        </pic:spPr>
                      </pic:pic>
                    </a:graphicData>
                  </a:graphic>
                </wp:inline>
              </w:drawing>
            </w:r>
          </w:p>
        </w:tc>
        <w:tc>
          <w:tcPr>
            <w:tcW w:w="5766" w:type="dxa"/>
            <w:tcBorders>
              <w:top w:val="single" w:color="auto" w:sz="4" w:space="0"/>
              <w:left w:val="single" w:color="auto" w:sz="4" w:space="0"/>
              <w:bottom w:val="nil"/>
              <w:right w:val="single" w:color="auto" w:sz="12" w:space="0"/>
            </w:tcBorders>
            <w:tcMar>
              <w:top w:w="-1" w:type="dxa"/>
              <w:left w:w="-1" w:type="dxa"/>
              <w:bottom w:w="-1" w:type="dxa"/>
              <w:right w:w="-1" w:type="dxa"/>
            </w:tcMar>
          </w:tcPr>
          <w:p w14:paraId="27326353">
            <w:r>
              <w:t>艾舜杰 — 技术部</w:t>
            </w:r>
          </w:p>
          <w:p w14:paraId="53191EAC">
            <w:r>
              <w:rPr>
                <w:rFonts w:hint="eastAsia"/>
              </w:rPr>
              <w:t>艾舜杰具备前后端协同开发基础，掌握 Java、C++、Python、Vue 等技术栈，能够完成系统模块集成与功能联调。在团队中，他重点负责上传分析、结果展示、历史回看和报告导出等功能衔接，保障平台使用流程完整可跑。</w:t>
            </w:r>
          </w:p>
          <w:p w14:paraId="05BA9D2E">
            <w:r>
              <w:rPr>
                <w:rFonts w:hint="eastAsia"/>
              </w:rPr>
              <w:t>在本项目中，他主要负责系统各功能模块的集成开发与前端功能实现，利用其全栈开发基础推进上传分析、结果展示、历史回看和报告导出等功能的高效衔接，重点保障平台在试点场景中的流畅运行与功能完整闭环。他希望通过持续的项目实践不断积累软件开发经验，向更高阶的工程能力迈进。</w:t>
            </w:r>
          </w:p>
          <w:p w14:paraId="632CA861">
            <w:pPr>
              <w:keepNext/>
              <w:wordWrap w:val="0"/>
              <w:snapToGrid w:val="0"/>
              <w:spacing w:line="279" w:lineRule="auto"/>
              <w:rPr>
                <w:rFonts w:ascii="Cambria Math" w:hAnsi="Cambria Math" w:cs="宋体"/>
                <w:szCs w:val="28"/>
                <w:oMath/>
              </w:rPr>
            </w:pPr>
          </w:p>
        </w:tc>
      </w:tr>
      <w:tr w14:paraId="4E38E24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tcPr>
          <w:p w14:paraId="5C5FCDC5">
            <w:pPr>
              <w:keepNext/>
              <w:wordWrap w:val="0"/>
              <w:snapToGrid w:val="0"/>
              <w:spacing w:line="279" w:lineRule="auto"/>
              <w:rPr>
                <w:rFonts w:ascii="Cambria Math" w:hAnsi="Cambria Math" w:cs="宋体"/>
                <w:bCs/>
                <w:szCs w:val="28"/>
              </w:rPr>
            </w:pPr>
          </w:p>
          <w:p w14:paraId="6265E78A">
            <w:pPr>
              <w:keepNext/>
              <w:wordWrap w:val="0"/>
              <w:snapToGrid w:val="0"/>
              <w:spacing w:line="279" w:lineRule="auto"/>
              <w:rPr>
                <w:rFonts w:ascii="Cambria Math" w:hAnsi="Cambria Math" w:cs="宋体"/>
                <w:szCs w:val="28"/>
                <w:oMath/>
              </w:rPr>
            </w:pPr>
            <w:r>
              <w:rPr>
                <w:rFonts w:hint="eastAsia" w:ascii="Cambria Math" w:hAnsi="Cambria Math" w:cs="宋体"/>
                <w:bCs/>
                <w:szCs w:val="28"/>
              </w:rPr>
              <w:drawing>
                <wp:inline distT="0" distB="0" distL="114300" distR="114300">
                  <wp:extent cx="1325245" cy="1645285"/>
                  <wp:effectExtent l="0" t="0" r="8255" b="5715"/>
                  <wp:docPr id="109" name="图片 109" descr="游亚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游亚楠"/>
                          <pic:cNvPicPr>
                            <a:picLocks noChangeAspect="1"/>
                          </pic:cNvPicPr>
                        </pic:nvPicPr>
                        <pic:blipFill>
                          <a:blip r:embed="rId11"/>
                          <a:srcRect l="16797" r="16260" b="16943"/>
                          <a:stretch>
                            <a:fillRect/>
                          </a:stretch>
                        </pic:blipFill>
                        <pic:spPr>
                          <a:xfrm>
                            <a:off x="0" y="0"/>
                            <a:ext cx="1325245" cy="1645285"/>
                          </a:xfrm>
                          <a:prstGeom prst="rect">
                            <a:avLst/>
                          </a:prstGeom>
                        </pic:spPr>
                      </pic:pic>
                    </a:graphicData>
                  </a:graphic>
                </wp:inline>
              </w:drawing>
            </w:r>
          </w:p>
        </w:tc>
        <w:tc>
          <w:tcPr>
            <w:tcW w:w="5766" w:type="dxa"/>
            <w:tcBorders>
              <w:top w:val="single" w:color="auto" w:sz="4" w:space="0"/>
              <w:left w:val="single" w:color="auto" w:sz="4" w:space="0"/>
              <w:bottom w:val="nil"/>
              <w:right w:val="single" w:color="auto" w:sz="12" w:space="0"/>
            </w:tcBorders>
            <w:tcMar>
              <w:top w:w="-1" w:type="dxa"/>
              <w:left w:w="-1" w:type="dxa"/>
              <w:bottom w:w="-1" w:type="dxa"/>
              <w:right w:w="-1" w:type="dxa"/>
            </w:tcMar>
          </w:tcPr>
          <w:p w14:paraId="7A708553">
            <w:r>
              <w:t>游亚楠 — 市场营销部</w:t>
            </w:r>
          </w:p>
          <w:p w14:paraId="49B7CC72">
            <w:r>
              <w:rPr>
                <w:rFonts w:hint="eastAsia"/>
              </w:rPr>
              <w:t>游亚楠具备宣传策划、需求分析和用户沟通能力，能够从市场侧梳理果园、合作社、分选中心、品牌方和渠道方的真实诉求。在团队中，她主要负责调研、客户画像、传播方案和推广路径设计，是项目商业表达的重要承担者。</w:t>
            </w:r>
          </w:p>
          <w:p w14:paraId="2B2AFEAB">
            <w:r>
              <w:rPr>
                <w:rFonts w:hint="eastAsia"/>
              </w:rPr>
              <w:t>在本项目中，她负责市场调研与商业推广策略的制定，围绕果园、合作社、分选中心、品牌运营方和渠道采购方等目标客户开展需求分析，精准识别橙类产品在分级、验货、溯源和品牌表达中的核心痛点与决策逻辑。她致力于通过系统化的品牌传播与渠道拓展行动，提升项目的市场影响力与商业转化潜力，在实践中持续提升自身的综合业务水平。</w:t>
            </w:r>
          </w:p>
          <w:p w14:paraId="2B78A403">
            <w:pPr>
              <w:keepNext/>
              <w:wordWrap w:val="0"/>
              <w:snapToGrid w:val="0"/>
              <w:spacing w:line="279" w:lineRule="auto"/>
              <w:rPr>
                <w:rFonts w:ascii="Cambria Math" w:hAnsi="Cambria Math" w:cs="宋体"/>
                <w:szCs w:val="28"/>
                <w:oMath/>
              </w:rPr>
            </w:pPr>
          </w:p>
        </w:tc>
      </w:tr>
      <w:tr w14:paraId="380B63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tcPr>
          <w:p w14:paraId="774D99CD">
            <w:pPr>
              <w:keepNext/>
              <w:wordWrap w:val="0"/>
              <w:snapToGrid w:val="0"/>
              <w:spacing w:line="279" w:lineRule="auto"/>
              <w:rPr>
                <w:rFonts w:ascii="Cambria Math" w:hAnsi="Cambria Math" w:cs="宋体"/>
                <w:bCs/>
                <w:szCs w:val="28"/>
              </w:rPr>
            </w:pPr>
          </w:p>
          <w:p w14:paraId="77124FC5">
            <w:pPr>
              <w:keepNext/>
              <w:wordWrap w:val="0"/>
              <w:snapToGrid w:val="0"/>
              <w:spacing w:line="279" w:lineRule="auto"/>
              <w:rPr>
                <w:rFonts w:ascii="Cambria Math" w:hAnsi="Cambria Math" w:cs="宋体"/>
                <w:szCs w:val="28"/>
                <w:oMath/>
              </w:rPr>
            </w:pPr>
            <w:r>
              <w:rPr>
                <w:rFonts w:hint="eastAsia" w:ascii="Cambria Math" w:hAnsi="Cambria Math" w:cs="宋体"/>
                <w:bCs/>
                <w:szCs w:val="28"/>
              </w:rPr>
              <w:drawing>
                <wp:inline distT="0" distB="0" distL="114300" distR="114300">
                  <wp:extent cx="1332230" cy="1776730"/>
                  <wp:effectExtent l="0" t="0" r="1270" b="1270"/>
                  <wp:docPr id="110" name="图片 110" descr="王喆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王喆睿"/>
                          <pic:cNvPicPr>
                            <a:picLocks noChangeAspect="1"/>
                          </pic:cNvPicPr>
                        </pic:nvPicPr>
                        <pic:blipFill>
                          <a:blip r:embed="rId12"/>
                          <a:stretch>
                            <a:fillRect/>
                          </a:stretch>
                        </pic:blipFill>
                        <pic:spPr>
                          <a:xfrm>
                            <a:off x="0" y="0"/>
                            <a:ext cx="1332230" cy="1776730"/>
                          </a:xfrm>
                          <a:prstGeom prst="rect">
                            <a:avLst/>
                          </a:prstGeom>
                        </pic:spPr>
                      </pic:pic>
                    </a:graphicData>
                  </a:graphic>
                </wp:inline>
              </w:drawing>
            </w:r>
          </w:p>
        </w:tc>
        <w:tc>
          <w:tcPr>
            <w:tcW w:w="5766" w:type="dxa"/>
            <w:tcBorders>
              <w:top w:val="single" w:color="auto" w:sz="4" w:space="0"/>
              <w:left w:val="single" w:color="auto" w:sz="4" w:space="0"/>
              <w:bottom w:val="nil"/>
              <w:right w:val="single" w:color="auto" w:sz="12" w:space="0"/>
            </w:tcBorders>
            <w:tcMar>
              <w:top w:w="-1" w:type="dxa"/>
              <w:left w:w="-1" w:type="dxa"/>
              <w:bottom w:w="-1" w:type="dxa"/>
              <w:right w:w="-1" w:type="dxa"/>
            </w:tcMar>
          </w:tcPr>
          <w:p w14:paraId="148B33FA">
            <w:r>
              <w:t>王喆睿 — 技术部</w:t>
            </w:r>
          </w:p>
          <w:p w14:paraId="3B55B797">
            <w:r>
              <w:rPr>
                <w:rFonts w:hint="eastAsia"/>
              </w:rPr>
              <w:t>王喆睿具备较强的逻辑分析与算法实现能力，掌握 Python、C、C++ 等技术工具，适合承担模型调优与验证工作。在团队中，他主要负责底层算法优化、逻辑验证和模型稳健性测试，支撑等级识别与产地溯源精度提升。</w:t>
            </w:r>
          </w:p>
          <w:p w14:paraId="6270F76B">
            <w:r>
              <w:rPr>
                <w:rFonts w:hint="eastAsia"/>
              </w:rPr>
              <w:t>在本项目中，他主要负责底层算法的调优与逻辑验证工作，协助项目负责人提升高光谱数据在不同产地、不同批次橙类样本下的识别精度与模型稳健性。通过持续的技术实践与迭代测试，他致力于提升系统的技术深度，确保等级识别和产地溯源逻辑的严密性与科学性，为系统整体分析精度的提升做出贡献。</w:t>
            </w:r>
          </w:p>
          <w:p w14:paraId="22D09C5D">
            <w:pPr>
              <w:keepNext/>
              <w:wordWrap w:val="0"/>
              <w:snapToGrid w:val="0"/>
              <w:spacing w:line="279" w:lineRule="auto"/>
              <w:rPr>
                <w:rFonts w:ascii="Cambria Math" w:hAnsi="Cambria Math" w:cs="宋体"/>
                <w:szCs w:val="28"/>
                <w:oMath/>
              </w:rPr>
            </w:pPr>
          </w:p>
        </w:tc>
      </w:tr>
      <w:tr w14:paraId="1B7D05F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tcPr>
          <w:p w14:paraId="27E64CBE">
            <w:pPr>
              <w:keepNext/>
              <w:wordWrap w:val="0"/>
              <w:snapToGrid w:val="0"/>
              <w:spacing w:line="279" w:lineRule="auto"/>
              <w:rPr>
                <w:rFonts w:ascii="Cambria Math" w:hAnsi="Cambria Math" w:cs="宋体"/>
                <w:bCs/>
                <w:szCs w:val="28"/>
              </w:rPr>
            </w:pPr>
          </w:p>
          <w:p w14:paraId="491ADC81">
            <w:pPr>
              <w:keepNext/>
              <w:wordWrap w:val="0"/>
              <w:snapToGrid w:val="0"/>
              <w:spacing w:line="279" w:lineRule="auto"/>
              <w:rPr>
                <w:rFonts w:ascii="Cambria Math" w:hAnsi="Cambria Math" w:cs="宋体"/>
                <w:bCs/>
                <w:szCs w:val="28"/>
              </w:rPr>
            </w:pPr>
          </w:p>
          <w:p w14:paraId="268A25A5">
            <w:pPr>
              <w:keepNext/>
              <w:wordWrap w:val="0"/>
              <w:snapToGrid w:val="0"/>
              <w:spacing w:line="279" w:lineRule="auto"/>
              <w:rPr>
                <w:rFonts w:ascii="Cambria Math" w:hAnsi="Cambria Math" w:cs="宋体"/>
                <w:szCs w:val="28"/>
                <w:oMath/>
              </w:rPr>
            </w:pPr>
            <w:r>
              <w:rPr>
                <w:rFonts w:hint="eastAsia" w:ascii="Cambria Math" w:hAnsi="Cambria Math" w:cs="宋体"/>
                <w:bCs/>
                <w:szCs w:val="28"/>
              </w:rPr>
              <w:drawing>
                <wp:inline distT="0" distB="0" distL="114300" distR="114300">
                  <wp:extent cx="1327785" cy="1895475"/>
                  <wp:effectExtent l="0" t="0" r="5715" b="9525"/>
                  <wp:docPr id="111" name="图片 111" descr="刘东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刘东森"/>
                          <pic:cNvPicPr>
                            <a:picLocks noChangeAspect="1"/>
                          </pic:cNvPicPr>
                        </pic:nvPicPr>
                        <pic:blipFill>
                          <a:blip r:embed="rId13"/>
                          <a:stretch>
                            <a:fillRect/>
                          </a:stretch>
                        </pic:blipFill>
                        <pic:spPr>
                          <a:xfrm>
                            <a:off x="0" y="0"/>
                            <a:ext cx="1327785" cy="1895475"/>
                          </a:xfrm>
                          <a:prstGeom prst="rect">
                            <a:avLst/>
                          </a:prstGeom>
                        </pic:spPr>
                      </pic:pic>
                    </a:graphicData>
                  </a:graphic>
                </wp:inline>
              </w:drawing>
            </w:r>
          </w:p>
        </w:tc>
        <w:tc>
          <w:tcPr>
            <w:tcW w:w="5766" w:type="dxa"/>
            <w:tcBorders>
              <w:top w:val="single" w:color="auto" w:sz="4" w:space="0"/>
              <w:left w:val="single" w:color="auto" w:sz="4" w:space="0"/>
              <w:bottom w:val="nil"/>
              <w:right w:val="single" w:color="auto" w:sz="12" w:space="0"/>
            </w:tcBorders>
            <w:tcMar>
              <w:top w:w="-1" w:type="dxa"/>
              <w:left w:w="-1" w:type="dxa"/>
              <w:bottom w:w="-1" w:type="dxa"/>
              <w:right w:w="-1" w:type="dxa"/>
            </w:tcMar>
          </w:tcPr>
          <w:p w14:paraId="1CD2EA2F">
            <w:r>
              <w:t>刘东森 — 行政部</w:t>
            </w:r>
          </w:p>
          <w:p w14:paraId="626ECC3D">
            <w:r>
              <w:rPr>
                <w:rFonts w:hint="eastAsia"/>
              </w:rPr>
              <w:t>刘东森在项目组织、材料整理和流程把控方面承担关键支撑角色，能够持续跟踪任务进度并协调团队协作。在团队中，他主要负责日常运营管理、节点推进、申报材料整理和展示材料审核，保障项目推进节奏和文档质量。</w:t>
            </w:r>
          </w:p>
          <w:p w14:paraId="4F9E1EB8">
            <w:r>
              <w:rPr>
                <w:rFonts w:hint="eastAsia"/>
              </w:rPr>
              <w:t>在本项目中，他负责团队的日常运营管理、项目进度跟踪及文档质量把控，协调各部门间的沟通协作，确保信息传递畅通、任务推进有序。通过精准的流程管理与细致的行政支持，他致力于保障橙源智鉴项目按计划节点稳步推进，同时负责各类申报材料、试点文档和对外展示材料的规范整理与质量审核，为项目落地与竞赛评审提供有力支撑。</w:t>
            </w:r>
          </w:p>
          <w:p w14:paraId="000D5B87">
            <w:pPr>
              <w:keepNext/>
              <w:wordWrap w:val="0"/>
              <w:snapToGrid w:val="0"/>
              <w:spacing w:line="279" w:lineRule="auto"/>
              <w:rPr>
                <w:rFonts w:ascii="Cambria Math" w:hAnsi="Cambria Math" w:cs="宋体"/>
                <w:szCs w:val="28"/>
                <w:oMath/>
              </w:rPr>
            </w:pPr>
          </w:p>
        </w:tc>
      </w:tr>
      <w:tr w14:paraId="578BE9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56" w:type="dxa"/>
            <w:tcBorders>
              <w:top w:val="single" w:color="auto" w:sz="4" w:space="0"/>
              <w:left w:val="single" w:color="auto" w:sz="12" w:space="0"/>
              <w:bottom w:val="single" w:color="auto" w:sz="12" w:space="0"/>
              <w:right w:val="nil"/>
            </w:tcBorders>
            <w:tcMar>
              <w:top w:w="-1" w:type="dxa"/>
              <w:left w:w="-1" w:type="dxa"/>
              <w:bottom w:w="-1" w:type="dxa"/>
              <w:right w:w="-1" w:type="dxa"/>
            </w:tcMar>
          </w:tcPr>
          <w:p w14:paraId="265B7A61">
            <w:pPr>
              <w:keepNext/>
              <w:wordWrap w:val="0"/>
              <w:snapToGrid w:val="0"/>
              <w:spacing w:line="279" w:lineRule="auto"/>
              <w:rPr>
                <w:rFonts w:ascii="Cambria Math" w:hAnsi="Cambria Math" w:cs="宋体"/>
                <w:bCs/>
                <w:szCs w:val="28"/>
              </w:rPr>
            </w:pPr>
          </w:p>
          <w:p w14:paraId="1E729695">
            <w:pPr>
              <w:keepNext/>
              <w:wordWrap w:val="0"/>
              <w:snapToGrid w:val="0"/>
              <w:spacing w:line="279" w:lineRule="auto"/>
              <w:rPr>
                <w:rFonts w:ascii="Cambria Math" w:hAnsi="Cambria Math" w:cs="宋体"/>
                <w:szCs w:val="28"/>
                <w:oMath/>
              </w:rPr>
            </w:pPr>
            <w:r>
              <w:rPr>
                <w:rFonts w:hint="eastAsia" w:ascii="Cambria Math" w:hAnsi="Cambria Math" w:cs="宋体"/>
                <w:bCs/>
                <w:szCs w:val="28"/>
              </w:rPr>
              <w:drawing>
                <wp:inline distT="0" distB="0" distL="114300" distR="114300">
                  <wp:extent cx="1330325" cy="1670050"/>
                  <wp:effectExtent l="0" t="0" r="3175" b="6350"/>
                  <wp:docPr id="112" name="图片 112" descr="饶李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饶李充"/>
                          <pic:cNvPicPr>
                            <a:picLocks noChangeAspect="1"/>
                          </pic:cNvPicPr>
                        </pic:nvPicPr>
                        <pic:blipFill>
                          <a:blip r:embed="rId14"/>
                          <a:stretch>
                            <a:fillRect/>
                          </a:stretch>
                        </pic:blipFill>
                        <pic:spPr>
                          <a:xfrm>
                            <a:off x="0" y="0"/>
                            <a:ext cx="1330325" cy="1670050"/>
                          </a:xfrm>
                          <a:prstGeom prst="rect">
                            <a:avLst/>
                          </a:prstGeom>
                        </pic:spPr>
                      </pic:pic>
                    </a:graphicData>
                  </a:graphic>
                </wp:inline>
              </w:drawing>
            </w:r>
          </w:p>
        </w:tc>
        <w:tc>
          <w:tcPr>
            <w:tcW w:w="5766"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tcPr>
          <w:p w14:paraId="2D07A693">
            <w:r>
              <w:t>饶李充 — 财务部</w:t>
            </w:r>
          </w:p>
          <w:p w14:paraId="198E2414">
            <w:r>
              <w:rPr>
                <w:rFonts w:hint="eastAsia"/>
              </w:rPr>
              <w:t>饶李充负责项目财务规划、成本控制和资源对接工作，兼具基础数据处理与执行协调能力。在团队中，他围绕样本采集、理化标定、平台运维和试点实施推进经费精细化管理，为项目竞赛申报和后续试点提供资金安排支持。</w:t>
            </w:r>
          </w:p>
          <w:p w14:paraId="7D0AE276">
            <w:r>
              <w:rPr>
                <w:rFonts w:hint="eastAsia"/>
              </w:rPr>
              <w:t>在本项目中，他负责项目的财务规划、成本控制及资源对接工作，围绕样本采集、理化标定、平台运维和试点实施等环节推进经费的精细化管理，有效提升财务工作效率与数据透明度。他秉持热心学习的态度，通过保障项目研发与试点资金的高效运作，协助团队完成竞赛申报、样本补强和后续落地所需的资金准备工作。</w:t>
            </w:r>
          </w:p>
          <w:p w14:paraId="259EC8D9">
            <w:pPr>
              <w:keepNext/>
              <w:wordWrap w:val="0"/>
              <w:snapToGrid w:val="0"/>
              <w:spacing w:line="279" w:lineRule="auto"/>
              <w:rPr>
                <w:rFonts w:ascii="Cambria Math" w:hAnsi="Cambria Math" w:cs="宋体"/>
                <w:szCs w:val="28"/>
                <w:oMath/>
              </w:rPr>
            </w:pPr>
          </w:p>
        </w:tc>
      </w:tr>
    </w:tbl>
    <w:p w14:paraId="2D8D7856">
      <w:pPr>
        <w:pStyle w:val="3"/>
      </w:pPr>
      <w:bookmarkStart w:id="11" w:name="_Toc22083"/>
      <w:bookmarkStart w:id="12" w:name="_Toc43"/>
      <w:bookmarkStart w:id="13" w:name="_Toc226486246"/>
      <w:r>
        <w:rPr>
          <w:rFonts w:hint="eastAsia"/>
          <w:lang w:val="en-US" w:eastAsia="zh-CN"/>
        </w:rPr>
        <w:t>7</w:t>
      </w:r>
      <w:r>
        <w:rPr>
          <w:rFonts w:hint="eastAsia"/>
        </w:rPr>
        <w:t xml:space="preserve">.4 </w:t>
      </w:r>
      <w:r>
        <w:rPr>
          <w:rFonts w:hint="eastAsia" w:ascii="微软雅黑" w:hAnsi="微软雅黑" w:eastAsia="微软雅黑" w:cs="微软雅黑"/>
        </w:rPr>
        <w:t>团队</w:t>
      </w:r>
      <w:r>
        <w:rPr>
          <w:rFonts w:hint="eastAsia" w:ascii="MS Gothic" w:hAnsi="MS Gothic" w:eastAsia="MS Gothic" w:cs="MS Gothic"/>
        </w:rPr>
        <w:t>核心</w:t>
      </w:r>
      <w:r>
        <w:rPr>
          <w:rFonts w:hint="eastAsia" w:ascii="微软雅黑" w:hAnsi="微软雅黑" w:eastAsia="微软雅黑" w:cs="微软雅黑"/>
        </w:rPr>
        <w:t>优势</w:t>
      </w:r>
      <w:bookmarkEnd w:id="11"/>
      <w:bookmarkEnd w:id="12"/>
      <w:bookmarkEnd w:id="13"/>
    </w:p>
    <w:p w14:paraId="274E4858">
      <w:bookmarkStart w:id="14" w:name="_Toc5846"/>
      <w:r>
        <w:rPr>
          <w:rFonts w:hint="eastAsia"/>
        </w:rPr>
        <w:t>（1）专业互补，能力全覆盖</w:t>
      </w:r>
      <w:bookmarkEnd w:id="14"/>
    </w:p>
    <w:p w14:paraId="013A2E4A">
      <w:r>
        <w:rPr>
          <w:rFonts w:hint="eastAsia"/>
        </w:rPr>
        <w:t>团队的最大优势是分工贴着项目走。技术成员负责样本处理、模型训练和平台开发，市场成员负责客户调研和推广路径，财务与行政成员负责预算、申报和过程管理，整支队伍能够把研发、交付和竞赛材料同步推进，而不是各做一段。</w:t>
      </w:r>
    </w:p>
    <w:p w14:paraId="300E89F3">
      <w:bookmarkStart w:id="15" w:name="_Toc13392"/>
      <w:r>
        <w:rPr>
          <w:rFonts w:hint="eastAsia"/>
        </w:rPr>
        <w:t>（2）产学研融合，技术支撑坚实</w:t>
      </w:r>
      <w:bookmarkEnd w:id="15"/>
    </w:p>
    <w:p w14:paraId="38CF0A8B">
      <w:r>
        <w:rPr>
          <w:rFonts w:hint="eastAsia"/>
        </w:rPr>
        <w:t>团队依托海南师范大学的实验室、师资和孵化资源推进项目，既有算法与系统方向的专业指导，也有商业化和区域合作方向的外部支持。对于需要同时兼顾技术深度和竞赛落地的项目而言，这种资源结构能显著提高推进效率。</w:t>
      </w:r>
    </w:p>
    <w:p w14:paraId="79D43E9D">
      <w:bookmarkStart w:id="16" w:name="_Toc31087"/>
      <w:r>
        <w:rPr>
          <w:rFonts w:hint="eastAsia"/>
        </w:rPr>
        <w:t>（3）实战经验丰富，创新能力突出</w:t>
      </w:r>
      <w:bookmarkEnd w:id="16"/>
    </w:p>
    <w:p w14:paraId="5E72F389">
      <w:r>
        <w:rPr>
          <w:rFonts w:hint="eastAsia"/>
        </w:rPr>
        <w:t>团队成员既有学科竞赛积累，也有工程开发和项目协作经验，能够把抽象需求快速转成页面、模型、报告和展示材料。对竞赛项目来说，这种“边做边交付”的能力比单纯获奖经历更关键。</w:t>
      </w:r>
    </w:p>
    <w:p w14:paraId="7AF5BB30">
      <w:bookmarkStart w:id="17" w:name="_Toc29790"/>
      <w:r>
        <w:rPr>
          <w:rFonts w:hint="eastAsia"/>
        </w:rPr>
        <w:t>（4）深耕本土，贴合市场需求</w:t>
      </w:r>
      <w:bookmarkEnd w:id="17"/>
    </w:p>
    <w:p w14:paraId="401B1A45">
      <w:r>
        <w:rPr>
          <w:rFonts w:hint="eastAsia"/>
        </w:rPr>
        <w:t>团队长期围绕海南本地特色果品场景推进项目，对澄迈福橙、琼中绿橙等对象的产业诉求、样本特点和场景需求更熟悉。项目因此不是脱离产业环境的技术拼装，而是贴着本地应用问题生长出来的。</w:t>
      </w:r>
    </w:p>
    <w:p w14:paraId="178A5C18">
      <w:pPr>
        <w:pStyle w:val="9"/>
        <w:widowControl/>
        <w:spacing w:before="240" w:beforeAutospacing="0" w:after="160" w:afterAutospacing="0" w:line="400" w:lineRule="auto"/>
        <w:rPr>
          <w:rFonts w:ascii="黑体" w:hAnsi="黑体" w:eastAsia="黑体"/>
          <w:b/>
          <w:color w:val="000000"/>
          <w:sz w:val="32"/>
        </w:rPr>
      </w:pPr>
      <w:r>
        <w:rPr>
          <w:rFonts w:ascii="黑体" w:hAnsi="黑体" w:eastAsia="黑体"/>
          <w:b/>
          <w:color w:val="000000"/>
          <w:sz w:val="32"/>
        </w:rPr>
        <w:t>附录</w:t>
      </w:r>
    </w:p>
    <w:p w14:paraId="4DAFBB51">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附录 A：数据集说明与样本统计</w:t>
      </w:r>
    </w:p>
    <w:p w14:paraId="679A4445">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​（1）样本来源：</w:t>
      </w:r>
    </w:p>
    <w:p w14:paraId="59BC3DC8">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澄迈福橙（CM）：120 个样本，采集于澄迈县福山橙种植基地，采摘时间 2025 年 11-12 月</w:t>
      </w:r>
    </w:p>
    <w:p w14:paraId="0DEDB96C">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琼中绿橙（QZ）：100 个样本，采集于琼中县绿橙种植基地，采摘时间 2025 年 11-12 月</w:t>
      </w:r>
    </w:p>
    <w:p w14:paraId="4AE1097B">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总计：220 个样本</w:t>
      </w:r>
    </w:p>
    <w:p w14:paraId="6FE32769">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​（2）样本分布：</w:t>
      </w:r>
    </w:p>
    <w:p w14:paraId="77CF90B2">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训练集：176 个样本（80%）</w:t>
      </w:r>
    </w:p>
    <w:p w14:paraId="054D233F">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测试集：44 个样本（20%）</w:t>
      </w:r>
    </w:p>
    <w:p w14:paraId="493FDC7F">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澄迈：琼中 = 120:100 ≈ 6:5（接近自然分布）</w:t>
      </w:r>
    </w:p>
    <w:p w14:paraId="674777DC">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​（3）理化指标统计：</w:t>
      </w:r>
    </w:p>
    <w:p w14:paraId="45F5149F">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糖度：范围 10.2-15.8Brix，均值 13.1Brix，标准差 1.2Brix</w:t>
      </w:r>
    </w:p>
    <w:p w14:paraId="3647FB8A">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酸度：范围 0.7-1.6%，均值 1.1%，标准差 0.2%</w:t>
      </w:r>
    </w:p>
    <w:p w14:paraId="0409C11A">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维生素 C：范围 25-65mg/100g，均值 42mg/100g，标准差 8mg/100g</w:t>
      </w:r>
    </w:p>
    <w:p w14:paraId="5CC2CA93">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​（4）光谱数据统计：</w:t>
      </w:r>
    </w:p>
    <w:p w14:paraId="2D06DE47">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HSI 高光谱：220 个样本×256 波段×空间分辨率 512×512，总数据量约 15GB</w:t>
      </w:r>
    </w:p>
    <w:p w14:paraId="4F3A2C34">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R210 近红外：220 个样本×256 波段，总数据量约 50MB</w:t>
      </w:r>
    </w:p>
    <w:p w14:paraId="6CFE8F59">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S960 近红外：220 个样本×256 波段，总数据量约 50MB</w:t>
      </w:r>
    </w:p>
    <w:p w14:paraId="1596B0A5">
      <w:pPr>
        <w:pStyle w:val="9"/>
        <w:widowControl/>
        <w:spacing w:before="160" w:beforeAutospacing="0" w:after="120" w:afterAutospacing="0" w:line="360" w:lineRule="auto"/>
        <w:rPr>
          <w:rFonts w:ascii="黑体" w:hAnsi="黑体" w:eastAsia="黑体"/>
          <w:b/>
          <w:color w:val="000000"/>
          <w:sz w:val="30"/>
        </w:rPr>
      </w:pPr>
      <w:r>
        <w:rPr>
          <w:rFonts w:ascii="黑体" w:hAnsi="黑体" w:eastAsia="黑体"/>
          <w:b/>
          <w:color w:val="000000"/>
          <w:sz w:val="30"/>
        </w:rPr>
        <w:t>附录 B：模型超参数配置</w:t>
      </w:r>
    </w:p>
    <w:p w14:paraId="1FAD9F77">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​（1）1D-CNN 配置：</w:t>
      </w:r>
    </w:p>
    <w:p w14:paraId="3194C1B7">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卷积层：4 层，卷积核尺寸 [3, 5, 3, 3]，卷积核数量 [32, 64, 128, 256]</w:t>
      </w:r>
    </w:p>
    <w:p w14:paraId="75E22D25">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池化层：最大池化，池化尺寸 2</w:t>
      </w:r>
    </w:p>
    <w:p w14:paraId="24B3FD13">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全连接层：2 层，维度 [256, 128]</w:t>
      </w:r>
    </w:p>
    <w:p w14:paraId="32E97EA8">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Dropout 率：0.3</w:t>
      </w:r>
    </w:p>
    <w:p w14:paraId="153B9487">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学习率：0.001，优化器：Adam</w:t>
      </w:r>
    </w:p>
    <w:p w14:paraId="07C4581F">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批次大小：32，训练轮数：100</w:t>
      </w:r>
    </w:p>
    <w:p w14:paraId="574F6741">
      <w:pPr>
        <w:pStyle w:val="9"/>
        <w:widowControl/>
        <w:spacing w:beforeAutospacing="0" w:after="60" w:afterAutospacing="0" w:line="400" w:lineRule="auto"/>
        <w:jc w:val="both"/>
        <w:rPr>
          <w:rFonts w:ascii="宋体" w:hAnsi="宋体" w:eastAsia="宋体"/>
          <w:color w:val="000000"/>
        </w:rPr>
      </w:pPr>
      <w:r>
        <w:rPr>
          <w:rFonts w:ascii="宋体" w:hAnsi="宋体" w:eastAsia="宋体"/>
          <w:color w:val="000000"/>
        </w:rPr>
        <w:t>​（2）LSTM 配置：</w:t>
      </w:r>
    </w:p>
    <w:p w14:paraId="52556C7F">
      <w:pPr>
        <w:pStyle w:val="9"/>
        <w:widowControl/>
        <w:spacing w:beforeAutospacing="0" w:after="60" w:afterAutospacing="0" w:line="400" w:lineRule="auto"/>
        <w:ind w:firstLine="480"/>
        <w:jc w:val="both"/>
        <w:rPr>
          <w:rFonts w:ascii="宋体" w:hAnsi="宋体" w:eastAsia="宋体"/>
          <w:color w:val="000000"/>
        </w:rPr>
      </w:pPr>
      <w:r>
        <w:rPr>
          <w:rFonts w:ascii="宋体" w:hAnsi="宋体" w:eastAsia="宋体"/>
          <w:color w:val="000000"/>
        </w:rPr>
        <w:t>层数：2 层</w:t>
      </w:r>
    </w:p>
    <w:p w14:paraId="2942DEAB">
      <w:pPr>
        <w:pStyle w:val="9"/>
        <w:widowControl/>
        <w:spacing w:before="80" w:beforeAutospacing="0" w:after="80" w:afterAutospacing="0"/>
        <w:jc w:val="right"/>
        <w:rPr>
          <w:color w:val="000000"/>
        </w:rPr>
      </w:pPr>
    </w:p>
    <w:p w14:paraId="06B6118F">
      <w:pPr>
        <w:pStyle w:val="9"/>
        <w:widowControl/>
        <w:spacing w:before="80" w:beforeAutospacing="0" w:after="80" w:afterAutospacing="0"/>
        <w:rPr>
          <w:color w:val="000000"/>
        </w:rPr>
      </w:pPr>
    </w:p>
    <w:sectPr>
      <w:pgSz w:w="11907" w:h="16839"/>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auto"/>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4357"/>
    <w:rsid w:val="004F4357"/>
    <w:rsid w:val="00790E82"/>
    <w:rsid w:val="00A227F4"/>
    <w:rsid w:val="00F27CD9"/>
    <w:rsid w:val="0160084E"/>
    <w:rsid w:val="12411FD6"/>
    <w:rsid w:val="24C133CA"/>
    <w:rsid w:val="3B1E34B0"/>
    <w:rsid w:val="7B6459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7"/>
    <w:qFormat/>
    <w:uiPriority w:val="0"/>
    <w:pPr>
      <w:tabs>
        <w:tab w:val="center" w:pos="4153"/>
        <w:tab w:val="right" w:pos="8306"/>
      </w:tabs>
      <w:snapToGrid w:val="0"/>
      <w:jc w:val="left"/>
    </w:pPr>
    <w:rPr>
      <w:sz w:val="18"/>
      <w:szCs w:val="18"/>
    </w:rPr>
  </w:style>
  <w:style w:type="paragraph" w:styleId="7">
    <w:name w:val="header"/>
    <w:basedOn w:val="1"/>
    <w:link w:val="16"/>
    <w:qFormat/>
    <w:uiPriority w:val="0"/>
    <w:pPr>
      <w:tabs>
        <w:tab w:val="center" w:pos="4153"/>
        <w:tab w:val="right" w:pos="8306"/>
      </w:tabs>
      <w:snapToGrid w:val="0"/>
      <w:jc w:val="center"/>
    </w:pPr>
    <w:rPr>
      <w:sz w:val="18"/>
      <w:szCs w:val="18"/>
    </w:r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9">
    <w:name w:val="Normal (Web)"/>
    <w:basedOn w:val="1"/>
    <w:qFormat/>
    <w:uiPriority w:val="0"/>
    <w:pPr>
      <w:spacing w:beforeAutospacing="1" w:afterAutospacing="1"/>
      <w:jc w:val="left"/>
    </w:pPr>
    <w:rPr>
      <w:rFonts w:cs="Times New Roman"/>
      <w:kern w:val="0"/>
      <w:sz w:val="24"/>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Emphasis"/>
    <w:basedOn w:val="12"/>
    <w:qFormat/>
    <w:uiPriority w:val="20"/>
    <w:rPr>
      <w:i/>
      <w:iCs/>
    </w:rPr>
  </w:style>
  <w:style w:type="character" w:styleId="15">
    <w:name w:val="HTML Code"/>
    <w:basedOn w:val="12"/>
    <w:qFormat/>
    <w:uiPriority w:val="0"/>
    <w:rPr>
      <w:rFonts w:ascii="Courier New" w:hAnsi="Courier New"/>
      <w:sz w:val="20"/>
    </w:rPr>
  </w:style>
  <w:style w:type="character" w:customStyle="1" w:styleId="16">
    <w:name w:val="页眉 字符"/>
    <w:basedOn w:val="12"/>
    <w:link w:val="7"/>
    <w:qFormat/>
    <w:uiPriority w:val="0"/>
    <w:rPr>
      <w:rFonts w:asciiTheme="minorHAnsi" w:hAnsiTheme="minorHAnsi" w:eastAsiaTheme="minorEastAsia" w:cstheme="minorBidi"/>
      <w:kern w:val="2"/>
      <w:sz w:val="18"/>
      <w:szCs w:val="18"/>
    </w:rPr>
  </w:style>
  <w:style w:type="character" w:customStyle="1" w:styleId="17">
    <w:name w:val="页脚 字符"/>
    <w:basedOn w:val="12"/>
    <w:link w:val="6"/>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62</Pages>
  <Words>18682</Words>
  <Characters>22169</Characters>
  <Lines>541</Lines>
  <Paragraphs>629</Paragraphs>
  <TotalTime>1</TotalTime>
  <ScaleCrop>false</ScaleCrop>
  <LinksUpToDate>false</LinksUpToDate>
  <CharactersWithSpaces>23319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2026-04-07T12:51:00Z</dcterms:created>
  <dc:creator>Lenovo</dc:creator>
  <cp:lastModifiedBy>WPS_1641114784</cp:lastModifiedBy>
  <dcterms:modified xsi:type="dcterms:W3CDTF">2026-04-07T14:59:47Z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eyJoZGlkIjoiMDljYzUzMWQ4OWI0YzBkYjYzMDRhZTY5ZjZkYmFmYTgiLCJ1c2VySWQiOiIxMzA2ODM4ODIzIn0=</vt:lpwstr>
  </property>
  <property fmtid="{D5CDD505-2E9C-101B-9397-08002B2CF9AE}" pid="4" name="ICV">
    <vt:lpwstr>E2A8ABE8632842E78CF3F4F550A2B905_12</vt:lpwstr>
  </property>
</Properties>
</file>