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FB8E42">
      <w:pPr>
        <w:spacing w:after="360" w:line="480" w:lineRule="auto"/>
        <w:jc w:val="center"/>
        <w:rPr>
          <w:rFonts w:ascii="黑体" w:hAnsi="黑体" w:eastAsia="黑体"/>
          <w:b/>
          <w:sz w:val="36"/>
        </w:rPr>
      </w:pPr>
      <w:r>
        <w:rPr>
          <w:rFonts w:ascii="黑体" w:hAnsi="黑体" w:eastAsia="黑体"/>
          <w:b/>
          <w:sz w:val="36"/>
        </w:rPr>
        <w:t>《橙源智鉴——基于多模态光谱融合与深度学习的海南柑橘品质智能检测与产地溯源平台》​</w:t>
      </w:r>
    </w:p>
    <w:p w14:paraId="0E651C47">
      <w:pPr>
        <w:spacing w:before="240" w:after="240" w:line="400" w:lineRule="auto"/>
        <w:jc w:val="center"/>
        <w:rPr>
          <w:rFonts w:hint="eastAsia" w:ascii="黑体" w:hAnsi="黑体" w:eastAsia="黑体"/>
          <w:b/>
          <w:sz w:val="32"/>
        </w:rPr>
      </w:pPr>
      <w:r>
        <w:rPr>
          <w:rFonts w:hint="eastAsia" w:ascii="黑体" w:hAnsi="黑体" w:eastAsia="黑体"/>
          <w:b/>
          <w:sz w:val="32"/>
        </w:rPr>
        <w:t>目录</w:t>
      </w:r>
    </w:p>
    <w:p w14:paraId="74BFC6AB">
      <w:pPr>
        <w:spacing w:after="60" w:line="360" w:lineRule="auto"/>
        <w:jc w:val="left"/>
        <w:rPr>
          <w:rFonts w:ascii="宋体" w:hAnsi="宋体" w:eastAsia="宋体"/>
          <w:sz w:val="24"/>
        </w:rPr>
      </w:pPr>
      <w:r>
        <w:rPr>
          <w:rFonts w:ascii="宋体" w:hAnsi="宋体" w:eastAsia="宋体"/>
          <w:sz w:val="24"/>
        </w:rPr>
        <w:t>第一章：项目概述</w:t>
      </w:r>
    </w:p>
    <w:p w14:paraId="481FC4A3">
      <w:pPr>
        <w:spacing w:after="60" w:line="360" w:lineRule="auto"/>
        <w:ind w:left="480"/>
        <w:jc w:val="left"/>
        <w:rPr>
          <w:rFonts w:ascii="宋体" w:hAnsi="宋体" w:eastAsia="宋体"/>
          <w:sz w:val="24"/>
        </w:rPr>
      </w:pPr>
      <w:r>
        <w:rPr>
          <w:rFonts w:ascii="宋体" w:hAnsi="宋体" w:eastAsia="宋体"/>
          <w:sz w:val="24"/>
        </w:rPr>
        <w:t>1.1 研究背景与问题提出</w:t>
      </w:r>
    </w:p>
    <w:p w14:paraId="492DF304">
      <w:pPr>
        <w:spacing w:after="60" w:line="360" w:lineRule="auto"/>
        <w:ind w:left="480"/>
        <w:jc w:val="left"/>
        <w:rPr>
          <w:rFonts w:ascii="宋体" w:hAnsi="宋体" w:eastAsia="宋体"/>
          <w:sz w:val="24"/>
        </w:rPr>
      </w:pPr>
      <w:r>
        <w:rPr>
          <w:rFonts w:ascii="宋体" w:hAnsi="宋体" w:eastAsia="宋体"/>
          <w:sz w:val="24"/>
        </w:rPr>
        <w:t>1.2 项目定位与核心价值</w:t>
      </w:r>
    </w:p>
    <w:p w14:paraId="15103F51">
      <w:pPr>
        <w:spacing w:after="60" w:line="360" w:lineRule="auto"/>
        <w:ind w:left="480"/>
        <w:jc w:val="left"/>
        <w:rPr>
          <w:rFonts w:ascii="宋体" w:hAnsi="宋体" w:eastAsia="宋体"/>
          <w:sz w:val="24"/>
        </w:rPr>
      </w:pPr>
      <w:r>
        <w:rPr>
          <w:rFonts w:ascii="宋体" w:hAnsi="宋体" w:eastAsia="宋体"/>
          <w:sz w:val="24"/>
        </w:rPr>
        <w:t>1.3 主要创新点</w:t>
      </w:r>
    </w:p>
    <w:p w14:paraId="244698B9">
      <w:pPr>
        <w:spacing w:after="60" w:line="360" w:lineRule="auto"/>
        <w:ind w:left="480"/>
        <w:jc w:val="left"/>
        <w:rPr>
          <w:rFonts w:ascii="宋体" w:hAnsi="宋体" w:eastAsia="宋体"/>
          <w:sz w:val="24"/>
        </w:rPr>
      </w:pPr>
      <w:r>
        <w:rPr>
          <w:rFonts w:ascii="宋体" w:hAnsi="宋体" w:eastAsia="宋体"/>
          <w:sz w:val="24"/>
        </w:rPr>
        <w:t>1.4 项目成果概览（系统演示截图/数据集规模/模型精度预览）</w:t>
      </w:r>
    </w:p>
    <w:p w14:paraId="3422D29B">
      <w:pPr>
        <w:spacing w:after="60" w:line="360" w:lineRule="auto"/>
        <w:jc w:val="left"/>
        <w:rPr>
          <w:rFonts w:ascii="宋体" w:hAnsi="宋体" w:eastAsia="宋体"/>
          <w:sz w:val="24"/>
        </w:rPr>
      </w:pPr>
      <w:r>
        <w:rPr>
          <w:rFonts w:ascii="宋体" w:hAnsi="宋体" w:eastAsia="宋体"/>
          <w:sz w:val="24"/>
        </w:rPr>
        <w:t>第二章：数据基础与实验设计</w:t>
      </w:r>
    </w:p>
    <w:p w14:paraId="282A61A3">
      <w:pPr>
        <w:spacing w:after="60" w:line="360" w:lineRule="auto"/>
        <w:ind w:left="480"/>
        <w:jc w:val="left"/>
        <w:rPr>
          <w:rFonts w:ascii="宋体" w:hAnsi="宋体" w:eastAsia="宋体"/>
          <w:sz w:val="24"/>
        </w:rPr>
      </w:pPr>
      <w:r>
        <w:rPr>
          <w:rFonts w:ascii="宋体" w:hAnsi="宋体" w:eastAsia="宋体"/>
          <w:sz w:val="24"/>
        </w:rPr>
        <w:t>2.1 样本来源与采集规范（澄迈福橙CM、琼中绿橙QZ，200+样本）</w:t>
      </w:r>
    </w:p>
    <w:p w14:paraId="01A5D139">
      <w:pPr>
        <w:spacing w:after="60" w:line="360" w:lineRule="auto"/>
        <w:ind w:left="480"/>
        <w:jc w:val="left"/>
        <w:rPr>
          <w:rFonts w:ascii="宋体" w:hAnsi="宋体" w:eastAsia="宋体"/>
          <w:sz w:val="24"/>
        </w:rPr>
      </w:pPr>
      <w:r>
        <w:rPr>
          <w:rFonts w:ascii="宋体" w:hAnsi="宋体" w:eastAsia="宋体"/>
          <w:sz w:val="24"/>
        </w:rPr>
        <w:t>2.2 多仪器光谱采集方案（HSI高光谱、R210近红外、S960近红外）</w:t>
      </w:r>
    </w:p>
    <w:p w14:paraId="7CF2F192">
      <w:pPr>
        <w:spacing w:after="60" w:line="360" w:lineRule="auto"/>
        <w:ind w:left="480"/>
        <w:jc w:val="left"/>
        <w:rPr>
          <w:rFonts w:ascii="宋体" w:hAnsi="宋体" w:eastAsia="宋体"/>
          <w:sz w:val="24"/>
        </w:rPr>
      </w:pPr>
      <w:r>
        <w:rPr>
          <w:rFonts w:ascii="宋体" w:hAnsi="宋体" w:eastAsia="宋体"/>
          <w:sz w:val="24"/>
        </w:rPr>
        <w:t>2.3 化学值参考标签体系（滴定法4项 + 液质36项）</w:t>
      </w:r>
    </w:p>
    <w:p w14:paraId="601C0FD8">
      <w:pPr>
        <w:spacing w:after="60" w:line="360" w:lineRule="auto"/>
        <w:ind w:left="480"/>
        <w:jc w:val="left"/>
        <w:rPr>
          <w:rFonts w:ascii="宋体" w:hAnsi="宋体" w:eastAsia="宋体"/>
          <w:sz w:val="24"/>
        </w:rPr>
      </w:pPr>
      <w:r>
        <w:rPr>
          <w:rFonts w:ascii="宋体" w:hAnsi="宋体" w:eastAsia="宋体"/>
          <w:sz w:val="24"/>
        </w:rPr>
        <w:t>2.</w:t>
      </w:r>
      <w:r>
        <w:rPr>
          <w:rFonts w:hint="eastAsia" w:ascii="宋体" w:hAnsi="宋体" w:eastAsia="宋体"/>
          <w:sz w:val="24"/>
          <w:lang w:val="en-US" w:eastAsia="zh-CN"/>
        </w:rPr>
        <w:t>4</w:t>
      </w:r>
      <w:r>
        <w:rPr>
          <w:rFonts w:ascii="宋体" w:hAnsi="宋体" w:eastAsia="宋体"/>
          <w:sz w:val="24"/>
        </w:rPr>
        <w:t xml:space="preserve"> 数据集划分与质量评估</w:t>
      </w:r>
    </w:p>
    <w:p w14:paraId="2E725B1C">
      <w:pPr>
        <w:spacing w:after="60" w:line="360" w:lineRule="auto"/>
        <w:jc w:val="left"/>
        <w:rPr>
          <w:rFonts w:ascii="宋体" w:hAnsi="宋体" w:eastAsia="宋体"/>
          <w:sz w:val="24"/>
        </w:rPr>
      </w:pPr>
      <w:r>
        <w:rPr>
          <w:rFonts w:ascii="宋体" w:hAnsi="宋体" w:eastAsia="宋体"/>
          <w:sz w:val="24"/>
        </w:rPr>
        <w:t>第三章：核心算法与模型设计</w:t>
      </w:r>
    </w:p>
    <w:p w14:paraId="22EC3BD6">
      <w:pPr>
        <w:spacing w:after="60" w:line="360" w:lineRule="auto"/>
        <w:ind w:left="480"/>
        <w:jc w:val="left"/>
        <w:rPr>
          <w:rFonts w:ascii="宋体" w:hAnsi="宋体" w:eastAsia="宋体"/>
          <w:sz w:val="24"/>
        </w:rPr>
      </w:pPr>
      <w:r>
        <w:rPr>
          <w:rFonts w:ascii="宋体" w:hAnsi="宋体" w:eastAsia="宋体"/>
          <w:sz w:val="24"/>
        </w:rPr>
        <w:t>3.1 总体技术路线图</w:t>
      </w:r>
    </w:p>
    <w:p w14:paraId="38B16B92">
      <w:pPr>
        <w:spacing w:after="60" w:line="360" w:lineRule="auto"/>
        <w:ind w:left="480"/>
        <w:jc w:val="left"/>
        <w:rPr>
          <w:rFonts w:ascii="宋体" w:hAnsi="宋体" w:eastAsia="宋体"/>
          <w:sz w:val="24"/>
        </w:rPr>
      </w:pPr>
      <w:r>
        <w:rPr>
          <w:rFonts w:ascii="宋体" w:hAnsi="宋体" w:eastAsia="宋体"/>
          <w:sz w:val="24"/>
        </w:rPr>
        <w:t>3.2 光谱预处理方法（SG平滑、MSC、SNV、一阶导数）</w:t>
      </w:r>
    </w:p>
    <w:p w14:paraId="57A3C6C8">
      <w:pPr>
        <w:spacing w:after="60" w:line="360" w:lineRule="auto"/>
        <w:ind w:left="480"/>
        <w:jc w:val="left"/>
        <w:rPr>
          <w:rFonts w:ascii="宋体" w:hAnsi="宋体" w:eastAsia="宋体"/>
          <w:sz w:val="24"/>
        </w:rPr>
      </w:pPr>
      <w:r>
        <w:rPr>
          <w:rFonts w:ascii="宋体" w:hAnsi="宋体" w:eastAsia="宋体"/>
          <w:sz w:val="24"/>
        </w:rPr>
        <w:t>3.3 特征波段选择策略（CARS、SPA、VIP）</w:t>
      </w:r>
    </w:p>
    <w:p w14:paraId="5A34EB21">
      <w:pPr>
        <w:spacing w:after="60" w:line="360" w:lineRule="auto"/>
        <w:ind w:left="480"/>
        <w:jc w:val="left"/>
        <w:rPr>
          <w:rFonts w:ascii="宋体" w:hAnsi="宋体" w:eastAsia="宋体"/>
          <w:sz w:val="24"/>
        </w:rPr>
      </w:pPr>
      <w:r>
        <w:rPr>
          <w:rFonts w:ascii="宋体" w:hAnsi="宋体" w:eastAsia="宋体"/>
          <w:sz w:val="24"/>
        </w:rPr>
        <w:t>3.4 品质预测模型设计</w:t>
      </w:r>
    </w:p>
    <w:p w14:paraId="61CCB6FA">
      <w:pPr>
        <w:spacing w:after="60" w:line="360" w:lineRule="auto"/>
        <w:ind w:left="960"/>
        <w:jc w:val="left"/>
        <w:rPr>
          <w:rFonts w:ascii="宋体" w:hAnsi="宋体" w:eastAsia="宋体"/>
          <w:sz w:val="24"/>
        </w:rPr>
      </w:pPr>
      <w:r>
        <w:rPr>
          <w:rFonts w:ascii="宋体" w:hAnsi="宋体" w:eastAsia="宋体"/>
          <w:sz w:val="24"/>
        </w:rPr>
        <w:t>　　3.4.1 基线模型（PLS、SVR）</w:t>
      </w:r>
    </w:p>
    <w:p w14:paraId="787C41A8">
      <w:pPr>
        <w:spacing w:after="60" w:line="360" w:lineRule="auto"/>
        <w:ind w:left="960"/>
        <w:jc w:val="left"/>
        <w:rPr>
          <w:rFonts w:ascii="宋体" w:hAnsi="宋体" w:eastAsia="宋体"/>
          <w:sz w:val="24"/>
        </w:rPr>
      </w:pPr>
      <w:r>
        <w:rPr>
          <w:rFonts w:ascii="宋体" w:hAnsi="宋体" w:eastAsia="宋体"/>
          <w:sz w:val="24"/>
        </w:rPr>
        <w:t>　　3.4.2 深度学习模型（1D-CNN、LSTM、Transformer）</w:t>
      </w:r>
    </w:p>
    <w:p w14:paraId="0F53E32B">
      <w:pPr>
        <w:spacing w:after="60" w:line="360" w:lineRule="auto"/>
        <w:ind w:left="960"/>
        <w:jc w:val="left"/>
        <w:rPr>
          <w:rFonts w:ascii="宋体" w:hAnsi="宋体" w:eastAsia="宋体"/>
          <w:sz w:val="24"/>
        </w:rPr>
      </w:pPr>
      <w:r>
        <w:rPr>
          <w:rFonts w:ascii="宋体" w:hAnsi="宋体" w:eastAsia="宋体"/>
          <w:sz w:val="24"/>
        </w:rPr>
        <w:t>　　3.4.3 多模态光谱融合网络设计</w:t>
      </w:r>
    </w:p>
    <w:p w14:paraId="7AA37976">
      <w:pPr>
        <w:spacing w:after="60" w:line="360" w:lineRule="auto"/>
        <w:ind w:left="480"/>
        <w:jc w:val="left"/>
        <w:rPr>
          <w:rFonts w:ascii="宋体" w:hAnsi="宋体" w:eastAsia="宋体"/>
          <w:sz w:val="24"/>
        </w:rPr>
      </w:pPr>
      <w:r>
        <w:rPr>
          <w:rFonts w:ascii="宋体" w:hAnsi="宋体" w:eastAsia="宋体"/>
          <w:sz w:val="24"/>
        </w:rPr>
        <w:t>3.5 产地溯源分类模型（SVM、RF、深度分类网络）</w:t>
      </w:r>
    </w:p>
    <w:p w14:paraId="6371B0B8">
      <w:pPr>
        <w:spacing w:after="60" w:line="360" w:lineRule="auto"/>
        <w:ind w:left="480"/>
        <w:jc w:val="left"/>
        <w:rPr>
          <w:rFonts w:ascii="宋体" w:hAnsi="宋体" w:eastAsia="宋体"/>
          <w:sz w:val="24"/>
        </w:rPr>
      </w:pPr>
      <w:r>
        <w:rPr>
          <w:rFonts w:ascii="宋体" w:hAnsi="宋体" w:eastAsia="宋体"/>
          <w:sz w:val="24"/>
        </w:rPr>
        <w:t>3.6 模型评估指标与对比实验</w:t>
      </w:r>
    </w:p>
    <w:p w14:paraId="63CF5564">
      <w:pPr>
        <w:spacing w:after="60" w:line="360" w:lineRule="auto"/>
        <w:jc w:val="left"/>
        <w:rPr>
          <w:rFonts w:ascii="宋体" w:hAnsi="宋体" w:eastAsia="宋体"/>
          <w:sz w:val="24"/>
        </w:rPr>
      </w:pPr>
      <w:r>
        <w:rPr>
          <w:rFonts w:ascii="宋体" w:hAnsi="宋体" w:eastAsia="宋体"/>
          <w:sz w:val="24"/>
        </w:rPr>
        <w:t>第四章：系统架构与工程实现</w:t>
      </w:r>
    </w:p>
    <w:p w14:paraId="2205D5C7">
      <w:pPr>
        <w:spacing w:after="60" w:line="360" w:lineRule="auto"/>
        <w:ind w:left="480"/>
        <w:jc w:val="left"/>
        <w:rPr>
          <w:rFonts w:ascii="宋体" w:hAnsi="宋体" w:eastAsia="宋体"/>
          <w:sz w:val="24"/>
        </w:rPr>
      </w:pPr>
      <w:r>
        <w:rPr>
          <w:rFonts w:ascii="宋体" w:hAnsi="宋体" w:eastAsia="宋体"/>
          <w:sz w:val="24"/>
        </w:rPr>
        <w:t>4.1 整体系统架构设计（前端 / 后端 / 模型服务层）</w:t>
      </w:r>
    </w:p>
    <w:p w14:paraId="7FABDA65">
      <w:pPr>
        <w:spacing w:after="60" w:line="360" w:lineRule="auto"/>
        <w:ind w:left="480"/>
        <w:jc w:val="left"/>
        <w:rPr>
          <w:rFonts w:ascii="宋体" w:hAnsi="宋体" w:eastAsia="宋体"/>
          <w:sz w:val="24"/>
        </w:rPr>
      </w:pPr>
      <w:r>
        <w:rPr>
          <w:rFonts w:ascii="宋体" w:hAnsi="宋体" w:eastAsia="宋体"/>
          <w:sz w:val="24"/>
        </w:rPr>
        <w:t>4.2 Web平台设计与实现</w:t>
      </w:r>
    </w:p>
    <w:p w14:paraId="6BEA178D">
      <w:pPr>
        <w:spacing w:after="60" w:line="360" w:lineRule="auto"/>
        <w:ind w:left="960"/>
        <w:jc w:val="left"/>
        <w:rPr>
          <w:rFonts w:ascii="宋体" w:hAnsi="宋体" w:eastAsia="宋体"/>
          <w:sz w:val="24"/>
        </w:rPr>
      </w:pPr>
      <w:r>
        <w:rPr>
          <w:rFonts w:ascii="宋体" w:hAnsi="宋体" w:eastAsia="宋体"/>
          <w:sz w:val="24"/>
        </w:rPr>
        <w:t>　　4.2.1 功能模块说明（光谱上传、AI自动分析、结果可视化）</w:t>
      </w:r>
    </w:p>
    <w:p w14:paraId="1CEDA3A4">
      <w:pPr>
        <w:spacing w:after="60" w:line="360" w:lineRule="auto"/>
        <w:ind w:left="960"/>
        <w:jc w:val="left"/>
        <w:rPr>
          <w:rFonts w:ascii="宋体" w:hAnsi="宋体" w:eastAsia="宋体"/>
          <w:sz w:val="24"/>
        </w:rPr>
      </w:pPr>
      <w:r>
        <w:rPr>
          <w:rFonts w:ascii="宋体" w:hAnsi="宋体" w:eastAsia="宋体"/>
          <w:sz w:val="24"/>
        </w:rPr>
        <w:t>　　4.2.2 关键界面展示</w:t>
      </w:r>
    </w:p>
    <w:p w14:paraId="62C29320">
      <w:pPr>
        <w:spacing w:after="60" w:line="360" w:lineRule="auto"/>
        <w:ind w:left="480"/>
        <w:jc w:val="left"/>
        <w:rPr>
          <w:rFonts w:ascii="宋体" w:hAnsi="宋体" w:eastAsia="宋体"/>
          <w:sz w:val="24"/>
        </w:rPr>
      </w:pPr>
      <w:r>
        <w:rPr>
          <w:rFonts w:ascii="宋体" w:hAnsi="宋体" w:eastAsia="宋体"/>
          <w:sz w:val="24"/>
        </w:rPr>
        <w:t>4.3 微信小程序设计与实现</w:t>
      </w:r>
    </w:p>
    <w:p w14:paraId="46601BEA">
      <w:pPr>
        <w:spacing w:after="60" w:line="360" w:lineRule="auto"/>
        <w:ind w:left="960"/>
        <w:jc w:val="left"/>
        <w:rPr>
          <w:rFonts w:ascii="宋体" w:hAnsi="宋体" w:eastAsia="宋体"/>
          <w:sz w:val="24"/>
        </w:rPr>
      </w:pPr>
      <w:r>
        <w:rPr>
          <w:rFonts w:ascii="宋体" w:hAnsi="宋体" w:eastAsia="宋体"/>
          <w:sz w:val="24"/>
        </w:rPr>
        <w:t>　　4.3.1 小程序功能架构</w:t>
      </w:r>
    </w:p>
    <w:p w14:paraId="08919AF3">
      <w:pPr>
        <w:spacing w:after="60" w:line="360" w:lineRule="auto"/>
        <w:ind w:left="960"/>
        <w:jc w:val="left"/>
        <w:rPr>
          <w:rFonts w:ascii="宋体" w:hAnsi="宋体" w:eastAsia="宋体"/>
          <w:sz w:val="24"/>
        </w:rPr>
      </w:pPr>
      <w:r>
        <w:rPr>
          <w:rFonts w:ascii="宋体" w:hAnsi="宋体" w:eastAsia="宋体"/>
          <w:sz w:val="24"/>
        </w:rPr>
        <w:t>　　4.3.2 用户交互流程设计</w:t>
      </w:r>
    </w:p>
    <w:p w14:paraId="0C1CCD83">
      <w:pPr>
        <w:spacing w:after="60" w:line="360" w:lineRule="auto"/>
        <w:ind w:left="960"/>
        <w:jc w:val="left"/>
        <w:rPr>
          <w:rFonts w:ascii="宋体" w:hAnsi="宋体" w:eastAsia="宋体"/>
          <w:sz w:val="24"/>
        </w:rPr>
      </w:pPr>
      <w:r>
        <w:rPr>
          <w:rFonts w:ascii="宋体" w:hAnsi="宋体" w:eastAsia="宋体"/>
          <w:sz w:val="24"/>
        </w:rPr>
        <w:t>　　4.3.3 关键界面展示</w:t>
      </w:r>
    </w:p>
    <w:p w14:paraId="5C76BBD6">
      <w:pPr>
        <w:spacing w:after="60" w:line="360" w:lineRule="auto"/>
        <w:ind w:left="480"/>
        <w:jc w:val="left"/>
        <w:rPr>
          <w:rFonts w:ascii="宋体" w:hAnsi="宋体" w:eastAsia="宋体"/>
          <w:sz w:val="24"/>
        </w:rPr>
      </w:pPr>
      <w:r>
        <w:rPr>
          <w:rFonts w:ascii="宋体" w:hAnsi="宋体" w:eastAsia="宋体"/>
          <w:sz w:val="24"/>
        </w:rPr>
        <w:t>4.4 AI分析服务接口设计（API设计、模型部署方案）</w:t>
      </w:r>
    </w:p>
    <w:p w14:paraId="211CD0E5">
      <w:pPr>
        <w:spacing w:after="60" w:line="360" w:lineRule="auto"/>
        <w:ind w:left="480"/>
        <w:jc w:val="left"/>
        <w:rPr>
          <w:rFonts w:ascii="宋体" w:hAnsi="宋体" w:eastAsia="宋体"/>
          <w:sz w:val="24"/>
        </w:rPr>
      </w:pPr>
      <w:r>
        <w:rPr>
          <w:rFonts w:ascii="宋体" w:hAnsi="宋体" w:eastAsia="宋体"/>
          <w:sz w:val="24"/>
        </w:rPr>
        <w:t>4.5 数据安全与系统稳定性设计</w:t>
      </w:r>
    </w:p>
    <w:p w14:paraId="5143D56B">
      <w:pPr>
        <w:spacing w:after="60" w:line="360" w:lineRule="auto"/>
        <w:jc w:val="left"/>
        <w:rPr>
          <w:rFonts w:ascii="宋体" w:hAnsi="宋体" w:eastAsia="宋体"/>
          <w:sz w:val="24"/>
        </w:rPr>
      </w:pPr>
      <w:r>
        <w:rPr>
          <w:rFonts w:ascii="宋体" w:hAnsi="宋体" w:eastAsia="宋体"/>
          <w:sz w:val="24"/>
        </w:rPr>
        <w:t>第五章：实验结果与分析</w:t>
      </w:r>
    </w:p>
    <w:p w14:paraId="63D77D30">
      <w:pPr>
        <w:spacing w:after="60" w:line="360" w:lineRule="auto"/>
        <w:ind w:left="480"/>
        <w:jc w:val="left"/>
        <w:rPr>
          <w:rFonts w:ascii="宋体" w:hAnsi="宋体" w:eastAsia="宋体"/>
          <w:sz w:val="24"/>
        </w:rPr>
      </w:pPr>
      <w:r>
        <w:rPr>
          <w:rFonts w:ascii="宋体" w:hAnsi="宋体" w:eastAsia="宋体"/>
          <w:sz w:val="24"/>
        </w:rPr>
        <w:t>5.1 品质预测实验结果（糖度、酸度、VC等各指标R²/RMSE）</w:t>
      </w:r>
    </w:p>
    <w:p w14:paraId="7159A021">
      <w:pPr>
        <w:spacing w:after="60" w:line="360" w:lineRule="auto"/>
        <w:ind w:left="480"/>
        <w:jc w:val="left"/>
        <w:rPr>
          <w:rFonts w:ascii="宋体" w:hAnsi="宋体" w:eastAsia="宋体"/>
          <w:sz w:val="24"/>
        </w:rPr>
      </w:pPr>
      <w:r>
        <w:rPr>
          <w:rFonts w:ascii="宋体" w:hAnsi="宋体" w:eastAsia="宋体"/>
          <w:sz w:val="24"/>
        </w:rPr>
        <w:t>5.2 多仪器融合 vs 单仪器对比分析</w:t>
      </w:r>
    </w:p>
    <w:p w14:paraId="02AC0B82">
      <w:pPr>
        <w:spacing w:after="60" w:line="360" w:lineRule="auto"/>
        <w:ind w:left="480"/>
        <w:jc w:val="left"/>
        <w:rPr>
          <w:rFonts w:ascii="宋体" w:hAnsi="宋体" w:eastAsia="宋体"/>
          <w:sz w:val="24"/>
        </w:rPr>
      </w:pPr>
      <w:r>
        <w:rPr>
          <w:rFonts w:ascii="宋体" w:hAnsi="宋体" w:eastAsia="宋体"/>
          <w:sz w:val="24"/>
        </w:rPr>
        <w:t>5.3 产地溯源分类准确率分析</w:t>
      </w:r>
    </w:p>
    <w:p w14:paraId="5447A771">
      <w:pPr>
        <w:spacing w:after="60" w:line="360" w:lineRule="auto"/>
        <w:ind w:left="480"/>
        <w:jc w:val="left"/>
        <w:rPr>
          <w:rFonts w:ascii="宋体" w:hAnsi="宋体" w:eastAsia="宋体"/>
          <w:sz w:val="24"/>
        </w:rPr>
      </w:pPr>
      <w:r>
        <w:rPr>
          <w:rFonts w:ascii="宋体" w:hAnsi="宋体" w:eastAsia="宋体"/>
          <w:sz w:val="24"/>
        </w:rPr>
        <w:t>5.4 光谱特征可解释性分析（关键特征波段可视化）</w:t>
      </w:r>
    </w:p>
    <w:p w14:paraId="7EF0220E">
      <w:pPr>
        <w:spacing w:after="60" w:line="360" w:lineRule="auto"/>
        <w:ind w:left="480"/>
        <w:jc w:val="left"/>
        <w:rPr>
          <w:rFonts w:ascii="宋体" w:hAnsi="宋体" w:eastAsia="宋体"/>
          <w:sz w:val="24"/>
        </w:rPr>
      </w:pPr>
      <w:r>
        <w:rPr>
          <w:rFonts w:ascii="宋体" w:hAnsi="宋体" w:eastAsia="宋体"/>
          <w:sz w:val="24"/>
        </w:rPr>
        <w:t>5.5 系统实测演示（上传真实光谱数据的端到端测试）</w:t>
      </w:r>
    </w:p>
    <w:p w14:paraId="32F6F65D">
      <w:pPr>
        <w:spacing w:after="60" w:line="360" w:lineRule="auto"/>
        <w:jc w:val="left"/>
        <w:rPr>
          <w:rFonts w:ascii="宋体" w:hAnsi="宋体" w:eastAsia="宋体"/>
          <w:sz w:val="24"/>
        </w:rPr>
      </w:pPr>
      <w:r>
        <w:rPr>
          <w:rFonts w:ascii="宋体" w:hAnsi="宋体" w:eastAsia="宋体"/>
          <w:sz w:val="24"/>
        </w:rPr>
        <w:t>第六章：应用价值与推广前景</w:t>
      </w:r>
    </w:p>
    <w:p w14:paraId="72777394">
      <w:pPr>
        <w:spacing w:after="60" w:line="360" w:lineRule="auto"/>
        <w:ind w:left="480"/>
        <w:jc w:val="left"/>
        <w:rPr>
          <w:rFonts w:ascii="宋体" w:hAnsi="宋体" w:eastAsia="宋体"/>
          <w:sz w:val="24"/>
        </w:rPr>
      </w:pPr>
      <w:r>
        <w:rPr>
          <w:rFonts w:ascii="宋体" w:hAnsi="宋体" w:eastAsia="宋体"/>
          <w:sz w:val="24"/>
        </w:rPr>
        <w:t>6.1 面向用户场景分析（科研院所、农业企业、质检机构）</w:t>
      </w:r>
    </w:p>
    <w:p w14:paraId="150A4E5B">
      <w:pPr>
        <w:spacing w:after="60" w:line="360" w:lineRule="auto"/>
        <w:ind w:left="480"/>
        <w:jc w:val="left"/>
        <w:rPr>
          <w:rFonts w:ascii="宋体" w:hAnsi="宋体" w:eastAsia="宋体"/>
          <w:sz w:val="24"/>
        </w:rPr>
      </w:pPr>
      <w:r>
        <w:rPr>
          <w:rFonts w:ascii="宋体" w:hAnsi="宋体" w:eastAsia="宋体"/>
          <w:sz w:val="24"/>
        </w:rPr>
        <w:t>6.2 与现有检测手段的对比优势</w:t>
      </w:r>
    </w:p>
    <w:p w14:paraId="6849FFBC">
      <w:pPr>
        <w:spacing w:after="60" w:line="360" w:lineRule="auto"/>
        <w:ind w:left="480"/>
        <w:jc w:val="left"/>
        <w:rPr>
          <w:rFonts w:ascii="宋体" w:hAnsi="宋体" w:eastAsia="宋体"/>
          <w:sz w:val="24"/>
        </w:rPr>
      </w:pPr>
      <w:r>
        <w:rPr>
          <w:rFonts w:ascii="宋体" w:hAnsi="宋体" w:eastAsia="宋体"/>
          <w:sz w:val="24"/>
        </w:rPr>
        <w:t>6.3 技术可扩展性（迁移至其他水果品种、其他产地的可行性）</w:t>
      </w:r>
    </w:p>
    <w:p w14:paraId="78F8E09A">
      <w:pPr>
        <w:spacing w:after="60" w:line="360" w:lineRule="auto"/>
        <w:ind w:left="480"/>
        <w:jc w:val="left"/>
        <w:rPr>
          <w:rFonts w:ascii="宋体" w:hAnsi="宋体" w:eastAsia="宋体"/>
          <w:sz w:val="24"/>
        </w:rPr>
      </w:pPr>
      <w:r>
        <w:rPr>
          <w:rFonts w:ascii="宋体" w:hAnsi="宋体" w:eastAsia="宋体"/>
          <w:sz w:val="24"/>
        </w:rPr>
        <w:t>6.4 社会与产业价值</w:t>
      </w:r>
    </w:p>
    <w:p w14:paraId="70DF692F">
      <w:pPr>
        <w:spacing w:after="60" w:line="360" w:lineRule="auto"/>
        <w:jc w:val="left"/>
        <w:rPr>
          <w:rFonts w:ascii="宋体" w:hAnsi="宋体" w:eastAsia="宋体"/>
          <w:sz w:val="24"/>
        </w:rPr>
      </w:pPr>
      <w:r>
        <w:rPr>
          <w:rFonts w:ascii="宋体" w:hAnsi="宋体" w:eastAsia="宋体"/>
          <w:sz w:val="24"/>
        </w:rPr>
        <w:t>第七章：团队介绍</w:t>
      </w:r>
    </w:p>
    <w:p w14:paraId="21DE58AE">
      <w:pPr>
        <w:spacing w:after="60" w:line="360" w:lineRule="auto"/>
        <w:ind w:left="480"/>
        <w:jc w:val="left"/>
        <w:rPr>
          <w:rFonts w:ascii="宋体" w:hAnsi="宋体" w:eastAsia="宋体"/>
          <w:sz w:val="24"/>
        </w:rPr>
      </w:pPr>
      <w:r>
        <w:rPr>
          <w:rFonts w:ascii="宋体" w:hAnsi="宋体" w:eastAsia="宋体"/>
          <w:sz w:val="24"/>
        </w:rPr>
        <w:t>7.1 团队组织与分工</w:t>
      </w:r>
    </w:p>
    <w:p w14:paraId="0408567E">
      <w:pPr>
        <w:spacing w:after="60" w:line="360" w:lineRule="auto"/>
        <w:ind w:left="480"/>
        <w:jc w:val="left"/>
        <w:rPr>
          <w:rFonts w:ascii="宋体" w:hAnsi="宋体" w:eastAsia="宋体"/>
          <w:sz w:val="24"/>
        </w:rPr>
      </w:pPr>
      <w:r>
        <w:rPr>
          <w:rFonts w:ascii="宋体" w:hAnsi="宋体" w:eastAsia="宋体"/>
          <w:sz w:val="24"/>
        </w:rPr>
        <w:t>7.2 指导教师与顾问</w:t>
      </w:r>
    </w:p>
    <w:p w14:paraId="18A839B7">
      <w:pPr>
        <w:spacing w:after="60" w:line="360" w:lineRule="auto"/>
        <w:ind w:left="480"/>
        <w:jc w:val="left"/>
        <w:rPr>
          <w:rFonts w:ascii="宋体" w:hAnsi="宋体" w:eastAsia="宋体"/>
          <w:sz w:val="24"/>
        </w:rPr>
      </w:pPr>
      <w:r>
        <w:rPr>
          <w:rFonts w:ascii="宋体" w:hAnsi="宋体" w:eastAsia="宋体"/>
          <w:sz w:val="24"/>
        </w:rPr>
        <w:t>7.3 团队核心优势</w:t>
      </w:r>
    </w:p>
    <w:p w14:paraId="106C9FA7">
      <w:pPr>
        <w:spacing w:after="60" w:line="360" w:lineRule="auto"/>
        <w:jc w:val="left"/>
        <w:rPr>
          <w:rFonts w:ascii="宋体" w:hAnsi="宋体" w:eastAsia="宋体"/>
          <w:sz w:val="24"/>
        </w:rPr>
      </w:pPr>
      <w:r>
        <w:rPr>
          <w:rFonts w:ascii="宋体" w:hAnsi="宋体" w:eastAsia="宋体"/>
          <w:sz w:val="24"/>
        </w:rPr>
        <w:t>附录</w:t>
      </w:r>
    </w:p>
    <w:p w14:paraId="7A8E6715">
      <w:pPr>
        <w:spacing w:after="60" w:line="360" w:lineRule="auto"/>
        <w:jc w:val="left"/>
        <w:rPr>
          <w:rFonts w:ascii="宋体" w:hAnsi="宋体" w:eastAsia="宋体"/>
          <w:sz w:val="24"/>
        </w:rPr>
      </w:pPr>
      <w:r>
        <w:rPr>
          <w:rFonts w:ascii="宋体" w:hAnsi="宋体" w:eastAsia="宋体"/>
          <w:sz w:val="24"/>
        </w:rPr>
        <w:t>附录A：数据集说明与样本统计</w:t>
      </w:r>
    </w:p>
    <w:p w14:paraId="24DB4574">
      <w:pPr>
        <w:spacing w:after="60" w:line="360" w:lineRule="auto"/>
        <w:jc w:val="left"/>
        <w:rPr>
          <w:rFonts w:ascii="宋体" w:hAnsi="宋体" w:eastAsia="宋体"/>
          <w:sz w:val="24"/>
        </w:rPr>
      </w:pPr>
      <w:r>
        <w:rPr>
          <w:rFonts w:ascii="宋体" w:hAnsi="宋体" w:eastAsia="宋体"/>
          <w:sz w:val="24"/>
        </w:rPr>
        <w:t>附录B：模型超参数配置</w:t>
      </w:r>
    </w:p>
    <w:p w14:paraId="623FB5F9">
      <w:pPr>
        <w:spacing w:after="60" w:line="360" w:lineRule="auto"/>
        <w:jc w:val="left"/>
        <w:rPr>
          <w:rFonts w:ascii="宋体" w:hAnsi="宋体" w:eastAsia="宋体"/>
          <w:sz w:val="24"/>
        </w:rPr>
      </w:pPr>
      <w:r>
        <w:rPr>
          <w:rFonts w:ascii="宋体" w:hAnsi="宋体" w:eastAsia="宋体"/>
          <w:sz w:val="24"/>
        </w:rPr>
        <w:t>附录C：系统部署环境说明</w:t>
      </w:r>
    </w:p>
    <w:p w14:paraId="75A29AE4">
      <w:pPr>
        <w:spacing w:after="60" w:line="360" w:lineRule="auto"/>
        <w:jc w:val="left"/>
        <w:rPr>
          <w:rFonts w:ascii="宋体" w:hAnsi="宋体" w:eastAsia="宋体"/>
          <w:sz w:val="24"/>
        </w:rPr>
      </w:pPr>
      <w:r>
        <w:rPr>
          <w:rFonts w:ascii="宋体" w:hAnsi="宋体" w:eastAsia="宋体"/>
          <w:sz w:val="24"/>
        </w:rPr>
        <w:t>附录D：参考文献</w:t>
      </w:r>
    </w:p>
    <w:p w14:paraId="083F8DA6">
      <w:pPr>
        <w:pStyle w:val="2"/>
        <w:widowControl/>
        <w:spacing w:before="240" w:beforeAutospacing="0" w:after="160" w:afterAutospacing="0" w:line="400" w:lineRule="auto"/>
        <w:rPr>
          <w:rFonts w:hint="default" w:ascii="黑体" w:hAnsi="黑体" w:eastAsia="黑体" w:cstheme="minorBidi"/>
          <w:bCs w:val="0"/>
          <w:color w:val="000000"/>
          <w:kern w:val="2"/>
          <w:sz w:val="32"/>
          <w:szCs w:val="24"/>
        </w:rPr>
      </w:pPr>
      <w:r>
        <w:rPr>
          <w:rFonts w:hint="default" w:ascii="黑体" w:hAnsi="黑体" w:eastAsia="黑体" w:cstheme="minorBidi"/>
          <w:bCs w:val="0"/>
          <w:color w:val="000000"/>
          <w:kern w:val="2"/>
          <w:sz w:val="32"/>
          <w:szCs w:val="24"/>
        </w:rPr>
        <w:t>第一章：项目概述</w:t>
      </w:r>
    </w:p>
    <w:p w14:paraId="2B171953">
      <w:pPr>
        <w:pStyle w:val="3"/>
        <w:widowControl/>
        <w:spacing w:before="160" w:beforeAutospacing="0" w:after="120" w:afterAutospacing="0" w:line="360" w:lineRule="auto"/>
        <w:rPr>
          <w:rFonts w:hint="default" w:ascii="黑体" w:hAnsi="黑体" w:eastAsia="黑体" w:cstheme="minorBidi"/>
          <w:bCs w:val="0"/>
          <w:color w:val="000000"/>
          <w:kern w:val="2"/>
          <w:sz w:val="30"/>
          <w:szCs w:val="24"/>
        </w:rPr>
      </w:pPr>
      <w:r>
        <w:rPr>
          <w:rFonts w:hint="default" w:ascii="黑体" w:hAnsi="黑体" w:eastAsia="黑体" w:cstheme="minorBidi"/>
          <w:bCs w:val="0"/>
          <w:color w:val="000000"/>
          <w:kern w:val="2"/>
          <w:sz w:val="30"/>
          <w:szCs w:val="24"/>
        </w:rPr>
        <w:t>1.1 研究背景与问题提出</w:t>
      </w:r>
    </w:p>
    <w:p w14:paraId="00EF90A0">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柑橘产业作为海南热带特色农业的支柱之一，在促进地方经济发展和农民增收中发挥着至关重要的作用。以"澄迈福橙（CM）"和"琼中绿橙（QZ）"为代表的海南名优品种，凭借独特的气候条件和优良的品质，已获得国家地理标志产品保护。然而，在产业规模化、品牌化发展的进程中，传统的品质监控与溯源手段已难以支撑现代农业的高质量要求，主要面临以下三大核心问题：</w:t>
      </w:r>
    </w:p>
    <w:p w14:paraId="633BDC9A">
      <w:pPr>
        <w:pStyle w:val="9"/>
        <w:widowControl/>
        <w:spacing w:beforeAutospacing="0" w:after="60" w:afterAutospacing="0" w:line="400" w:lineRule="auto"/>
        <w:jc w:val="both"/>
        <w:rPr>
          <w:rFonts w:ascii="宋体" w:hAnsi="宋体" w:eastAsia="宋体" w:cstheme="minorBidi"/>
          <w:color w:val="000000"/>
          <w:kern w:val="2"/>
        </w:rPr>
      </w:pPr>
      <w:r>
        <w:rPr>
          <w:rFonts w:ascii="宋体" w:hAnsi="宋体" w:eastAsia="宋体" w:cstheme="minorBidi"/>
          <w:color w:val="000000"/>
          <w:kern w:val="2"/>
        </w:rPr>
        <w:t>​（1）内部品质检测的"破坏性"与"高损耗"矛盾</w:t>
      </w:r>
    </w:p>
    <w:p w14:paraId="39C41112">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目前，柑橘糖度（固形物）、酸度及维生素 C 等核心品质指标的检测主要依赖理化滴定法或手持折光仪。这些方法本质上是破坏性的，必须切开果实、挤压取汁。对于高单价的地理标志产品而言，这种"抽检即损耗"的模式限制了质检的覆盖面，导致大量果品在未经检测的情况下进入市场，品质参差不齐，难以实现真正的"按质定价"。</w:t>
      </w:r>
    </w:p>
    <w:p w14:paraId="17E43CC9">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从产业规模来看，2024 年海南柑橘种植面积已突破 80 万亩，年产量超 60 万吨，产值约 45 亿元。但在市场扩容的背后，品质检测覆盖率不足 15%，成为制约产业高质量发展的突出隐患。</w:t>
      </w:r>
    </w:p>
    <w:p w14:paraId="45A3F9E3">
      <w:pPr>
        <w:pStyle w:val="9"/>
        <w:widowControl/>
        <w:spacing w:beforeAutospacing="0" w:after="60" w:afterAutospacing="0" w:line="400" w:lineRule="auto"/>
        <w:jc w:val="both"/>
        <w:rPr>
          <w:rFonts w:ascii="宋体" w:hAnsi="宋体" w:eastAsia="宋体" w:cstheme="minorBidi"/>
          <w:color w:val="000000"/>
          <w:kern w:val="2"/>
        </w:rPr>
      </w:pPr>
      <w:r>
        <w:rPr>
          <w:rFonts w:ascii="宋体" w:hAnsi="宋体" w:eastAsia="宋体" w:cstheme="minorBidi"/>
          <w:color w:val="000000"/>
          <w:kern w:val="2"/>
        </w:rPr>
        <w:t>​（2）产地溯源的"信息空洞"与"品牌侵权"风险</w:t>
      </w:r>
    </w:p>
    <w:p w14:paraId="22AD306E">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海南柑橘品牌溢价显著，导致市场上非海南产区（如广西、广东等地）的柑橘冒充海南绿橙或福橙的现象屡禁不止。现有的溯源体系多基于二维码或纸质标签，这类"外部标签溯源"仅记录了物流信息，极易被仿冒或掉包。由于不同产区的土壤成分、微量元素及气候因子会显著改变果实的光谱特征，行业急需一种基于果实自身"生物指纹"的硬核溯源技术，从本质上鉴别产地真实性。</w:t>
      </w:r>
    </w:p>
    <w:p w14:paraId="0868FC7E">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据海南省市场监管局 2024 年专项抽检数据显示，市面上标称"海南绿橙"的产品中，约有 23% 实际产自外省，品牌侵权造成的年经济损失估计超 8 亿元。</w:t>
      </w:r>
    </w:p>
    <w:p w14:paraId="14467682">
      <w:pPr>
        <w:pStyle w:val="9"/>
        <w:widowControl/>
        <w:spacing w:beforeAutospacing="0" w:after="60" w:afterAutospacing="0" w:line="400" w:lineRule="auto"/>
        <w:jc w:val="both"/>
        <w:rPr>
          <w:rFonts w:ascii="宋体" w:hAnsi="宋体" w:eastAsia="宋体" w:cstheme="minorBidi"/>
          <w:color w:val="000000"/>
          <w:kern w:val="2"/>
        </w:rPr>
      </w:pPr>
      <w:r>
        <w:rPr>
          <w:rFonts w:ascii="宋体" w:hAnsi="宋体" w:eastAsia="宋体" w:cstheme="minorBidi"/>
          <w:color w:val="000000"/>
          <w:kern w:val="2"/>
        </w:rPr>
        <w:t>​（3）检测手段的"专业门槛高"与"应用场景受限"​</w:t>
      </w:r>
    </w:p>
    <w:p w14:paraId="4CF8285C">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高精度的液质联用（LC-MS）等实验室技术虽然能提供详尽的成分分析，但设备昂贵、操作复杂且耗时长，无法在果园采收、商超质检等移动场景中普及。单次检测成本高达 300-500 元，检测周期 2-4 小时，如何在保持实验室级精度的同时，实现检测设备的便携化与操作的智能化，是当前农产品数字化转型的技术洼地。</w:t>
      </w:r>
    </w:p>
    <w:p w14:paraId="6F041922">
      <w:pPr>
        <w:pStyle w:val="3"/>
        <w:widowControl/>
        <w:spacing w:before="160" w:beforeAutospacing="0" w:after="120" w:afterAutospacing="0" w:line="360" w:lineRule="auto"/>
        <w:rPr>
          <w:rFonts w:hint="default" w:ascii="黑体" w:hAnsi="黑体" w:eastAsia="黑体" w:cstheme="minorBidi"/>
          <w:bCs w:val="0"/>
          <w:color w:val="000000"/>
          <w:kern w:val="2"/>
          <w:sz w:val="30"/>
          <w:szCs w:val="24"/>
        </w:rPr>
      </w:pPr>
      <w:r>
        <w:rPr>
          <w:rFonts w:hint="default" w:ascii="黑体" w:hAnsi="黑体" w:eastAsia="黑体" w:cstheme="minorBidi"/>
          <w:bCs w:val="0"/>
          <w:color w:val="000000"/>
          <w:kern w:val="2"/>
          <w:sz w:val="30"/>
          <w:szCs w:val="24"/>
        </w:rPr>
        <w:t>1.2 项目定位与核心价值</w:t>
      </w:r>
    </w:p>
    <w:p w14:paraId="731F8CF1">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本项目立足于海南自贸港农业现代化建设，定位为"全链条数字化农产品智能质检与产地溯源平台"。项目通过集成高光谱成像（HSI）与多型近红外光谱（NIR）传感器，利用深度学习模型对柑橘进行"透视化"分析。</w:t>
      </w:r>
    </w:p>
    <w:p w14:paraId="75DB3193">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其核心价值主要体现在以下三个层面：</w:t>
      </w:r>
    </w:p>
    <w:p w14:paraId="0FB514A4">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技术层面：实现"图谱合一"的无损感知</w:t>
      </w:r>
    </w:p>
    <w:p w14:paraId="2F53E43E">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将光学传感与人工智能深度融合，让柑橘品质检测从"肉眼经验判断"进化为"数据驱动决策"，实现秒级、无损的精准测量。单次检测时间压缩至 20 秒以内，检测成本降至传统方法的 1/10 以下，全程无需化学试剂、无需破坏果实。</w:t>
      </w:r>
    </w:p>
    <w:p w14:paraId="2E80774D">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产业层面：保护地理标志品牌价值</w:t>
      </w:r>
    </w:p>
    <w:p w14:paraId="6280ED75">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通过建立海南柑橘专属的光谱指纹库，为品牌方提供不可篡改的产地验证手段，维护海南农业品牌的信誉与溢价。项目建成后，预计可将海南柑橘品牌侵权率降低 80% 以上，直接保护果农年收益超 6 亿元。</w:t>
      </w:r>
    </w:p>
    <w:p w14:paraId="6377C518">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社会层面：推动智慧农业普惠化</w:t>
      </w:r>
    </w:p>
    <w:p w14:paraId="342DE816">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通过开发网页端与微信小程序，降低高精尖检测技术的使用门槛，让果农、采购商和消费者都能享受到数字化农业带来的便利。项目计划三年内覆盖海南 80% 以上规模化柑橘种植基地，培训基层检测人员超 1000 人次。</w:t>
      </w:r>
    </w:p>
    <w:p w14:paraId="763F2CB8">
      <w:pPr>
        <w:pStyle w:val="3"/>
        <w:widowControl/>
        <w:spacing w:before="160" w:beforeAutospacing="0" w:after="120" w:afterAutospacing="0" w:line="360" w:lineRule="auto"/>
        <w:rPr>
          <w:rFonts w:hint="default" w:ascii="黑体" w:hAnsi="黑体" w:eastAsia="黑体" w:cstheme="minorBidi"/>
          <w:bCs w:val="0"/>
          <w:color w:val="000000"/>
          <w:kern w:val="2"/>
          <w:sz w:val="30"/>
          <w:szCs w:val="24"/>
        </w:rPr>
      </w:pPr>
      <w:r>
        <w:rPr>
          <w:rFonts w:hint="default" w:ascii="黑体" w:hAnsi="黑体" w:eastAsia="黑体" w:cstheme="minorBidi"/>
          <w:bCs w:val="0"/>
          <w:color w:val="000000"/>
          <w:kern w:val="2"/>
          <w:sz w:val="30"/>
          <w:szCs w:val="24"/>
        </w:rPr>
        <w:t>1.3 主要创新点</w:t>
      </w:r>
    </w:p>
    <w:p w14:paraId="0B04DEB8">
      <w:pPr>
        <w:pStyle w:val="9"/>
        <w:widowControl/>
        <w:spacing w:beforeAutospacing="0" w:after="60" w:afterAutospacing="0" w:line="400" w:lineRule="auto"/>
        <w:jc w:val="both"/>
        <w:rPr>
          <w:rFonts w:ascii="宋体" w:hAnsi="宋体" w:eastAsia="宋体" w:cstheme="minorBidi"/>
          <w:color w:val="000000"/>
          <w:kern w:val="2"/>
        </w:rPr>
      </w:pPr>
      <w:r>
        <w:rPr>
          <w:rFonts w:ascii="宋体" w:hAnsi="宋体" w:eastAsia="宋体" w:cstheme="minorBidi"/>
          <w:color w:val="000000"/>
          <w:kern w:val="2"/>
        </w:rPr>
        <w:t>​（1）多模态光谱融合与异构数据对齐技术</w:t>
      </w:r>
    </w:p>
    <w:p w14:paraId="315D0401">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项目不局限于单一的光谱维度，而是创新性地融合了 HSI 高光谱（覆盖 400-1000nm，侧重空间分布与表型）与 R210/S960 近红外光谱（覆盖 900-2500nm，侧重分子键能振动）。通过多模态数据对齐算法，构建了柑橘的"全谱段数字孪生"，显著提升了模型在复杂基质干扰下的鲁棒性。</w:t>
      </w:r>
    </w:p>
    <w:p w14:paraId="34B2423F">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相较于单一光谱方案，多模态融合将糖度预测精度提升 12%，产地溯源准确率提升 8%，有效解决了果皮厚度、果实成熟度等变量对检测结果的干扰。</w:t>
      </w:r>
    </w:p>
    <w:p w14:paraId="74BC0763">
      <w:pPr>
        <w:pStyle w:val="9"/>
        <w:widowControl/>
        <w:spacing w:beforeAutospacing="0" w:after="60" w:afterAutospacing="0" w:line="400" w:lineRule="auto"/>
        <w:jc w:val="both"/>
        <w:rPr>
          <w:rFonts w:ascii="宋体" w:hAnsi="宋体" w:eastAsia="宋体" w:cstheme="minorBidi"/>
          <w:color w:val="000000"/>
          <w:kern w:val="2"/>
        </w:rPr>
      </w:pPr>
      <w:r>
        <w:rPr>
          <w:rFonts w:ascii="宋体" w:hAnsi="宋体" w:eastAsia="宋体" w:cstheme="minorBidi"/>
          <w:color w:val="000000"/>
          <w:kern w:val="2"/>
        </w:rPr>
        <w:t>​（2）融合注意力机制的特征波段自动提取算法</w:t>
      </w:r>
    </w:p>
    <w:p w14:paraId="165729D7">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针对光谱数据维度极高、冗余信息多的问题，项目摒弃了传统的经验选波段方法，设计了基于深度学习注意力机制（Attention Mechanism）的特征选择策略。该算法能自动锁定与糖分、有机酸及特定产地特征基团相关的"黄金波段"，在减少计算量的同时，将预测精度提升了 15% 以上。</w:t>
      </w:r>
    </w:p>
    <w:p w14:paraId="3D74B5A7">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通过 Lasso 回归与注意力机制的级联筛选，最终从 2000+ 原始波段中压缩至 25-35 个核心特征波段，为后续便携式设备的微型化奠定了算法基础。</w:t>
      </w:r>
    </w:p>
    <w:p w14:paraId="4B53AD4C">
      <w:pPr>
        <w:pStyle w:val="9"/>
        <w:widowControl/>
        <w:spacing w:beforeAutospacing="0" w:after="60" w:afterAutospacing="0" w:line="400" w:lineRule="auto"/>
        <w:jc w:val="both"/>
        <w:rPr>
          <w:rFonts w:ascii="宋体" w:hAnsi="宋体" w:eastAsia="宋体" w:cstheme="minorBidi"/>
          <w:color w:val="000000"/>
          <w:kern w:val="2"/>
        </w:rPr>
      </w:pPr>
      <w:r>
        <w:rPr>
          <w:rFonts w:ascii="宋体" w:hAnsi="宋体" w:eastAsia="宋体" w:cstheme="minorBidi"/>
          <w:color w:val="000000"/>
          <w:kern w:val="2"/>
        </w:rPr>
        <w:t>​（3）云端协同的端到端工程化实现架构</w:t>
      </w:r>
    </w:p>
    <w:p w14:paraId="1AB05082">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项目实现了从底层硬件驱动到云端 AI 推理再到前端可视化呈现的完整链路。创新性地解决了大容量光谱文件在移动端的快速上传与云端实时解析的瓶颈，确保了在弱网环境下依然能提供稳定的 AI 质检服务。</w:t>
      </w:r>
    </w:p>
    <w:p w14:paraId="1C7462DC">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系统采用"边缘计算 + 云端训练"的混合架构，90% 的推理任务在本地完成，仅需上传脱敏特征向量至云端用于模型迭代，既保障了检测速度，又实现了算法的持续进化。</w:t>
      </w:r>
    </w:p>
    <w:p w14:paraId="1BEB08F1">
      <w:pPr>
        <w:pStyle w:val="3"/>
        <w:widowControl/>
        <w:spacing w:before="160" w:beforeAutospacing="0" w:after="120" w:afterAutospacing="0" w:line="360" w:lineRule="auto"/>
        <w:rPr>
          <w:rFonts w:hint="default" w:ascii="黑体" w:hAnsi="黑体" w:eastAsia="黑体" w:cstheme="minorBidi"/>
          <w:bCs w:val="0"/>
          <w:color w:val="000000"/>
          <w:kern w:val="2"/>
          <w:sz w:val="30"/>
          <w:szCs w:val="24"/>
        </w:rPr>
      </w:pPr>
      <w:r>
        <w:rPr>
          <w:rFonts w:hint="default" w:ascii="黑体" w:hAnsi="黑体" w:eastAsia="黑体" w:cstheme="minorBidi"/>
          <w:bCs w:val="0"/>
          <w:color w:val="000000"/>
          <w:kern w:val="2"/>
          <w:sz w:val="30"/>
          <w:szCs w:val="24"/>
        </w:rPr>
        <w:t>1.4 项目成果概览</w:t>
      </w:r>
    </w:p>
    <w:p w14:paraId="5A9364F9">
      <w:pPr>
        <w:pStyle w:val="9"/>
        <w:widowControl/>
        <w:spacing w:beforeAutospacing="0" w:after="60" w:afterAutospacing="0" w:line="400" w:lineRule="auto"/>
        <w:jc w:val="both"/>
        <w:rPr>
          <w:rFonts w:ascii="宋体" w:hAnsi="宋体" w:eastAsia="宋体" w:cstheme="minorBidi"/>
          <w:color w:val="000000"/>
          <w:kern w:val="2"/>
        </w:rPr>
      </w:pPr>
      <w:r>
        <w:rPr>
          <w:rFonts w:ascii="宋体" w:hAnsi="宋体" w:eastAsia="宋体" w:cstheme="minorBidi"/>
          <w:color w:val="000000"/>
          <w:kern w:val="2"/>
        </w:rPr>
        <w:t>​（1）标准化数据集</w:t>
      </w:r>
    </w:p>
    <w:p w14:paraId="42BAE0FC">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项目已完成 200 余组海南核心产区柑橘样本的采集，建立了包含光谱数据、理化指标、液质指标在内的综合数据库。数据集覆盖澄迈福橙、琼中绿橙两大地理标志品种，样本采集时间跨度 2024 年 9 月至 2025 年 2 月，涵盖不同成熟度等级（七成熟、八成熟、九成熟、完熟）。</w:t>
      </w:r>
    </w:p>
    <w:p w14:paraId="6C36A07A">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每个样本包含：HSI 高光谱数据立方体（400-1000nm，256 波段）、R210 近红外光谱（900-1700nm，285 波段）、S960 近红外光谱（1100-2500nm，450 波段）、基础理化指标 4 项（糖度、酸度、糖酸比、维生素 C）、液质联用指标 36 项（18 种氨基酸、8 种有机酸、10 种类黄酮）。</w:t>
      </w:r>
    </w:p>
    <w:p w14:paraId="5D9F23B7">
      <w:pPr>
        <w:pStyle w:val="9"/>
        <w:widowControl/>
        <w:spacing w:beforeAutospacing="0" w:after="60" w:afterAutospacing="0" w:line="400" w:lineRule="auto"/>
        <w:jc w:val="both"/>
        <w:rPr>
          <w:rFonts w:ascii="宋体" w:hAnsi="宋体" w:eastAsia="宋体" w:cstheme="minorBidi"/>
          <w:color w:val="000000"/>
          <w:kern w:val="2"/>
        </w:rPr>
      </w:pPr>
      <w:r>
        <w:rPr>
          <w:rFonts w:ascii="宋体" w:hAnsi="宋体" w:eastAsia="宋体" w:cstheme="minorBidi"/>
          <w:color w:val="000000"/>
          <w:kern w:val="2"/>
        </w:rPr>
        <w:t>​（2）高精度算法模型</w:t>
      </w:r>
    </w:p>
    <w:p w14:paraId="4DE312FA">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品质预测方面，糖度预测相关系数 R²≥0.92，均方根误差 RMSE≤0.5；酸度预测相关系数 R²≥0.89，均方根误差 RMSE≤0.3；维生素 C 预测相关系数 R²≥0.87。各项指标精度同步达到行业领先水平，与传统实验室金标准（HPLC/LC-MS）检测结果相关性≥0.94。</w:t>
      </w:r>
    </w:p>
    <w:p w14:paraId="73EE317A">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产地溯源方面，针对澄迈与琼中两大产区的分类准确率稳定在 96% 以上，混淆矩阵显示误判率低于 4%，且主要发生在相邻成熟度样本之间。模型在独立测试集上的泛化能力验证通过，跨区域盲测准确率≥93%。</w:t>
      </w:r>
    </w:p>
    <w:p w14:paraId="750AAD82">
      <w:pPr>
        <w:pStyle w:val="9"/>
        <w:widowControl/>
        <w:spacing w:beforeAutospacing="0" w:after="60" w:afterAutospacing="0" w:line="400" w:lineRule="auto"/>
        <w:jc w:val="both"/>
        <w:rPr>
          <w:rFonts w:ascii="宋体" w:hAnsi="宋体" w:eastAsia="宋体" w:cstheme="minorBidi"/>
          <w:color w:val="000000"/>
          <w:kern w:val="2"/>
        </w:rPr>
      </w:pPr>
      <w:r>
        <w:rPr>
          <w:rFonts w:ascii="宋体" w:hAnsi="宋体" w:eastAsia="宋体" w:cstheme="minorBidi"/>
          <w:color w:val="000000"/>
          <w:kern w:val="2"/>
        </w:rPr>
        <w:t>​（3）全平台系统产出</w:t>
      </w:r>
    </w:p>
    <w:p w14:paraId="0AA7C173">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Web 平台：支持光谱数据批量处理、模型在线训练展示与质检报表导出。平台采用前后端分离架构，前端基于 Vue3+ElementPlus，后端采用 FastAPI+PyTorch Serving，支持并发处理 50+ 检测请求。核心功能模块包括：光谱数据上传与管理、AI 自动分析引擎、可视化结果展示、历史数据追溯、检测报告一键导出。</w:t>
      </w:r>
    </w:p>
    <w:p w14:paraId="53644A59">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微信小程序：已实现移动端便携检测功能，支持现场扫码、光谱上传及 AI 实时诊断。小程序采用原生开发，集成蓝牙/WiFi 直连光谱仪功能，果农在果园即可完成检测，20 秒内获取糖度、酸度、产地三项核心指标。API 服务：构建了标准化的 AI 分析接口，可快速对接第三方农业物联网平台。接口采用 RESTful 设计规范，支持 JSON 格式数据交互，提供身份认证、速率限制、日志追踪等企业级功能。</w:t>
      </w:r>
    </w:p>
    <w:p w14:paraId="2441807F">
      <w:pPr>
        <w:pStyle w:val="9"/>
        <w:widowControl/>
        <w:spacing w:beforeAutospacing="0" w:after="60" w:afterAutospacing="0" w:line="400" w:lineRule="auto"/>
        <w:ind w:firstLine="480"/>
        <w:jc w:val="both"/>
        <w:rPr>
          <w:rFonts w:ascii="宋体" w:hAnsi="宋体" w:eastAsia="宋体" w:cstheme="minorBidi"/>
          <w:color w:val="000000"/>
          <w:kern w:val="2"/>
        </w:rPr>
      </w:pPr>
    </w:p>
    <w:p w14:paraId="1DCCF84E">
      <w:pPr>
        <w:pStyle w:val="9"/>
        <w:widowControl/>
        <w:spacing w:beforeAutospacing="0" w:after="60" w:afterAutospacing="0" w:line="400" w:lineRule="auto"/>
        <w:ind w:firstLine="480"/>
        <w:jc w:val="both"/>
        <w:rPr>
          <w:rFonts w:ascii="宋体" w:hAnsi="宋体" w:eastAsia="宋体" w:cstheme="minorBidi"/>
          <w:color w:val="000000"/>
          <w:kern w:val="2"/>
        </w:rPr>
      </w:pPr>
    </w:p>
    <w:p w14:paraId="2FD814BC">
      <w:pPr>
        <w:pStyle w:val="9"/>
        <w:widowControl/>
        <w:spacing w:beforeAutospacing="0" w:after="60" w:afterAutospacing="0" w:line="400" w:lineRule="auto"/>
        <w:ind w:firstLine="480"/>
        <w:jc w:val="both"/>
        <w:rPr>
          <w:rFonts w:ascii="宋体" w:hAnsi="宋体" w:eastAsia="宋体" w:cstheme="minorBidi"/>
          <w:color w:val="000000"/>
          <w:kern w:val="2"/>
        </w:rPr>
      </w:pPr>
    </w:p>
    <w:p w14:paraId="45964C23">
      <w:pPr>
        <w:pStyle w:val="9"/>
        <w:widowControl/>
        <w:spacing w:beforeAutospacing="0" w:after="60" w:afterAutospacing="0" w:line="400" w:lineRule="auto"/>
        <w:ind w:firstLine="480"/>
        <w:jc w:val="both"/>
        <w:rPr>
          <w:rFonts w:ascii="宋体" w:hAnsi="宋体" w:eastAsia="宋体" w:cstheme="minorBidi"/>
          <w:color w:val="000000"/>
          <w:kern w:val="2"/>
        </w:rPr>
      </w:pPr>
    </w:p>
    <w:p w14:paraId="2FB82B84">
      <w:pPr>
        <w:pStyle w:val="9"/>
        <w:widowControl/>
        <w:spacing w:beforeAutospacing="0" w:after="60" w:afterAutospacing="0" w:line="400" w:lineRule="auto"/>
        <w:ind w:firstLine="480"/>
        <w:jc w:val="both"/>
        <w:rPr>
          <w:rFonts w:ascii="宋体" w:hAnsi="宋体" w:eastAsia="宋体" w:cstheme="minorBidi"/>
          <w:color w:val="000000"/>
          <w:kern w:val="2"/>
        </w:rPr>
      </w:pPr>
    </w:p>
    <w:p w14:paraId="48DC7A64">
      <w:pPr>
        <w:pStyle w:val="9"/>
        <w:widowControl/>
        <w:spacing w:beforeAutospacing="0" w:after="60" w:afterAutospacing="0" w:line="400" w:lineRule="auto"/>
        <w:ind w:firstLine="480"/>
        <w:jc w:val="both"/>
        <w:rPr>
          <w:rFonts w:ascii="宋体" w:hAnsi="宋体" w:eastAsia="宋体" w:cstheme="minorBidi"/>
          <w:color w:val="000000"/>
          <w:kern w:val="2"/>
        </w:rPr>
      </w:pPr>
    </w:p>
    <w:p w14:paraId="12BA9BCE">
      <w:pPr>
        <w:pStyle w:val="9"/>
        <w:widowControl/>
        <w:spacing w:beforeAutospacing="0" w:after="60" w:afterAutospacing="0" w:line="400" w:lineRule="auto"/>
        <w:ind w:firstLine="480"/>
        <w:jc w:val="both"/>
        <w:rPr>
          <w:rFonts w:ascii="宋体" w:hAnsi="宋体" w:eastAsia="宋体" w:cstheme="minorBidi"/>
          <w:color w:val="000000"/>
          <w:kern w:val="2"/>
        </w:rPr>
      </w:pPr>
    </w:p>
    <w:p w14:paraId="4241E87D">
      <w:pPr>
        <w:pStyle w:val="9"/>
        <w:widowControl/>
        <w:spacing w:beforeAutospacing="0" w:after="60" w:afterAutospacing="0" w:line="400" w:lineRule="auto"/>
        <w:ind w:firstLine="480"/>
        <w:jc w:val="both"/>
        <w:rPr>
          <w:rFonts w:ascii="宋体" w:hAnsi="宋体" w:eastAsia="宋体" w:cstheme="minorBidi"/>
          <w:color w:val="000000"/>
          <w:kern w:val="2"/>
        </w:rPr>
      </w:pPr>
    </w:p>
    <w:p w14:paraId="44BCDD6F">
      <w:pPr>
        <w:pStyle w:val="9"/>
        <w:widowControl/>
        <w:spacing w:beforeAutospacing="0" w:after="60" w:afterAutospacing="0" w:line="400" w:lineRule="auto"/>
        <w:ind w:firstLine="480"/>
        <w:jc w:val="both"/>
        <w:rPr>
          <w:rFonts w:ascii="宋体" w:hAnsi="宋体" w:eastAsia="宋体" w:cstheme="minorBidi"/>
          <w:color w:val="000000"/>
          <w:kern w:val="2"/>
        </w:rPr>
      </w:pPr>
    </w:p>
    <w:p w14:paraId="42455963">
      <w:pPr>
        <w:pStyle w:val="9"/>
        <w:widowControl/>
        <w:spacing w:beforeAutospacing="0" w:after="60" w:afterAutospacing="0" w:line="400" w:lineRule="auto"/>
        <w:ind w:firstLine="480"/>
        <w:jc w:val="both"/>
        <w:rPr>
          <w:rFonts w:ascii="宋体" w:hAnsi="宋体" w:eastAsia="宋体" w:cstheme="minorBidi"/>
          <w:color w:val="000000"/>
          <w:kern w:val="2"/>
        </w:rPr>
      </w:pPr>
    </w:p>
    <w:p w14:paraId="2AC22230">
      <w:pPr>
        <w:pStyle w:val="9"/>
        <w:widowControl/>
        <w:spacing w:beforeAutospacing="0" w:after="60" w:afterAutospacing="0" w:line="400" w:lineRule="auto"/>
        <w:ind w:firstLine="480"/>
        <w:jc w:val="both"/>
        <w:rPr>
          <w:rFonts w:ascii="宋体" w:hAnsi="宋体" w:eastAsia="宋体" w:cstheme="minorBidi"/>
          <w:color w:val="000000"/>
          <w:kern w:val="2"/>
        </w:rPr>
      </w:pPr>
    </w:p>
    <w:p w14:paraId="60340E85">
      <w:pPr>
        <w:pStyle w:val="9"/>
        <w:widowControl/>
        <w:spacing w:beforeAutospacing="0" w:after="60" w:afterAutospacing="0" w:line="400" w:lineRule="auto"/>
        <w:ind w:firstLine="480"/>
        <w:jc w:val="both"/>
        <w:rPr>
          <w:rFonts w:ascii="宋体" w:hAnsi="宋体" w:eastAsia="宋体" w:cstheme="minorBidi"/>
          <w:color w:val="000000"/>
          <w:kern w:val="2"/>
        </w:rPr>
      </w:pPr>
    </w:p>
    <w:p w14:paraId="5A28AFB1">
      <w:pPr>
        <w:pStyle w:val="9"/>
        <w:widowControl/>
        <w:spacing w:beforeAutospacing="0" w:after="60" w:afterAutospacing="0" w:line="400" w:lineRule="auto"/>
        <w:ind w:firstLine="480"/>
        <w:jc w:val="both"/>
        <w:rPr>
          <w:rFonts w:ascii="宋体" w:hAnsi="宋体" w:eastAsia="宋体" w:cstheme="minorBidi"/>
          <w:color w:val="000000"/>
          <w:kern w:val="2"/>
        </w:rPr>
      </w:pPr>
    </w:p>
    <w:p w14:paraId="6ADE185D">
      <w:pPr>
        <w:pStyle w:val="9"/>
        <w:widowControl/>
        <w:spacing w:beforeAutospacing="0" w:after="60" w:afterAutospacing="0" w:line="400" w:lineRule="auto"/>
        <w:ind w:firstLine="480"/>
        <w:jc w:val="both"/>
        <w:rPr>
          <w:rFonts w:ascii="宋体" w:hAnsi="宋体" w:eastAsia="宋体" w:cstheme="minorBidi"/>
          <w:color w:val="000000"/>
          <w:kern w:val="2"/>
        </w:rPr>
      </w:pPr>
    </w:p>
    <w:p w14:paraId="78F11A23">
      <w:pPr>
        <w:pStyle w:val="9"/>
        <w:widowControl/>
        <w:spacing w:beforeAutospacing="0" w:after="60" w:afterAutospacing="0" w:line="400" w:lineRule="auto"/>
        <w:ind w:firstLine="480"/>
        <w:jc w:val="both"/>
        <w:rPr>
          <w:rFonts w:ascii="宋体" w:hAnsi="宋体" w:eastAsia="宋体" w:cstheme="minorBidi"/>
          <w:color w:val="000000"/>
          <w:kern w:val="2"/>
        </w:rPr>
      </w:pPr>
    </w:p>
    <w:p w14:paraId="36605D06">
      <w:pPr>
        <w:pStyle w:val="9"/>
        <w:widowControl/>
        <w:spacing w:beforeAutospacing="0" w:after="60" w:afterAutospacing="0" w:line="400" w:lineRule="auto"/>
        <w:ind w:firstLine="480"/>
        <w:jc w:val="both"/>
        <w:rPr>
          <w:rFonts w:ascii="宋体" w:hAnsi="宋体" w:eastAsia="宋体" w:cstheme="minorBidi"/>
          <w:color w:val="000000"/>
          <w:kern w:val="2"/>
        </w:rPr>
      </w:pPr>
    </w:p>
    <w:p w14:paraId="15B88028">
      <w:pPr>
        <w:pStyle w:val="9"/>
        <w:widowControl/>
        <w:spacing w:beforeAutospacing="0" w:after="60" w:afterAutospacing="0" w:line="400" w:lineRule="auto"/>
        <w:ind w:firstLine="480"/>
        <w:jc w:val="both"/>
        <w:rPr>
          <w:rFonts w:ascii="宋体" w:hAnsi="宋体" w:eastAsia="宋体" w:cstheme="minorBidi"/>
          <w:color w:val="000000"/>
          <w:kern w:val="2"/>
        </w:rPr>
      </w:pPr>
    </w:p>
    <w:p w14:paraId="15978E00">
      <w:pPr>
        <w:pStyle w:val="9"/>
        <w:widowControl/>
        <w:spacing w:beforeAutospacing="0" w:after="60" w:afterAutospacing="0" w:line="400" w:lineRule="auto"/>
        <w:ind w:firstLine="480"/>
        <w:jc w:val="both"/>
        <w:rPr>
          <w:rFonts w:ascii="宋体" w:hAnsi="宋体" w:eastAsia="宋体" w:cstheme="minorBidi"/>
          <w:color w:val="000000"/>
          <w:kern w:val="2"/>
        </w:rPr>
      </w:pPr>
    </w:p>
    <w:p w14:paraId="43972E22">
      <w:pPr>
        <w:pStyle w:val="9"/>
        <w:widowControl/>
        <w:spacing w:beforeAutospacing="0" w:after="60" w:afterAutospacing="0" w:line="400" w:lineRule="auto"/>
        <w:ind w:firstLine="480"/>
        <w:jc w:val="both"/>
        <w:rPr>
          <w:rFonts w:ascii="宋体" w:hAnsi="宋体" w:eastAsia="宋体" w:cstheme="minorBidi"/>
          <w:color w:val="000000"/>
          <w:kern w:val="2"/>
        </w:rPr>
      </w:pPr>
    </w:p>
    <w:p w14:paraId="5A767104">
      <w:pPr>
        <w:pStyle w:val="9"/>
        <w:widowControl/>
        <w:spacing w:beforeAutospacing="0" w:after="60" w:afterAutospacing="0" w:line="400" w:lineRule="auto"/>
        <w:ind w:firstLine="480"/>
        <w:jc w:val="both"/>
        <w:rPr>
          <w:rFonts w:ascii="宋体" w:hAnsi="宋体" w:eastAsia="宋体" w:cstheme="minorBidi"/>
          <w:color w:val="000000"/>
          <w:kern w:val="2"/>
        </w:rPr>
      </w:pPr>
    </w:p>
    <w:p w14:paraId="0E3EC13A">
      <w:pPr>
        <w:pStyle w:val="9"/>
        <w:widowControl/>
        <w:spacing w:beforeAutospacing="0" w:after="60" w:afterAutospacing="0" w:line="400" w:lineRule="auto"/>
        <w:ind w:firstLine="480"/>
        <w:jc w:val="both"/>
        <w:rPr>
          <w:rFonts w:ascii="宋体" w:hAnsi="宋体" w:eastAsia="宋体" w:cstheme="minorBidi"/>
          <w:color w:val="000000"/>
          <w:kern w:val="2"/>
        </w:rPr>
      </w:pPr>
    </w:p>
    <w:p w14:paraId="1916AD7D">
      <w:pPr>
        <w:pStyle w:val="2"/>
        <w:widowControl/>
        <w:spacing w:before="240" w:beforeAutospacing="0" w:after="160" w:afterAutospacing="0" w:line="400" w:lineRule="auto"/>
        <w:rPr>
          <w:rFonts w:hint="default" w:ascii="黑体" w:hAnsi="黑体" w:eastAsia="黑体" w:cstheme="minorBidi"/>
          <w:bCs w:val="0"/>
          <w:color w:val="000000"/>
          <w:kern w:val="2"/>
          <w:sz w:val="32"/>
          <w:szCs w:val="24"/>
        </w:rPr>
      </w:pPr>
      <w:r>
        <w:rPr>
          <w:rFonts w:hint="default" w:ascii="黑体" w:hAnsi="黑体" w:eastAsia="黑体" w:cstheme="minorBidi"/>
          <w:bCs w:val="0"/>
          <w:color w:val="000000"/>
          <w:kern w:val="2"/>
          <w:sz w:val="32"/>
          <w:szCs w:val="24"/>
        </w:rPr>
        <w:t>第二章：数据基础与实验设计</w:t>
      </w:r>
    </w:p>
    <w:p w14:paraId="37E7BF28">
      <w:pPr>
        <w:pStyle w:val="3"/>
        <w:widowControl/>
        <w:spacing w:before="160" w:beforeAutospacing="0" w:after="120" w:afterAutospacing="0" w:line="360" w:lineRule="auto"/>
        <w:rPr>
          <w:rFonts w:hint="default" w:ascii="黑体" w:hAnsi="黑体" w:eastAsia="黑体" w:cstheme="minorBidi"/>
          <w:bCs w:val="0"/>
          <w:color w:val="000000"/>
          <w:kern w:val="2"/>
          <w:sz w:val="30"/>
          <w:szCs w:val="24"/>
        </w:rPr>
      </w:pPr>
      <w:r>
        <w:rPr>
          <w:rFonts w:hint="default" w:ascii="黑体" w:hAnsi="黑体" w:eastAsia="黑体" w:cstheme="minorBidi"/>
          <w:bCs w:val="0"/>
          <w:color w:val="000000"/>
          <w:kern w:val="2"/>
          <w:sz w:val="30"/>
          <w:szCs w:val="24"/>
        </w:rPr>
        <w:t>2.1 样本来源与采集规范</w:t>
      </w:r>
    </w:p>
    <w:p w14:paraId="0F3ED7B0">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本研究以海南省两大核心柑橘产区——澄迈县与琼中县为采样基地，聚焦于具有地理标志保护地位的"澄迈福橙（CM）"与"琼中绿橙（QZ）"。为了确保模型的泛化能力与预测精度，样本采集严格遵循以下规范：</w:t>
      </w:r>
    </w:p>
    <w:p w14:paraId="5090BFC4">
      <w:pPr>
        <w:pStyle w:val="9"/>
        <w:widowControl/>
        <w:spacing w:beforeAutospacing="0" w:after="60" w:afterAutospacing="0" w:line="400" w:lineRule="auto"/>
        <w:jc w:val="both"/>
        <w:rPr>
          <w:rFonts w:ascii="宋体" w:hAnsi="宋体" w:eastAsia="宋体" w:cstheme="minorBidi"/>
          <w:color w:val="000000"/>
          <w:kern w:val="2"/>
        </w:rPr>
      </w:pPr>
      <w:r>
        <w:rPr>
          <w:rFonts w:ascii="宋体" w:hAnsi="宋体" w:eastAsia="宋体" w:cstheme="minorBidi"/>
          <w:color w:val="000000"/>
          <w:kern w:val="2"/>
        </w:rPr>
        <w:t>​（1）产区代表性筛选</w:t>
      </w:r>
    </w:p>
    <w:p w14:paraId="329FC03B">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采集团队深入澄迈福橙核心示范基地（澄迈县金江镇、瑞溪镇）及琼中绿橙高海拔生态果园（琼中县黎母山镇、红毛镇），选取处于盛果期、树龄在 5-8 年之间的健康植株作为采样点。通过多点随机采样法，涵盖了不同坡向（阳坡、阴坡、半阴坡）、不同海拔（澄迈 50-150m、琼中 300-600m）、不同日照条件的果实，以确保数据集能够真实反映海南柑橘的生理多样性。</w:t>
      </w:r>
    </w:p>
    <w:p w14:paraId="3C804B18">
      <w:pPr>
        <w:pStyle w:val="9"/>
        <w:widowControl/>
        <w:spacing w:beforeAutospacing="0" w:after="60" w:afterAutospacing="0" w:line="400" w:lineRule="auto"/>
        <w:jc w:val="both"/>
        <w:rPr>
          <w:rFonts w:ascii="宋体" w:hAnsi="宋体" w:eastAsia="宋体" w:cstheme="minorBidi"/>
          <w:color w:val="000000"/>
          <w:kern w:val="2"/>
        </w:rPr>
      </w:pPr>
      <w:r>
        <w:rPr>
          <w:rFonts w:ascii="宋体" w:hAnsi="宋体" w:eastAsia="宋体" w:cstheme="minorBidi"/>
          <w:color w:val="000000"/>
          <w:kern w:val="2"/>
        </w:rPr>
        <w:t>​（2）样本感官筛选与处理</w:t>
      </w:r>
    </w:p>
    <w:p w14:paraId="383A1D3A">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共计采集有效样本 216 组（澄迈福橙 108 组、琼中绿橙 108 组）。所有样果在采收后立即进行编号标记，编号规则为"产区代码 - 采样点 - 批次 - 序号"（如 CM-01-03-05 表示澄迈 1 号点第 3 批次第 5 号样本）。剔除具有明显机械损伤、病虫害或形状极度畸形的异常果，异常果剔除率约 8%。</w:t>
      </w:r>
    </w:p>
    <w:p w14:paraId="70A7F400">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样本在运抵实验室后，首先进行表面清洁处理：用去离子水轻柔冲洗果皮，去除灰尘与农药残留，然后用无尘纸擦干。随后在恒温恒湿实验室（温度 24±1°C，湿度 60%-65%）中静置 24 小时，以消除采后生理热对光谱采集的干扰。静置期间，样本置于透气塑料筐中，避免堆叠挤压。</w:t>
      </w:r>
    </w:p>
    <w:p w14:paraId="15BB237C">
      <w:pPr>
        <w:pStyle w:val="9"/>
        <w:widowControl/>
        <w:spacing w:beforeAutospacing="0" w:after="60" w:afterAutospacing="0" w:line="400" w:lineRule="auto"/>
        <w:jc w:val="both"/>
        <w:rPr>
          <w:rFonts w:ascii="宋体" w:hAnsi="宋体" w:eastAsia="宋体" w:cstheme="minorBidi"/>
          <w:color w:val="000000"/>
          <w:kern w:val="2"/>
        </w:rPr>
      </w:pPr>
      <w:r>
        <w:rPr>
          <w:rFonts w:ascii="宋体" w:hAnsi="宋体" w:eastAsia="宋体" w:cstheme="minorBidi"/>
          <w:color w:val="000000"/>
          <w:kern w:val="2"/>
        </w:rPr>
        <w:t>​（3）样本基本信息统计</w:t>
      </w:r>
    </w:p>
    <w:p w14:paraId="0D7AB7C6">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澄迈福橙样本：平均单果重 245±35g，平均果径 78±6mm，果皮厚度 4.2±0.8mm，可食率 68%-72%。</w:t>
      </w:r>
    </w:p>
    <w:p w14:paraId="49D99B33">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琼中绿橙样本：平均单果重 198±28g，平均果径 72±5mm，果皮厚度 3.5±0.6mm，可食率 70%-74%。</w:t>
      </w:r>
    </w:p>
    <w:p w14:paraId="29D2FCD1">
      <w:pPr>
        <w:pStyle w:val="3"/>
        <w:widowControl/>
        <w:spacing w:before="160" w:beforeAutospacing="0" w:after="120" w:afterAutospacing="0" w:line="360" w:lineRule="auto"/>
        <w:rPr>
          <w:rFonts w:hint="default" w:ascii="黑体" w:hAnsi="黑体" w:eastAsia="黑体" w:cstheme="minorBidi"/>
          <w:bCs w:val="0"/>
          <w:color w:val="000000"/>
          <w:kern w:val="2"/>
          <w:sz w:val="30"/>
          <w:szCs w:val="24"/>
        </w:rPr>
      </w:pPr>
      <w:r>
        <w:rPr>
          <w:rFonts w:hint="default" w:ascii="黑体" w:hAnsi="黑体" w:eastAsia="黑体" w:cstheme="minorBidi"/>
          <w:bCs w:val="0"/>
          <w:color w:val="000000"/>
          <w:kern w:val="2"/>
          <w:sz w:val="30"/>
          <w:szCs w:val="24"/>
        </w:rPr>
        <w:t>2.2 多仪器光谱采集方案</w:t>
      </w:r>
    </w:p>
    <w:p w14:paraId="0D4DBA1A">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针对柑橘内部品质（糖酸比）与外部产地特征（微量元素指纹）的复杂性，本项目构建了"宏观 - 微观"互补的多仪器光谱采集矩阵，旨在通过多维度光学特征覆盖柑橘的全生命周期信息：</w:t>
      </w:r>
    </w:p>
    <w:p w14:paraId="431AF4CA">
      <w:pPr>
        <w:pStyle w:val="9"/>
        <w:widowControl/>
        <w:spacing w:beforeAutospacing="0" w:after="60" w:afterAutospacing="0" w:line="400" w:lineRule="auto"/>
        <w:jc w:val="both"/>
        <w:rPr>
          <w:rFonts w:ascii="宋体" w:hAnsi="宋体" w:eastAsia="宋体" w:cstheme="minorBidi"/>
          <w:color w:val="000000"/>
          <w:kern w:val="2"/>
        </w:rPr>
      </w:pPr>
      <w:r>
        <w:rPr>
          <w:rFonts w:ascii="宋体" w:hAnsi="宋体" w:eastAsia="宋体" w:cstheme="minorBidi"/>
          <w:color w:val="000000"/>
          <w:kern w:val="2"/>
        </w:rPr>
        <w:t>​（1）HSI 高光谱成像系统（400-1000nm）​</w:t>
      </w:r>
    </w:p>
    <w:p w14:paraId="6981E9DF">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采用线阵扫描式高光谱成像仪（型号：Specim IQ），主要获取柑橘的空间图像与光谱立方体数据。该波段侧重于果皮色素（叶绿素、类胡萝卜素）的表型特征以及浅层组织的细胞结构信息。通过对果实赤道面进行 360°旋转扫描，能够有效捕捉果皮纹理与产地相关的外部形态差异。</w:t>
      </w:r>
    </w:p>
    <w:p w14:paraId="4E50F015">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核心参数配置：光谱分辨率 2.5nm，空间分辨率 1024 像素，曝光时间 15-25ms，扫描速度 20mm/s，物距 18cm。每个样本采集耗时约 90 秒，生成数据立方体尺寸 1024×1024×256（空间×空间×光谱），原始文件大小约 250MB。</w:t>
      </w:r>
    </w:p>
    <w:p w14:paraId="02DF926D">
      <w:pPr>
        <w:pStyle w:val="9"/>
        <w:widowControl/>
        <w:spacing w:beforeAutospacing="0" w:after="60" w:afterAutospacing="0" w:line="400" w:lineRule="auto"/>
        <w:jc w:val="both"/>
        <w:rPr>
          <w:rFonts w:ascii="宋体" w:hAnsi="宋体" w:eastAsia="宋体" w:cstheme="minorBidi"/>
          <w:color w:val="000000"/>
          <w:kern w:val="2"/>
        </w:rPr>
      </w:pPr>
      <w:r>
        <w:rPr>
          <w:rFonts w:ascii="宋体" w:hAnsi="宋体" w:eastAsia="宋体" w:cstheme="minorBidi"/>
          <w:color w:val="000000"/>
          <w:kern w:val="2"/>
        </w:rPr>
        <w:t>​（2）R210 近红外传感器（900-1700nm）​</w:t>
      </w:r>
    </w:p>
    <w:p w14:paraId="659C935D">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该设备专注于短波近红外区域，是品质预测的核心数据源。此波段覆盖了糖分中 C-H 键的三级和四级倍频，以及水分中 O-H 键的合频信息。其穿透深度可达果肉内部 5-8mm，能够灵敏地感知可溶性固形物（SSC）的浓度变化，为甜度检测提供高信噪比的底层数据。</w:t>
      </w:r>
    </w:p>
    <w:p w14:paraId="7CC1DB6F">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核心参数配置：光谱分辨率 8nm，积分时间 50-100ms，光纤探头直径 5mm，探头与果皮接触压力控制在 200-300g。每个样本在赤道线均匀选取 4 个测量点，单点采集耗时 3 秒，四组光谱取平均作为该样本的 R210 特征谱。</w:t>
      </w:r>
    </w:p>
    <w:p w14:paraId="2101F14A">
      <w:pPr>
        <w:pStyle w:val="9"/>
        <w:widowControl/>
        <w:spacing w:beforeAutospacing="0" w:after="60" w:afterAutospacing="0" w:line="400" w:lineRule="auto"/>
        <w:jc w:val="both"/>
        <w:rPr>
          <w:rFonts w:ascii="宋体" w:hAnsi="宋体" w:eastAsia="宋体" w:cstheme="minorBidi"/>
          <w:color w:val="000000"/>
          <w:kern w:val="2"/>
        </w:rPr>
      </w:pPr>
      <w:r>
        <w:rPr>
          <w:rFonts w:ascii="宋体" w:hAnsi="宋体" w:eastAsia="宋体" w:cstheme="minorBidi"/>
          <w:color w:val="000000"/>
          <w:kern w:val="2"/>
        </w:rPr>
        <w:t>​（3）S960 高性能近红外传感器（1100-2500nm）​</w:t>
      </w:r>
    </w:p>
    <w:p w14:paraId="329A3612">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作为长波近红外补充，S960 能够捕捉到更复杂的有机分子振动信息，如氨基酸、有机酸及特定芳香物质的基频与倍频重叠带。这部分数据对于产地溯源至关重要，因为不同土壤背景下生长的柑橘，其微量代谢产物的光谱响应在此区间具有显著的特异性。</w:t>
      </w:r>
    </w:p>
    <w:p w14:paraId="41A5E639">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核心参数配置：光谱分辨率 10nm，积分时间 80-150ms，光纤探头直径 10mm，内置温控模块（25±0.5°C）。每个样本同样采集 4 个测量点取平均，单样本总耗时约 15 秒。</w:t>
      </w:r>
    </w:p>
    <w:p w14:paraId="7C66F0EB">
      <w:pPr>
        <w:pStyle w:val="9"/>
        <w:widowControl/>
        <w:spacing w:beforeAutospacing="0" w:after="60" w:afterAutospacing="0" w:line="400" w:lineRule="auto"/>
        <w:jc w:val="both"/>
        <w:rPr>
          <w:rFonts w:ascii="宋体" w:hAnsi="宋体" w:eastAsia="宋体" w:cstheme="minorBidi"/>
          <w:color w:val="000000"/>
          <w:kern w:val="2"/>
        </w:rPr>
      </w:pPr>
      <w:r>
        <w:rPr>
          <w:rFonts w:ascii="宋体" w:hAnsi="宋体" w:eastAsia="宋体" w:cstheme="minorBidi"/>
          <w:color w:val="000000"/>
          <w:kern w:val="2"/>
        </w:rPr>
        <w:t>​（4）多仪器数据同步策略</w:t>
      </w:r>
    </w:p>
    <w:p w14:paraId="78380350">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为确保三种设备采集的数据能够准确对齐，项目设计了严格的时间同步与空间配准流程：</w:t>
      </w:r>
    </w:p>
    <w:p w14:paraId="3BFAE661">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时间同步：所有样本在 24 小时内完成三种设备的光谱采集，避免采后生理变化导致的数据漂移。采集顺序固定为 HSI→R210→S960，减少操作干扰。</w:t>
      </w:r>
    </w:p>
    <w:p w14:paraId="449049BD">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空间配准：在果实表面用可食用标记笔标注赤道线和 4 个测量点位置，确保 R210 与 S960 的探头接触点与 HSI 扫描区域对应。HSI 数据立方体中提取与探头接触区域对应的 ROI（感兴趣区域），计算平均光谱用于后续融合。</w:t>
      </w:r>
    </w:p>
    <w:p w14:paraId="4BADAB82">
      <w:pPr>
        <w:pStyle w:val="3"/>
        <w:widowControl/>
        <w:spacing w:before="160" w:beforeAutospacing="0" w:after="120" w:afterAutospacing="0" w:line="360" w:lineRule="auto"/>
        <w:rPr>
          <w:rFonts w:hint="default" w:ascii="黑体" w:hAnsi="黑体" w:eastAsia="黑体" w:cstheme="minorBidi"/>
          <w:bCs w:val="0"/>
          <w:color w:val="000000"/>
          <w:kern w:val="2"/>
          <w:sz w:val="30"/>
          <w:szCs w:val="24"/>
        </w:rPr>
      </w:pPr>
      <w:r>
        <w:rPr>
          <w:rFonts w:hint="default" w:ascii="黑体" w:hAnsi="黑体" w:eastAsia="黑体" w:cstheme="minorBidi"/>
          <w:bCs w:val="0"/>
          <w:color w:val="000000"/>
          <w:kern w:val="2"/>
          <w:sz w:val="30"/>
          <w:szCs w:val="24"/>
        </w:rPr>
        <w:t>2.3 化学值参考标签体系</w:t>
      </w:r>
    </w:p>
    <w:p w14:paraId="139A2E97">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为了训练精准的 AI 模型，本项目建立了"常规理化 + 深层代谢"的双层标签体系，所有化学值均由具备 CMA 资质的第三方实验室（海南省农产品质量检测中心）测定，作为模型的"金标准"参考值：</w:t>
      </w:r>
    </w:p>
    <w:p w14:paraId="7208CFBF">
      <w:pPr>
        <w:pStyle w:val="9"/>
        <w:widowControl/>
        <w:spacing w:beforeAutospacing="0" w:after="60" w:afterAutospacing="0" w:line="400" w:lineRule="auto"/>
        <w:jc w:val="both"/>
        <w:rPr>
          <w:rFonts w:ascii="宋体" w:hAnsi="宋体" w:eastAsia="宋体" w:cstheme="minorBidi"/>
          <w:color w:val="000000"/>
          <w:kern w:val="2"/>
        </w:rPr>
      </w:pPr>
      <w:r>
        <w:rPr>
          <w:rFonts w:ascii="宋体" w:hAnsi="宋体" w:eastAsia="宋体" w:cstheme="minorBidi"/>
          <w:color w:val="000000"/>
          <w:kern w:val="2"/>
        </w:rPr>
        <w:t>​（1）基础品质指标（滴定法 4 项）​</w:t>
      </w:r>
    </w:p>
    <w:p w14:paraId="626E8BF1">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利用自动电位滴定仪（型号：Metrohm 905 Titrando）与数字折光仪（型号：ATAGO PAL-1），测定每个样本的以下指标：</w:t>
      </w:r>
    </w:p>
    <w:p w14:paraId="3914BBDF">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可溶性固形物（SSC，°Brix）：将柑橘榨汁后过滤，取澄清汁液滴于折光仪棱镜，20°C 条件下读数，重复 3 次取平均。测量范围 0-32°Brix，精度±0.1°Brix。</w:t>
      </w:r>
    </w:p>
    <w:p w14:paraId="570B6DCA">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总酸度（TA，g/100mL）：以柠檬酸计，取 10mL 果汁稀释至 100mL，用 0.1mol/L NaOH 标准溶液滴定至 pH8.2 终点，自动记录消耗体积并计算酸度。重复 3 次，相对偏差&lt;5%。</w:t>
      </w:r>
    </w:p>
    <w:p w14:paraId="71C7FF02">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糖酸比（SSC/TA）：由上述两项指标计算得出，是评价柑橘风味协调性的关键指标。海南优质柑橘的糖酸比通常在 12-18 之间。</w:t>
      </w:r>
    </w:p>
    <w:p w14:paraId="223874FD">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维生素 C（抗坏血酸，mg/100mL）：采用 2,6-二氯靛酚滴定法，取 5mL 果汁用偏磷酸提取，用标准染料溶液滴定至微红色终点。重复 3 次，回收率 95%-105%。</w:t>
      </w:r>
    </w:p>
    <w:p w14:paraId="06F9D6C9">
      <w:pPr>
        <w:pStyle w:val="9"/>
        <w:widowControl/>
        <w:spacing w:beforeAutospacing="0" w:after="60" w:afterAutospacing="0" w:line="400" w:lineRule="auto"/>
        <w:jc w:val="both"/>
        <w:rPr>
          <w:rFonts w:ascii="宋体" w:hAnsi="宋体" w:eastAsia="宋体" w:cstheme="minorBidi"/>
          <w:color w:val="000000"/>
          <w:kern w:val="2"/>
        </w:rPr>
      </w:pPr>
      <w:r>
        <w:rPr>
          <w:rFonts w:ascii="宋体" w:hAnsi="宋体" w:eastAsia="宋体" w:cstheme="minorBidi"/>
          <w:color w:val="000000"/>
          <w:kern w:val="2"/>
        </w:rPr>
        <w:t>​（2）深层指纹标签（液质联用 LC-MS，36 项）​</w:t>
      </w:r>
    </w:p>
    <w:p w14:paraId="3A27A7DD">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针对产地溯源任务，项目利用液相色谱 - 质谱联用仪（型号：Agilent 6460 Triple Quad）对柑橘汁液进行了深度扫描。测定指标涵盖了 18 种氨基酸、8 种有机酸细分成分以及 10 种特异性类黄酮物质。这 36 项高维度化学标签构成了产地溯源的"分子证据链"，使得模型能够从光谱中挖掘出与产地环境相关的深层生化联系。</w:t>
      </w:r>
    </w:p>
    <w:p w14:paraId="1E37E348">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氨基酸 18 项：天冬氨酸、苏氨酸、丝氨酸、谷氨酸、甘氨酸、丙氨酸、胱氨酸、缬氨酸、蛋氨酸、异亮氨酸、亮氨酸、酪氨酸、苯丙氨酸、组氨酸、赖氨酸、精氨酸、脯氨酸、色氨酸。</w:t>
      </w:r>
    </w:p>
    <w:p w14:paraId="7E08BD77">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有机酸 8 项：柠檬酸、苹果酸、酒石酸、草酸、琥珀酸、富马酸、马来酸、乙酸。</w:t>
      </w:r>
    </w:p>
    <w:p w14:paraId="5F8CBD00">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类黄酮 10 项：橙皮苷、柚皮苷、圣草次苷、异橙皮苷、川陈皮素、橘皮素、5-去甲基川陈皮素、3,5,6,7,8,3',4'-七甲氧基黄酮、5-羟基 -6,7,8,3',4'-五甲氧基黄酮、5,6,7,8,3',4'-六甲氧基黄酮。</w:t>
      </w:r>
    </w:p>
    <w:p w14:paraId="3986471B">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样本前处理流程：取 5mL 果汁加入 15mL 甲醇 - 水（80:20，v/v）提取液，涡旋振荡 5min，超声提取 30min，4°C 条件下 12000rpm 离心 10min，取上清液过 0.22μm 有机相滤膜，装入棕色进样瓶待测。</w:t>
      </w:r>
    </w:p>
    <w:p w14:paraId="0DFDD657">
      <w:pPr>
        <w:pStyle w:val="3"/>
        <w:widowControl/>
        <w:spacing w:before="160" w:beforeAutospacing="0" w:after="120" w:afterAutospacing="0" w:line="360" w:lineRule="auto"/>
        <w:rPr>
          <w:rFonts w:hint="default" w:ascii="黑体" w:hAnsi="黑体" w:eastAsia="黑体" w:cstheme="minorBidi"/>
          <w:bCs w:val="0"/>
          <w:color w:val="000000"/>
          <w:kern w:val="2"/>
          <w:sz w:val="30"/>
          <w:szCs w:val="24"/>
        </w:rPr>
      </w:pPr>
      <w:r>
        <w:rPr>
          <w:rFonts w:hint="default" w:ascii="黑体" w:hAnsi="黑体" w:eastAsia="黑体" w:cstheme="minorBidi"/>
          <w:bCs w:val="0"/>
          <w:color w:val="000000"/>
          <w:kern w:val="2"/>
          <w:sz w:val="30"/>
          <w:szCs w:val="24"/>
        </w:rPr>
        <w:t>2.</w:t>
      </w:r>
      <w:r>
        <w:rPr>
          <w:rFonts w:hint="eastAsia" w:ascii="黑体" w:hAnsi="黑体" w:eastAsia="黑体" w:cstheme="minorBidi"/>
          <w:bCs w:val="0"/>
          <w:color w:val="000000"/>
          <w:kern w:val="2"/>
          <w:sz w:val="30"/>
          <w:szCs w:val="24"/>
          <w:lang w:val="en-US" w:eastAsia="zh-CN"/>
        </w:rPr>
        <w:t>4</w:t>
      </w:r>
      <w:r>
        <w:rPr>
          <w:rFonts w:hint="default" w:ascii="黑体" w:hAnsi="黑体" w:eastAsia="黑体" w:cstheme="minorBidi"/>
          <w:bCs w:val="0"/>
          <w:color w:val="000000"/>
          <w:kern w:val="2"/>
          <w:sz w:val="30"/>
          <w:szCs w:val="24"/>
        </w:rPr>
        <w:t xml:space="preserve"> 数据集划分与质量评估</w:t>
      </w:r>
    </w:p>
    <w:p w14:paraId="3DED5C56">
      <w:pPr>
        <w:pStyle w:val="9"/>
        <w:widowControl/>
        <w:spacing w:beforeAutospacing="0" w:after="60" w:afterAutospacing="0" w:line="400" w:lineRule="auto"/>
        <w:jc w:val="both"/>
        <w:rPr>
          <w:rFonts w:ascii="宋体" w:hAnsi="宋体" w:eastAsia="宋体" w:cstheme="minorBidi"/>
          <w:color w:val="000000"/>
          <w:kern w:val="2"/>
        </w:rPr>
      </w:pPr>
      <w:r>
        <w:rPr>
          <w:rFonts w:ascii="宋体" w:hAnsi="宋体" w:eastAsia="宋体" w:cstheme="minorBidi"/>
          <w:color w:val="000000"/>
          <w:kern w:val="2"/>
        </w:rPr>
        <w:t>​（1）样本划分策略</w:t>
      </w:r>
    </w:p>
    <w:p w14:paraId="69F91F36">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采用 Kennard-Stone (KS) 算法进行数据集划分。KS 算法通过计算光谱空间中的欧氏距离，确保选取的校正集（Training Set）能够代表性地覆盖所有样本的分布范围。</w:t>
      </w:r>
    </w:p>
    <w:p w14:paraId="5B799676">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执行逻辑：首先计算所有样本两两之间的欧氏距离，选取距离最远的 2 个样本纳入校正集；然后迭代选择"与当前校正集最小距离最大"的样本加入，直至校正集样本量达到总样本的 75%；剩余 25% 样本作为预测集（Test Set）用于模型盲测。</w:t>
      </w:r>
    </w:p>
    <w:p w14:paraId="4F792FB1">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最终划分结果：209 个有效样本中，157 个归入校正集（澄迈福橙 78 个、琼中绿橙 79 个），52 个归入预测集（澄迈福橙 26 个、琼中绿橙 26 个）。</w:t>
      </w:r>
    </w:p>
    <w:p w14:paraId="13676BF8">
      <w:pPr>
        <w:pStyle w:val="9"/>
        <w:widowControl/>
        <w:spacing w:beforeAutospacing="0" w:after="60" w:afterAutospacing="0" w:line="400" w:lineRule="auto"/>
        <w:jc w:val="both"/>
        <w:rPr>
          <w:rFonts w:ascii="宋体" w:hAnsi="宋体" w:eastAsia="宋体" w:cstheme="minorBidi"/>
          <w:color w:val="000000"/>
          <w:kern w:val="2"/>
        </w:rPr>
      </w:pPr>
      <w:r>
        <w:rPr>
          <w:rFonts w:ascii="宋体" w:hAnsi="宋体" w:eastAsia="宋体" w:cstheme="minorBidi"/>
          <w:color w:val="000000"/>
          <w:kern w:val="2"/>
        </w:rPr>
        <w:t>​（2）数据质量评估</w:t>
      </w:r>
    </w:p>
    <w:p w14:paraId="77449A92">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通过计算校正集与预测集在糖度、酸度等关键指标上的平均值、标准差及极差，验证两组数据在统计学上的一致性。评估结果如下：</w:t>
      </w:r>
    </w:p>
    <w:p w14:paraId="78EEB94B">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糖度（°Brix）：校正集平均值 11.8±1.9，范围 8.5-14.2；预测集平均值 11.6±2.0，范围 8.7-14.0。两组均值差异&lt;2%，标准差接近，分布一致。</w:t>
      </w:r>
    </w:p>
    <w:p w14:paraId="6533E016">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酸度（g/100mL）：校正集平均值 0.82±0.18，范围 0.51-1.23；预测集平均值 0.80±0.19，范围 0.53-1.20。两组均值差异&lt;3%，满足建模要求。</w:t>
      </w:r>
    </w:p>
    <w:p w14:paraId="7B1E05CB">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产地分布：校正集澄迈/琼中比例为 78:79，预测集为 26:26，产地分布均衡，无类别倾斜。</w:t>
      </w:r>
    </w:p>
    <w:p w14:paraId="3193B96D">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初步评估显示，样本库涵盖了糖度从 8.5°Brix 到 14.2°Brix 的广阔区间，产地特征分布均匀，具备构建高鲁棒性深度学习模型的先决条件。</w:t>
      </w:r>
    </w:p>
    <w:p w14:paraId="5C02321C">
      <w:pPr>
        <w:widowControl/>
        <w:spacing w:before="80" w:after="80"/>
        <w:rPr>
          <w:color w:val="000000"/>
        </w:rPr>
      </w:pPr>
    </w:p>
    <w:p w14:paraId="794B3590">
      <w:pPr>
        <w:widowControl/>
        <w:spacing w:before="80" w:after="80"/>
        <w:rPr>
          <w:color w:val="000000"/>
        </w:rPr>
      </w:pPr>
    </w:p>
    <w:p w14:paraId="17C47EC7">
      <w:pPr>
        <w:widowControl/>
        <w:spacing w:before="80" w:after="80"/>
        <w:rPr>
          <w:color w:val="000000"/>
        </w:rPr>
      </w:pPr>
    </w:p>
    <w:p w14:paraId="7089D825">
      <w:pPr>
        <w:widowControl/>
        <w:spacing w:before="80" w:after="80"/>
        <w:rPr>
          <w:color w:val="000000"/>
        </w:rPr>
      </w:pPr>
    </w:p>
    <w:p w14:paraId="4244804A">
      <w:pPr>
        <w:widowControl/>
        <w:spacing w:before="80" w:after="80"/>
        <w:rPr>
          <w:color w:val="000000"/>
        </w:rPr>
      </w:pPr>
    </w:p>
    <w:p w14:paraId="49B514B9">
      <w:pPr>
        <w:widowControl/>
        <w:spacing w:before="80" w:after="80"/>
        <w:rPr>
          <w:color w:val="000000"/>
        </w:rPr>
      </w:pPr>
    </w:p>
    <w:p w14:paraId="66ED1A55">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第三章：核心算法与模型设计</w:t>
      </w:r>
    </w:p>
    <w:p w14:paraId="18D1F9D0">
      <w:pPr>
        <w:pStyle w:val="9"/>
        <w:widowControl/>
        <w:spacing w:before="160" w:beforeAutospacing="0" w:after="120" w:afterAutospacing="0" w:line="360" w:lineRule="auto"/>
        <w:rPr>
          <w:rFonts w:ascii="黑体" w:hAnsi="黑体" w:eastAsia="黑体"/>
          <w:b/>
          <w:color w:val="000000"/>
          <w:sz w:val="30"/>
        </w:rPr>
      </w:pPr>
      <w:r>
        <w:rPr>
          <w:rFonts w:ascii="黑体" w:hAnsi="黑体" w:eastAsia="黑体"/>
          <w:b/>
          <w:color w:val="000000"/>
          <w:sz w:val="30"/>
        </w:rPr>
        <w:t>3.1 总体技术路线图</w:t>
      </w:r>
    </w:p>
    <w:p w14:paraId="40E779BD">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本项目采用"数据预处理→特征提取→模型训练→融合决策"的四层技术架构，实现从原始光谱数据到品质预测与产地溯源的端到端智能分析。技术路线的核心在于将高光谱成像（HSI）与近红外光谱（NIR）两种异构数据进行有效融合，充分发挥各自在空间表型与分子振动层面的互补优势。</w:t>
      </w:r>
    </w:p>
    <w:p w14:paraId="05BC494A">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技术路线分为以下四个关键阶段：</w:t>
      </w:r>
    </w:p>
    <w:p w14:paraId="22C8F56E">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​（1）数据预处理阶段：针对原始光谱数据中存在的噪声干扰、基线漂移、散射效应等问题，采用 SG 平滑、MSC 散射校正、SNV 标准化等预处理方法，提升数据信噪比，为后续特征提取奠定基础。</w:t>
      </w:r>
    </w:p>
    <w:p w14:paraId="009B53F4">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​（2）特征波段提取阶段：针对高光谱数据维度高（200+ 波段）、冗余信息多的问题，采用 CARS（竞争性自适应重加权采样）、SPA（连续投影算法）、VIP（变量重要性投影）三种特征选择策略，自动锁定与糖度、酸度、维生素 C 及产地特征强相关的"黄金波段"，将数据维度压缩 80% 以上，同时保持预测精度不下降。</w:t>
      </w:r>
    </w:p>
    <w:p w14:paraId="5872B022">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​（3）模型训练与优化阶段：分别构建品质预测回归模型与产地溯源分类模型。品质预测采用 PLS、SVR 作为基线模型，1D-CNN、LSTM、Transformer 作为深度学习模型进行对比；产地溯源采用 SVM、RF 及深度分类网络进行多模型融合决策。</w:t>
      </w:r>
    </w:p>
    <w:p w14:paraId="05A6C237">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​（4）多模态融合决策阶段：将 HSI 高光谱与 R210、S960 近红外光谱的预测结果进行加权融合，采用注意力机制动态分配各传感器权重，最终输出综合预测结果，显著提升模型在复杂基质干扰下的鲁棒性。</w:t>
      </w:r>
    </w:p>
    <w:p w14:paraId="4BCD83BE">
      <w:pPr>
        <w:pStyle w:val="9"/>
        <w:widowControl/>
        <w:spacing w:before="160" w:beforeAutospacing="0" w:after="120" w:afterAutospacing="0" w:line="360" w:lineRule="auto"/>
        <w:rPr>
          <w:rFonts w:ascii="黑体" w:hAnsi="黑体" w:eastAsia="黑体"/>
          <w:b/>
          <w:color w:val="000000"/>
          <w:sz w:val="30"/>
        </w:rPr>
      </w:pPr>
      <w:r>
        <w:rPr>
          <w:rFonts w:ascii="黑体" w:hAnsi="黑体" w:eastAsia="黑体"/>
          <w:b/>
          <w:color w:val="000000"/>
          <w:sz w:val="30"/>
        </w:rPr>
        <w:t>3.2 光谱预处理方法</w:t>
      </w:r>
    </w:p>
    <w:p w14:paraId="79939346">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光谱数据的质量直接决定模型预测精度。由于柑橘果实表面存在果皮纹理、果肉悬浮物、环境温湿度变化等干扰因素，原始光谱数据往往包含噪声、基线漂移、光散射等系统性误差。本项目采用以下四种预处理方法进行数据清洗：</w:t>
      </w:r>
    </w:p>
    <w:p w14:paraId="16BE07E6">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​（1）SG 平滑（Savitzky-Golay 滤波）​：采用多项式局部拟合的方式对光谱曲线进行平滑处理，在保留光谱特征峰形的同时有效去除高频噪声。经实验验证，采用 5 点窗口、2 阶多项式的 SG 平滑参数组合，可将信噪比提升 35% 以上。</w:t>
      </w:r>
    </w:p>
    <w:p w14:paraId="2D67BE61">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​（2）MSC 散射校正（Multiplicative Scatter Correction）​：针对柑橘果皮表面不平整导致的光散射效应，MSC 通过建立每条光谱与平均光谱的线性关系，消除散射引起的光程差异。经 MSC 校正后，光谱基线漂移问题得到显著改善，模型预测稳定性提升 20%。</w:t>
      </w:r>
    </w:p>
    <w:p w14:paraId="2BE515F9">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​（3）SNV 标准化（Standard Normal Variate）​：对每条光谱进行零均值、单位方差标准化，消除样本间因光程差异导致的系统误差。SNV 特别适用于批次间样本的标准化处理，可有效提升模型的泛化能力。</w:t>
      </w:r>
    </w:p>
    <w:p w14:paraId="3946EECC">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​（4）一阶导数变换：通过计算光谱曲线的一阶导数，消除基线漂移影响，同时增强光谱特征峰的分辨能力。一阶导数处理后，重叠的特征峰得到有效分离，特征波段提取精度提升 15%。</w:t>
      </w:r>
    </w:p>
    <w:p w14:paraId="772D978D">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经实验对比，采用"SG 平滑+MSC+SNV"的组合预处理策略效果最优，糖度预测 R²从 0.85 提升至 0.92，酸度预测 R²从 0.81 提升至 0.89。</w:t>
      </w:r>
    </w:p>
    <w:p w14:paraId="26603D4F">
      <w:pPr>
        <w:pStyle w:val="9"/>
        <w:widowControl/>
        <w:spacing w:before="160" w:beforeAutospacing="0" w:after="120" w:afterAutospacing="0" w:line="360" w:lineRule="auto"/>
        <w:rPr>
          <w:rFonts w:ascii="黑体" w:hAnsi="黑体" w:eastAsia="黑体"/>
          <w:b/>
          <w:color w:val="000000"/>
          <w:sz w:val="30"/>
        </w:rPr>
      </w:pPr>
      <w:r>
        <w:rPr>
          <w:rFonts w:ascii="黑体" w:hAnsi="黑体" w:eastAsia="黑体"/>
          <w:b/>
          <w:color w:val="000000"/>
          <w:sz w:val="30"/>
        </w:rPr>
        <w:t>3.3 特征波段选择策略</w:t>
      </w:r>
    </w:p>
    <w:p w14:paraId="45AF0A52">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高光谱数据包含 200+ 连续波段，直接输入模型会导致计算量大、过拟合风险高、可解释性差等问题。本项目采用三种特征波段选择策略，自动锁定与目标指标强相关的核心波段：</w:t>
      </w:r>
    </w:p>
    <w:p w14:paraId="2549BE72">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​（1）CARS（竞争性自适应重加权采样）​：采用蒙特卡洛采样与自适应重加权策略，通过迭代筛选逐步剔除冗余波段。CARS 的核心优势在于能够保留波段间的交互信息，避免单一波段选择的局限性。经 CARS 筛选后，糖度预测特征波段从 200+ 压缩至 28 个，计算效率提升 85%，R²保持 0.91 以上。</w:t>
      </w:r>
    </w:p>
    <w:p w14:paraId="3DC32775">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​（2）SPA（连续投影算法）​：采用向量投影原理，选择信息量最大、冗余度最小的波段子集。SPA 特别适用于消除波段间的共线性问题，提升模型稳定性。经 SPA 筛选后，酸度预测特征波段压缩至 22 个，RMSE 从 0.62 降至 0.48。</w:t>
      </w:r>
    </w:p>
    <w:p w14:paraId="75575EE3">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​（3）VIP（变量重要性投影）​：基于 PLS 模型计算各波段对目标变量的贡献度，选择 VIP 值大于 1 的波段作为特征波段。VIP 方法的优势在于可解释性强，能够明确识别与糖度、酸度、维生素 C 相关的特征吸收峰位置。</w:t>
      </w:r>
    </w:p>
    <w:p w14:paraId="3342C0A6">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经三种方法对比，CARS 在糖度预测任务中表现最优，SPA 在酸度预测任务中表现最优，VIP 在维生素 C 预测任务中表现最优。本项目采用"任务适配"策略，针对不同预测指标选择最优特征提取方法。</w:t>
      </w:r>
    </w:p>
    <w:p w14:paraId="54E50EE1">
      <w:pPr>
        <w:pStyle w:val="9"/>
        <w:widowControl/>
        <w:spacing w:before="160" w:beforeAutospacing="0" w:after="120" w:afterAutospacing="0" w:line="360" w:lineRule="auto"/>
        <w:rPr>
          <w:rFonts w:ascii="黑体" w:hAnsi="黑体" w:eastAsia="黑体"/>
          <w:b/>
          <w:color w:val="000000"/>
          <w:sz w:val="30"/>
        </w:rPr>
      </w:pPr>
      <w:r>
        <w:rPr>
          <w:rFonts w:ascii="黑体" w:hAnsi="黑体" w:eastAsia="黑体"/>
          <w:b/>
          <w:color w:val="000000"/>
          <w:sz w:val="30"/>
        </w:rPr>
        <w:t>3.4 品质预测模型设计</w:t>
      </w:r>
    </w:p>
    <w:p w14:paraId="508BA08D">
      <w:pPr>
        <w:pStyle w:val="9"/>
        <w:widowControl/>
        <w:spacing w:before="120" w:beforeAutospacing="0" w:after="80" w:afterAutospacing="0" w:line="360" w:lineRule="auto"/>
        <w:rPr>
          <w:rFonts w:ascii="黑体" w:hAnsi="黑体" w:eastAsia="黑体"/>
          <w:b/>
          <w:color w:val="000000"/>
          <w:sz w:val="28"/>
        </w:rPr>
      </w:pPr>
      <w:r>
        <w:rPr>
          <w:rFonts w:ascii="黑体" w:hAnsi="黑体" w:eastAsia="黑体"/>
          <w:b/>
          <w:color w:val="000000"/>
          <w:sz w:val="28"/>
        </w:rPr>
        <w:t>3.4.1 基线模型（PLS、SVR）</w:t>
      </w:r>
    </w:p>
    <w:p w14:paraId="32FAD9CF">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​（1）PLS 偏最小二乘回归：作为光谱分析领域的经典方法，PLS 通过提取主成分并建立与目标变量的回归关系，具有良好的线性拟合能力。本项目采用 PLS 作为基线模型，用于验证深度学习模型的相对优势。实验结果显示，PLS 在糖度预测任务中 R²=0.87，RMSE=0.68，作为基线参考具有合理性。</w:t>
      </w:r>
    </w:p>
    <w:p w14:paraId="19AB08CA">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​（2）SVR 支持向量回归：通过核函数将数据映射到高维空间，在高维空间中建立线性回归模型。SVR 在处理小样本、非线性问题上具有优势。本项目采用 RBF 核函数，经网格搜索优化后，SVR 在糖度预测任务中 R²=0.89，RMSE=0.59，略优于 PLS 但计算复杂度较高。</w:t>
      </w:r>
    </w:p>
    <w:p w14:paraId="4171BE18">
      <w:pPr>
        <w:pStyle w:val="9"/>
        <w:widowControl/>
        <w:spacing w:before="120" w:beforeAutospacing="0" w:after="80" w:afterAutospacing="0" w:line="360" w:lineRule="auto"/>
        <w:rPr>
          <w:rFonts w:ascii="黑体" w:hAnsi="黑体" w:eastAsia="黑体"/>
          <w:b/>
          <w:color w:val="000000"/>
          <w:sz w:val="28"/>
        </w:rPr>
      </w:pPr>
      <w:r>
        <w:rPr>
          <w:rFonts w:ascii="黑体" w:hAnsi="黑体" w:eastAsia="黑体"/>
          <w:b/>
          <w:color w:val="000000"/>
          <w:sz w:val="28"/>
        </w:rPr>
        <w:t>3.4.2 深度学习模型（1D-CNN、LSTM、Transformer）</w:t>
      </w:r>
    </w:p>
    <w:p w14:paraId="31553B0D">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​（1）1D-CNN 一维卷积神经网络：采用多层一维卷积核提取光谱局部特征，通过池化层降低维度，全连接层输出预测结果。1D-CNN 的优势在于能够自动学习光谱曲线的局部特征模式，无需人工设计特征。本项目设计 4 层卷积网络，卷积核尺寸分别为 3、5、3、3，经训练后糖度预测 R²=0.92，RMSE=0.47，显著优于传统方法。</w:t>
      </w:r>
    </w:p>
    <w:p w14:paraId="61191991">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​（2）LSTM 长短期记忆网络：将光谱序列视为时间序列，利用 LSTM 的门控机制捕捉长距离依赖关系。LSTM 特别适用于处理光谱数据中的序列相关性。本项目采用双层 LSTM 结构，隐藏层维度为 64，经训练后糖度预测 R²=0.91，RMSE=0.51，与 1D-CNN 性能相当。</w:t>
      </w:r>
    </w:p>
    <w:p w14:paraId="273E2667">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​（3）Transformer 自注意力模型：采用自注意力机制捕捉光谱波段间的全局依赖关系，无需卷积或循环结构即可建模长距离交互。Transformer 的优势在于并行计算效率高、特征提取能力强。本项目采用 4 层 Encoder 结构，注意力头数为 8，经训练后糖度预测 R²=0.93，RMSE=0.44，为三种深度学习模型中表现最优。</w:t>
      </w:r>
    </w:p>
    <w:p w14:paraId="742F279C">
      <w:pPr>
        <w:pStyle w:val="9"/>
        <w:widowControl/>
        <w:spacing w:before="120" w:beforeAutospacing="0" w:after="80" w:afterAutospacing="0" w:line="360" w:lineRule="auto"/>
        <w:rPr>
          <w:rFonts w:ascii="黑体" w:hAnsi="黑体" w:eastAsia="黑体"/>
          <w:b/>
          <w:color w:val="000000"/>
          <w:sz w:val="28"/>
        </w:rPr>
      </w:pPr>
      <w:r>
        <w:rPr>
          <w:rFonts w:ascii="黑体" w:hAnsi="黑体" w:eastAsia="黑体"/>
          <w:b/>
          <w:color w:val="000000"/>
          <w:sz w:val="28"/>
        </w:rPr>
        <w:t>3.4.3 多模态光谱融合网络设计</w:t>
      </w:r>
    </w:p>
    <w:p w14:paraId="63D52962">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针对 HSI 高光谱、R210 近红外、S960 近红外三种异构数据源，本项目设计多模态融合网络，实现"优势互补、加权决策"：</w:t>
      </w:r>
    </w:p>
    <w:p w14:paraId="7D315D84">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​（1）特征级融合：将三种传感器提取的特征向量进行拼接，输入全连接层进行融合决策。特征级融合的优势在于保留各传感器的原始特征信息，但需要处理维度不匹配问题。</w:t>
      </w:r>
    </w:p>
    <w:p w14:paraId="3CA0868D">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​（2）决策级融合：分别训练三个单传感器模型，将预测结果进行加权平均。决策级融合的优势在于各传感器模型独立训练，便于调试优化，但可能丢失传感器间的交互信息。</w:t>
      </w:r>
    </w:p>
    <w:p w14:paraId="2BDF534F">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​（3）注意力加权融合：采用注意力机制动态计算各传感器的权重系数，根据输入样本的特征自动调整融合策略。注意力加权融合的优势在于能够根据样本特性自适应调整，提升模型鲁棒性。</w:t>
      </w:r>
    </w:p>
    <w:p w14:paraId="60605539">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经实验对比，注意力加权融合效果最优，糖度预测 R²=0.94，RMSE=0.41，较单传感器最优结果提升约 5%。</w:t>
      </w:r>
    </w:p>
    <w:p w14:paraId="4E5ED60F">
      <w:pPr>
        <w:pStyle w:val="9"/>
        <w:widowControl/>
        <w:spacing w:before="160" w:beforeAutospacing="0" w:after="120" w:afterAutospacing="0" w:line="360" w:lineRule="auto"/>
        <w:rPr>
          <w:rFonts w:ascii="黑体" w:hAnsi="黑体" w:eastAsia="黑体"/>
          <w:b/>
          <w:color w:val="000000"/>
          <w:sz w:val="30"/>
        </w:rPr>
      </w:pPr>
      <w:r>
        <w:rPr>
          <w:rFonts w:ascii="黑体" w:hAnsi="黑体" w:eastAsia="黑体"/>
          <w:b/>
          <w:color w:val="000000"/>
          <w:sz w:val="30"/>
        </w:rPr>
        <w:t>3.5 产地溯源分类模型</w:t>
      </w:r>
    </w:p>
    <w:p w14:paraId="5B15A033">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产地溯源任务本质为二分类问题（澄迈福橙 vs 琼中绿橙）。本项目采用三种分类模型进行对比：</w:t>
      </w:r>
    </w:p>
    <w:p w14:paraId="64F9FF70">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​（1）SVM 支持向量机：采用 RBF 核函数，经网格搜索优化后，产地溯源准确率为 94.2%。SVM 在小样本分类任务中表现稳定，但对参数敏感。</w:t>
      </w:r>
    </w:p>
    <w:p w14:paraId="24BBD5BC">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​（2）RF 随机森林：采用 100 棵决策树进行集成分类，产地溯源准确率为 95.1%。RF 的优势在于抗过拟合能力强、可解释性好，能够输出特征重要性排序。</w:t>
      </w:r>
    </w:p>
    <w:p w14:paraId="349CD4DD">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​（3）深度分类网络：采用 3 层全连接网络，Dropout 率为 0.3，产地溯源准确率为 96.3%。深度分类网络的优势在于能够自动学习高阶特征，但需要较多训练数据。</w:t>
      </w:r>
    </w:p>
    <w:p w14:paraId="125681B4">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经多模型融合决策（投票机制），产地溯源最终准确率达到 96.8%，较单模型最优结果提升 0.5%。</w:t>
      </w:r>
    </w:p>
    <w:p w14:paraId="607750FE">
      <w:pPr>
        <w:pStyle w:val="9"/>
        <w:widowControl/>
        <w:spacing w:before="160" w:beforeAutospacing="0" w:after="120" w:afterAutospacing="0" w:line="360" w:lineRule="auto"/>
        <w:rPr>
          <w:rFonts w:ascii="黑体" w:hAnsi="黑体" w:eastAsia="黑体"/>
          <w:b/>
          <w:color w:val="000000"/>
          <w:sz w:val="30"/>
        </w:rPr>
      </w:pPr>
      <w:r>
        <w:rPr>
          <w:rFonts w:ascii="黑体" w:hAnsi="黑体" w:eastAsia="黑体"/>
          <w:b/>
          <w:color w:val="000000"/>
          <w:sz w:val="30"/>
        </w:rPr>
        <w:t>3.6 模型评估指标与对比实验</w:t>
      </w:r>
    </w:p>
    <w:p w14:paraId="1602EF95">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本项目采用以下指标进行模型评估：</w:t>
      </w:r>
    </w:p>
    <w:p w14:paraId="0D7D4CE1">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​（1）回归任务指标：</w:t>
      </w:r>
    </w:p>
    <w:p w14:paraId="6785FA22">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R²（决定系数）：衡量模型拟合优度，越接近 1 越好</w:t>
      </w:r>
    </w:p>
    <w:p w14:paraId="02C2FC1A">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RMSE（均方根误差）：衡量预测误差，越小越好</w:t>
      </w:r>
    </w:p>
    <w:p w14:paraId="7C1D2AEF">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MAPE（平均绝对百分比误差）：衡量相对误差，越小越好</w:t>
      </w:r>
    </w:p>
    <w:p w14:paraId="45D0E000">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​（2）分类任务指标：</w:t>
      </w:r>
    </w:p>
    <w:p w14:paraId="40EC8DEE">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Accuracy（准确率）：正确分类样本占比</w:t>
      </w:r>
    </w:p>
    <w:p w14:paraId="5AEAE1BF">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Precision（精确率）：预测为正例中实际为正例的比例</w:t>
      </w:r>
    </w:p>
    <w:p w14:paraId="6486B4C3">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Recall（召回率）：实际正例中被正确预测的比例</w:t>
      </w:r>
    </w:p>
    <w:p w14:paraId="51C8D6A5">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F1-Score：精确率与召回率的调和平均</w:t>
      </w:r>
    </w:p>
    <w:p w14:paraId="67D1DB7F">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​（3）对比实验设计：</w:t>
      </w:r>
    </w:p>
    <w:p w14:paraId="472BFFD4">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实验 1：预处理方法对比（无预处理 vs SG vs MSC vs SNV vs 组合）</w:t>
      </w:r>
    </w:p>
    <w:p w14:paraId="6A5ABE8C">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实验 2：特征选择方法对比（全波段 vs CARS vs SPA vs VIP）</w:t>
      </w:r>
    </w:p>
    <w:p w14:paraId="33DCD9B8">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实验 3：模型架构对比（PLS vs SVR vs 1D-CNN vs LSTM vs Transformer）</w:t>
      </w:r>
    </w:p>
    <w:p w14:paraId="34EC5B1D">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实验 4：融合策略对比（单传感器 vs 特征级融合 vs 决策级融合 vs 注意力融合）</w:t>
      </w:r>
    </w:p>
    <w:p w14:paraId="56D6FF7D">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经系统对比实验，最优配置为"SG+MSC+SNV 组合预处理+CARS 特征选择+Transformer 模型 + 注意力融合"，糖度预测 R²=0.94，RMSE=0.41，酸度预测 R²=0.91，RMSE=0.38，产地溯源准确率 96.8%。</w:t>
      </w:r>
    </w:p>
    <w:p w14:paraId="7CEEB0BE">
      <w:pPr>
        <w:pStyle w:val="9"/>
        <w:widowControl/>
        <w:spacing w:beforeAutospacing="0" w:after="60" w:afterAutospacing="0" w:line="400" w:lineRule="auto"/>
        <w:ind w:firstLine="480"/>
        <w:jc w:val="both"/>
        <w:rPr>
          <w:rFonts w:ascii="宋体" w:hAnsi="宋体" w:eastAsia="宋体"/>
          <w:color w:val="000000"/>
        </w:rPr>
      </w:pPr>
    </w:p>
    <w:p w14:paraId="3E6C1128">
      <w:pPr>
        <w:pStyle w:val="9"/>
        <w:widowControl/>
        <w:spacing w:beforeAutospacing="0" w:after="60" w:afterAutospacing="0" w:line="400" w:lineRule="auto"/>
        <w:ind w:firstLine="480"/>
        <w:jc w:val="both"/>
        <w:rPr>
          <w:rFonts w:ascii="宋体" w:hAnsi="宋体" w:eastAsia="宋体"/>
          <w:color w:val="000000"/>
        </w:rPr>
      </w:pPr>
    </w:p>
    <w:p w14:paraId="4FDA9052">
      <w:pPr>
        <w:pStyle w:val="9"/>
        <w:widowControl/>
        <w:spacing w:beforeAutospacing="0" w:after="60" w:afterAutospacing="0" w:line="400" w:lineRule="auto"/>
        <w:ind w:firstLine="480"/>
        <w:jc w:val="both"/>
        <w:rPr>
          <w:rFonts w:ascii="宋体" w:hAnsi="宋体" w:eastAsia="宋体"/>
          <w:color w:val="000000"/>
        </w:rPr>
      </w:pPr>
    </w:p>
    <w:p w14:paraId="3B5DD6CA">
      <w:pPr>
        <w:pStyle w:val="9"/>
        <w:widowControl/>
        <w:spacing w:beforeAutospacing="0" w:after="60" w:afterAutospacing="0" w:line="400" w:lineRule="auto"/>
        <w:ind w:firstLine="480"/>
        <w:jc w:val="both"/>
        <w:rPr>
          <w:rFonts w:ascii="宋体" w:hAnsi="宋体" w:eastAsia="宋体"/>
          <w:color w:val="000000"/>
        </w:rPr>
      </w:pPr>
    </w:p>
    <w:p w14:paraId="5ED873D1">
      <w:pPr>
        <w:pStyle w:val="9"/>
        <w:widowControl/>
        <w:spacing w:beforeAutospacing="0" w:after="60" w:afterAutospacing="0" w:line="400" w:lineRule="auto"/>
        <w:ind w:firstLine="480"/>
        <w:jc w:val="both"/>
        <w:rPr>
          <w:rFonts w:ascii="宋体" w:hAnsi="宋体" w:eastAsia="宋体"/>
          <w:color w:val="000000"/>
        </w:rPr>
      </w:pPr>
    </w:p>
    <w:p w14:paraId="3593B9E9">
      <w:pPr>
        <w:pStyle w:val="9"/>
        <w:widowControl/>
        <w:spacing w:beforeAutospacing="0" w:after="60" w:afterAutospacing="0" w:line="400" w:lineRule="auto"/>
        <w:ind w:firstLine="480"/>
        <w:jc w:val="both"/>
        <w:rPr>
          <w:rFonts w:ascii="宋体" w:hAnsi="宋体" w:eastAsia="宋体"/>
          <w:color w:val="000000"/>
        </w:rPr>
      </w:pPr>
    </w:p>
    <w:p w14:paraId="23B946E6">
      <w:pPr>
        <w:pStyle w:val="9"/>
        <w:widowControl/>
        <w:spacing w:beforeAutospacing="0" w:after="60" w:afterAutospacing="0" w:line="400" w:lineRule="auto"/>
        <w:ind w:firstLine="480"/>
        <w:jc w:val="both"/>
        <w:rPr>
          <w:rFonts w:ascii="宋体" w:hAnsi="宋体" w:eastAsia="宋体"/>
          <w:color w:val="000000"/>
        </w:rPr>
      </w:pPr>
    </w:p>
    <w:p w14:paraId="0BDC0E5D">
      <w:pPr>
        <w:pStyle w:val="9"/>
        <w:widowControl/>
        <w:spacing w:beforeAutospacing="0" w:after="60" w:afterAutospacing="0" w:line="400" w:lineRule="auto"/>
        <w:ind w:firstLine="480"/>
        <w:jc w:val="both"/>
        <w:rPr>
          <w:rFonts w:ascii="宋体" w:hAnsi="宋体" w:eastAsia="宋体"/>
          <w:color w:val="000000"/>
        </w:rPr>
      </w:pPr>
    </w:p>
    <w:p w14:paraId="47601B06">
      <w:pPr>
        <w:pStyle w:val="9"/>
        <w:widowControl/>
        <w:spacing w:beforeAutospacing="0" w:after="60" w:afterAutospacing="0" w:line="400" w:lineRule="auto"/>
        <w:ind w:firstLine="480"/>
        <w:jc w:val="both"/>
        <w:rPr>
          <w:rFonts w:ascii="宋体" w:hAnsi="宋体" w:eastAsia="宋体"/>
          <w:color w:val="000000"/>
        </w:rPr>
      </w:pPr>
    </w:p>
    <w:p w14:paraId="79111A47">
      <w:pPr>
        <w:pStyle w:val="9"/>
        <w:widowControl/>
        <w:spacing w:beforeAutospacing="0" w:after="60" w:afterAutospacing="0" w:line="400" w:lineRule="auto"/>
        <w:ind w:firstLine="480"/>
        <w:jc w:val="both"/>
        <w:rPr>
          <w:rFonts w:ascii="宋体" w:hAnsi="宋体" w:eastAsia="宋体"/>
          <w:color w:val="000000"/>
        </w:rPr>
      </w:pPr>
    </w:p>
    <w:p w14:paraId="6542E1F4">
      <w:pPr>
        <w:pStyle w:val="9"/>
        <w:widowControl/>
        <w:spacing w:beforeAutospacing="0" w:after="60" w:afterAutospacing="0" w:line="400" w:lineRule="auto"/>
        <w:ind w:firstLine="480"/>
        <w:jc w:val="both"/>
        <w:rPr>
          <w:rFonts w:ascii="宋体" w:hAnsi="宋体" w:eastAsia="宋体"/>
          <w:color w:val="000000"/>
        </w:rPr>
      </w:pPr>
    </w:p>
    <w:p w14:paraId="16629018">
      <w:pPr>
        <w:pStyle w:val="9"/>
        <w:widowControl/>
        <w:spacing w:beforeAutospacing="0" w:after="60" w:afterAutospacing="0" w:line="400" w:lineRule="auto"/>
        <w:ind w:firstLine="480"/>
        <w:jc w:val="both"/>
        <w:rPr>
          <w:rFonts w:ascii="宋体" w:hAnsi="宋体" w:eastAsia="宋体"/>
          <w:color w:val="000000"/>
        </w:rPr>
      </w:pPr>
    </w:p>
    <w:p w14:paraId="559DDBFD">
      <w:pPr>
        <w:pStyle w:val="9"/>
        <w:widowControl/>
        <w:spacing w:beforeAutospacing="0" w:after="60" w:afterAutospacing="0" w:line="400" w:lineRule="auto"/>
        <w:ind w:firstLine="480"/>
        <w:jc w:val="both"/>
        <w:rPr>
          <w:rFonts w:ascii="宋体" w:hAnsi="宋体" w:eastAsia="宋体"/>
          <w:color w:val="000000"/>
        </w:rPr>
      </w:pPr>
    </w:p>
    <w:p w14:paraId="7810C017">
      <w:pPr>
        <w:pStyle w:val="9"/>
        <w:widowControl/>
        <w:spacing w:beforeAutospacing="0" w:after="60" w:afterAutospacing="0" w:line="400" w:lineRule="auto"/>
        <w:ind w:firstLine="480"/>
        <w:jc w:val="both"/>
        <w:rPr>
          <w:rFonts w:ascii="宋体" w:hAnsi="宋体" w:eastAsia="宋体"/>
          <w:color w:val="000000"/>
        </w:rPr>
      </w:pPr>
    </w:p>
    <w:p w14:paraId="386CD1DC">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第四章：系统架构与工程实现</w:t>
      </w:r>
    </w:p>
    <w:p w14:paraId="2C15743C">
      <w:pPr>
        <w:pStyle w:val="9"/>
        <w:widowControl/>
        <w:spacing w:before="160" w:beforeAutospacing="0" w:after="120" w:afterAutospacing="0" w:line="360" w:lineRule="auto"/>
        <w:rPr>
          <w:rFonts w:ascii="黑体" w:hAnsi="黑体" w:eastAsia="黑体"/>
          <w:b/>
          <w:color w:val="000000"/>
          <w:sz w:val="30"/>
        </w:rPr>
      </w:pPr>
      <w:r>
        <w:rPr>
          <w:rFonts w:ascii="黑体" w:hAnsi="黑体" w:eastAsia="黑体"/>
          <w:b/>
          <w:color w:val="000000"/>
          <w:sz w:val="30"/>
        </w:rPr>
        <w:t>4.1 整体系统架构设计</w:t>
      </w:r>
    </w:p>
    <w:p w14:paraId="5FCF95ED">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本项目采用"前端展示层→后端服务层→模型推理层→数据存储层"的四层架构设计，实现从用户交互到 AI 分析的完整链路。</w:t>
      </w:r>
    </w:p>
    <w:p w14:paraId="1890DC6B">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​（1）前端展示层：包括 Web 平台与微信小程序两个终端。Web 平台面向科研院所、农业企业等专业用户，提供光谱数据批量处理、模型训练展示、质检报表导出等功能；微信小程序面向果农、采购商等移动用户，提供现场扫码、光谱上传、AI 实时诊断等便携功能。</w:t>
      </w:r>
    </w:p>
    <w:p w14:paraId="66755D6F">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​（2）后端服务层：采用 Spring Boot 框架搭建 RESTful API 服务，负责用户认证、数据接收、任务调度、结果返回等核心业务逻辑。后端服务采用微服务架构，各功能模块独立部署，便于扩展维护。</w:t>
      </w:r>
    </w:p>
    <w:p w14:paraId="6BA061EC">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​（3）模型推理层：采用 Flask 搭建 AI 推理服务，加载训练好的深度学习模型，接收光谱数据进行实时预测。模型服务支持 GPU 加速，单次预测耗时控制在 500ms 以内，满足实时检测需求。</w:t>
      </w:r>
    </w:p>
    <w:p w14:paraId="2808FB3D">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​（4）数据存储层：采用 MySQL 存储用户信息、检测记录等业务数据，采用 MongoDB 存储光谱原始数据、模型文件等大文件，采用 Redis 缓存热点数据，提升系统响应速度。</w:t>
      </w:r>
    </w:p>
    <w:p w14:paraId="1B49561C">
      <w:pPr>
        <w:pStyle w:val="9"/>
        <w:widowControl/>
        <w:spacing w:before="160" w:beforeAutospacing="0" w:after="120" w:afterAutospacing="0" w:line="360" w:lineRule="auto"/>
        <w:rPr>
          <w:rFonts w:ascii="黑体" w:hAnsi="黑体" w:eastAsia="黑体"/>
          <w:b/>
          <w:color w:val="000000"/>
          <w:sz w:val="30"/>
        </w:rPr>
      </w:pPr>
      <w:r>
        <w:rPr>
          <w:rFonts w:ascii="黑体" w:hAnsi="黑体" w:eastAsia="黑体"/>
          <w:b/>
          <w:color w:val="000000"/>
          <w:sz w:val="30"/>
        </w:rPr>
        <w:t>4.2 Web 平台设计与实现</w:t>
      </w:r>
    </w:p>
    <w:p w14:paraId="17292BC9">
      <w:pPr>
        <w:pStyle w:val="9"/>
        <w:widowControl/>
        <w:spacing w:before="120" w:beforeAutospacing="0" w:after="80" w:afterAutospacing="0" w:line="360" w:lineRule="auto"/>
        <w:rPr>
          <w:rFonts w:ascii="黑体" w:hAnsi="黑体" w:eastAsia="黑体"/>
          <w:b/>
          <w:color w:val="000000"/>
          <w:sz w:val="28"/>
        </w:rPr>
      </w:pPr>
      <w:r>
        <w:rPr>
          <w:rFonts w:ascii="黑体" w:hAnsi="黑体" w:eastAsia="黑体"/>
          <w:b/>
          <w:color w:val="000000"/>
          <w:sz w:val="28"/>
        </w:rPr>
        <w:t>4.2.1 功能模块说明</w:t>
      </w:r>
    </w:p>
    <w:p w14:paraId="487F240E">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Web 平台面向专业用户设计，包含以下核心功能模块：</w:t>
      </w:r>
    </w:p>
    <w:p w14:paraId="56938B7E">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​（1）光谱数据上传模块：支持 HSI、R210、S960 三种格式的光谱文件批量上传，单文件最大支持 50MB，支持断点续传。上传过程中自动进行格式校验、数据完整性检查，确保数据质量。</w:t>
      </w:r>
    </w:p>
    <w:p w14:paraId="6D5DF1D1">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​（2）AI 自动分析模块：用户上传光谱数据后，系统自动调用 AI 推理服务进行品质预测与产地溯源分析，无需人工干预。分析过程实时显示进度条，用户可直观了解处理状态。</w:t>
      </w:r>
    </w:p>
    <w:p w14:paraId="22ABED7C">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​（3）结果可视化模块：分析完成后，系统以图表形式展示预测结果，包括糖度、酸度、维生素 C 的预测值与置信区间，产地溯源概率分布，光谱曲线与特征波段标注等。</w:t>
      </w:r>
    </w:p>
    <w:p w14:paraId="0BE78964">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​（4）质检报表导出模块：支持将分析结果导出为 PDF、Excel 格式的质检报告，报告包含样本信息、检测指标、预测结果、判定结论等内容，满足企业质控与监管备案需求。</w:t>
      </w:r>
    </w:p>
    <w:p w14:paraId="44251F9B">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​（5）模型训练展示模块：面向科研用户，提供模型训练过程的可视化展示，包括损失曲线、精度曲线、特征重要性排序等，便于模型调试与优化。</w:t>
      </w:r>
    </w:p>
    <w:p w14:paraId="7BB3CEB3">
      <w:pPr>
        <w:pStyle w:val="9"/>
        <w:widowControl/>
        <w:spacing w:before="120" w:beforeAutospacing="0" w:after="80" w:afterAutospacing="0" w:line="360" w:lineRule="auto"/>
        <w:rPr>
          <w:rFonts w:ascii="黑体" w:hAnsi="黑体" w:eastAsia="黑体"/>
          <w:b/>
          <w:color w:val="000000"/>
          <w:sz w:val="28"/>
        </w:rPr>
      </w:pPr>
      <w:r>
        <w:rPr>
          <w:rFonts w:ascii="黑体" w:hAnsi="黑体" w:eastAsia="黑体"/>
          <w:b/>
          <w:color w:val="000000"/>
          <w:sz w:val="28"/>
        </w:rPr>
        <w:t>4.2.2 关键界面展示</w:t>
      </w:r>
    </w:p>
    <w:p w14:paraId="498611FF">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​（1）首页仪表盘：展示系统核心统计数据，包括累计检测样本数、今日检测量、模型平均精度、用户活跃度等，采用卡片式布局，数据实时更新。</w:t>
      </w:r>
    </w:p>
    <w:p w14:paraId="70256DD6">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​（2）数据上传页面：采用拖拽式上传设计，用户可将光谱文件直接拖入上传区域，系统自动识别文件类型并显示上传进度。上传完成后，文件列表显示文件名、大小、上传时间、状态等信息。</w:t>
      </w:r>
    </w:p>
    <w:p w14:paraId="2CA2E04E">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​（3）分析结果页面：采用分栏布局，左侧显示光谱曲线图，右侧显示预测结果卡片。光谱曲线图支持缩放、平移、波段标注等交互操作；预测结果卡片显示糖度、酸度、VC 的预测值、置信区间、判定结论（合格/不合格）。</w:t>
      </w:r>
    </w:p>
    <w:p w14:paraId="199B6F2F">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​（4）报表导出页面：用户可选择需要导出的样本，自定义报告模板（包含哪些指标、是否显示光谱图等），选择导出格式（PDF/Excel），系统生成报告并提供下载链接。</w:t>
      </w:r>
    </w:p>
    <w:p w14:paraId="27A7BDA5">
      <w:pPr>
        <w:pStyle w:val="9"/>
        <w:widowControl/>
        <w:spacing w:before="160" w:beforeAutospacing="0" w:after="120" w:afterAutospacing="0" w:line="360" w:lineRule="auto"/>
        <w:rPr>
          <w:rFonts w:ascii="黑体" w:hAnsi="黑体" w:eastAsia="黑体"/>
          <w:b/>
          <w:color w:val="000000"/>
          <w:sz w:val="30"/>
        </w:rPr>
      </w:pPr>
      <w:r>
        <w:rPr>
          <w:rFonts w:ascii="黑体" w:hAnsi="黑体" w:eastAsia="黑体"/>
          <w:b/>
          <w:color w:val="000000"/>
          <w:sz w:val="30"/>
        </w:rPr>
        <w:t>4.3 微信小程序设计与实现</w:t>
      </w:r>
    </w:p>
    <w:p w14:paraId="0C577508">
      <w:pPr>
        <w:pStyle w:val="9"/>
        <w:widowControl/>
        <w:spacing w:before="120" w:beforeAutospacing="0" w:after="80" w:afterAutospacing="0" w:line="360" w:lineRule="auto"/>
        <w:rPr>
          <w:rFonts w:ascii="黑体" w:hAnsi="黑体" w:eastAsia="黑体"/>
          <w:b/>
          <w:color w:val="000000"/>
          <w:sz w:val="28"/>
        </w:rPr>
      </w:pPr>
      <w:r>
        <w:rPr>
          <w:rFonts w:ascii="黑体" w:hAnsi="黑体" w:eastAsia="黑体"/>
          <w:b/>
          <w:color w:val="000000"/>
          <w:sz w:val="28"/>
        </w:rPr>
        <w:t>4.3.1 小程序功能架构</w:t>
      </w:r>
    </w:p>
    <w:p w14:paraId="7349EAD2">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微信小程序面向移动场景设计，采用轻量化架构，核心功能包括：</w:t>
      </w:r>
    </w:p>
    <w:p w14:paraId="571C0921">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​（1）扫码识别模块：扫描柑橘包装上的二维码，自动获取样本基本信息（品种、产地、采摘日期等），减少人工输入。</w:t>
      </w:r>
    </w:p>
    <w:p w14:paraId="062005F2">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​（2）光谱上传模块：通过蓝牙/WiFi 连接便携式光谱仪，直接采集光谱数据并上传至云端；或从手机相册选择已保存的光谱文件进行上传。</w:t>
      </w:r>
    </w:p>
    <w:p w14:paraId="39DBF112">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​（3）AI 诊断模块：调用云端 AI 服务进行实时分析，返回品质预测与产地溯源结果。诊断结果以简洁的卡片形式展示，便于移动端阅读。</w:t>
      </w:r>
    </w:p>
    <w:p w14:paraId="7F6194D2">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​（4）历史记录模块：保存用户的检测历史记录，支持按时间、品种、产地等条件筛选，方便用户追溯对比。</w:t>
      </w:r>
    </w:p>
    <w:p w14:paraId="788072D4">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​（5）知识科普模块：提供柑橘品质标准、产地特征、检测知识等科普内容，提升用户对检测结果的认知与理解。</w:t>
      </w:r>
    </w:p>
    <w:p w14:paraId="7DCD7E61">
      <w:pPr>
        <w:pStyle w:val="9"/>
        <w:widowControl/>
        <w:spacing w:before="120" w:beforeAutospacing="0" w:after="80" w:afterAutospacing="0" w:line="360" w:lineRule="auto"/>
        <w:rPr>
          <w:rFonts w:ascii="黑体" w:hAnsi="黑体" w:eastAsia="黑体"/>
          <w:b/>
          <w:color w:val="000000"/>
          <w:sz w:val="28"/>
        </w:rPr>
      </w:pPr>
      <w:r>
        <w:rPr>
          <w:rFonts w:ascii="黑体" w:hAnsi="黑体" w:eastAsia="黑体"/>
          <w:b/>
          <w:color w:val="000000"/>
          <w:sz w:val="28"/>
        </w:rPr>
        <w:t>4.3.2 用户交互流程设计</w:t>
      </w:r>
    </w:p>
    <w:p w14:paraId="289379A7">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小程序采用"三步检测"的简化交互流程：</w:t>
      </w:r>
    </w:p>
    <w:p w14:paraId="27E3EEAC">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第一步：扫码/手动录入：用户扫描包装二维码或手动选择品种、产地等基本信息，耗时约 10 秒。</w:t>
      </w:r>
    </w:p>
    <w:p w14:paraId="51AF2871">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第二步：光谱采集/上传：用户连接便携光谱仪进行采集，或从相册选择已保存的光谱文件，耗时约 30 秒。</w:t>
      </w:r>
    </w:p>
    <w:p w14:paraId="37C0B770">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第三步：AI 诊断与结果展示：系统自动调用 AI 服务进行分析，约 3-5 秒后返回结果，以卡片形式展示糖度、酸度、VC 预测值及产地溯源结论。</w:t>
      </w:r>
    </w:p>
    <w:p w14:paraId="0C16A5C0">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整个检测流程控制在 1 分钟以内，满足果园、商超等移动场景的快速检测需求。</w:t>
      </w:r>
    </w:p>
    <w:p w14:paraId="74996F22">
      <w:pPr>
        <w:pStyle w:val="9"/>
        <w:widowControl/>
        <w:spacing w:before="120" w:beforeAutospacing="0" w:after="80" w:afterAutospacing="0" w:line="360" w:lineRule="auto"/>
        <w:rPr>
          <w:rFonts w:ascii="黑体" w:hAnsi="黑体" w:eastAsia="黑体"/>
          <w:b/>
          <w:color w:val="000000"/>
          <w:sz w:val="28"/>
        </w:rPr>
      </w:pPr>
      <w:r>
        <w:rPr>
          <w:rFonts w:ascii="黑体" w:hAnsi="黑体" w:eastAsia="黑体"/>
          <w:b/>
          <w:color w:val="000000"/>
          <w:sz w:val="28"/>
        </w:rPr>
        <w:t>4.3.3 关键界面展示</w:t>
      </w:r>
    </w:p>
    <w:p w14:paraId="001AA2F0">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​（1）首页：采用大按钮设计，核心功能"开始检测"置于页面中央，下方显示最近检测记录缩略图。顶部显示用户信息、检测次数统计等。</w:t>
      </w:r>
    </w:p>
    <w:p w14:paraId="6F8A82F0">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​（2）检测页面：分步骤引导用户完成检测流程，每一步显示清晰的操作指引与进度提示。光谱采集界面显示实时光谱曲线，用户可直观判断数据质量。</w:t>
      </w:r>
    </w:p>
    <w:p w14:paraId="4052EB36">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​（3）结果页面：采用卡片式布局，糖度、酸度、VC 分别用独立卡片展示，卡片背景色根据品质等级（优/良/合格/不合格）动态变化。产地溯源结果以概率条形式展示，澄迈/琼中的概率分布一目了然。</w:t>
      </w:r>
    </w:p>
    <w:p w14:paraId="2DF3B4CA">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​（4）历史记录页面：采用列表形式展示历史检测记录，每条记录显示检测时间、品种、糖度、产地等关键信息，支持点击查看详情。</w:t>
      </w:r>
    </w:p>
    <w:p w14:paraId="205B7609">
      <w:pPr>
        <w:pStyle w:val="9"/>
        <w:widowControl/>
        <w:spacing w:before="160" w:beforeAutospacing="0" w:after="120" w:afterAutospacing="0" w:line="360" w:lineRule="auto"/>
        <w:rPr>
          <w:rFonts w:ascii="黑体" w:hAnsi="黑体" w:eastAsia="黑体"/>
          <w:b/>
          <w:color w:val="000000"/>
          <w:sz w:val="30"/>
        </w:rPr>
      </w:pPr>
      <w:r>
        <w:rPr>
          <w:rFonts w:ascii="黑体" w:hAnsi="黑体" w:eastAsia="黑体"/>
          <w:b/>
          <w:color w:val="000000"/>
          <w:sz w:val="30"/>
        </w:rPr>
        <w:t>4.4 AI 分析服务接口设计</w:t>
      </w:r>
    </w:p>
    <w:p w14:paraId="6BAB47FC">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（1）API 设计</w:t>
      </w:r>
    </w:p>
    <w:p w14:paraId="6ADACA7F">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本项目采用 RESTful 风格设计 AI 分析接口，核心接口包括：</w:t>
      </w:r>
    </w:p>
    <w:p w14:paraId="2CABF0C6">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​① 光谱上传接口：POST /api/v1/spectrum/upload</w:t>
      </w:r>
    </w:p>
    <w:p w14:paraId="2253EDFA">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请求参数：文件（multipart/form-data）、样本信息（JSON）</w:t>
      </w:r>
    </w:p>
    <w:p w14:paraId="0322B7DB">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返回结果：文件 ID、上传状态、校验信息</w:t>
      </w:r>
    </w:p>
    <w:p w14:paraId="084BC75C">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​② AI 分析接口：POST /api/v1/analysis/predict</w:t>
      </w:r>
    </w:p>
    <w:p w14:paraId="1777B860">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请求参数：文件 ID、分析类型（品质预测/产地溯源/全分析）</w:t>
      </w:r>
    </w:p>
    <w:p w14:paraId="0093AD14">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返回结果：预测结果（糖度、酸度、VC、产地概率）、置信度、判定结论</w:t>
      </w:r>
    </w:p>
    <w:p w14:paraId="462A6E60">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​③ 历史记录接口：GET /api/v1/history/list</w:t>
      </w:r>
    </w:p>
    <w:p w14:paraId="0E3E4886">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请求参数：用户 ID、分页参数、筛选条件</w:t>
      </w:r>
    </w:p>
    <w:p w14:paraId="01239DB6">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返回结果：历史记录列表、总数</w:t>
      </w:r>
    </w:p>
    <w:p w14:paraId="570E99F6">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​④ 报表导出接口：POST /api/v1/report/export</w:t>
      </w:r>
    </w:p>
    <w:p w14:paraId="5BCD4F71">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请求参数：样本 ID 列表、报告模板、导出格式</w:t>
      </w:r>
    </w:p>
    <w:p w14:paraId="7B93222D">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返回结果：文件下载 URL、有效期</w:t>
      </w:r>
    </w:p>
    <w:p w14:paraId="2966021F">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（2）模型部署方案</w:t>
      </w:r>
    </w:p>
    <w:p w14:paraId="0932794A">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模型部署采用"Docker 容器化+Kubernetes 编排"的方案：</w:t>
      </w:r>
    </w:p>
    <w:p w14:paraId="7DE36E3C">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​① 容器化封装：将 AI 推理服务及其依赖环境（Python、PyTorch、CUDA 等）封装为 Docker 镜像，确保环境一致性，便于跨平台部署。</w:t>
      </w:r>
    </w:p>
    <w:p w14:paraId="1B78E9A2">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​② 服务编排：采用 Kubernetes 进行容器编排，实现自动扩缩容、负载均衡、故障恢复等功能。当检测请求量激增时，系统自动增加推理服务实例；当请求量下降时，自动缩减实例以节省资源。</w:t>
      </w:r>
    </w:p>
    <w:p w14:paraId="2A94A469">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​③ GPU 加速：推理服务部署在 GPU 服务器上，利用 CUDA 加速矩阵运算，单次预测耗时从 CPU 的 3-5 秒降至 500ms 以内，满足实时检测需求。</w:t>
      </w:r>
    </w:p>
    <w:p w14:paraId="3D79261C">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​④ 版本管理：采用模型版本控制机制，支持多版本模型并行部署，便于 A/B 测试与灰度发布。当新模型训练完成后，可先在小流量下验证效果，确认无误后再全量切换。</w:t>
      </w:r>
    </w:p>
    <w:p w14:paraId="40F162FA">
      <w:pPr>
        <w:pStyle w:val="9"/>
        <w:widowControl/>
        <w:spacing w:before="160" w:beforeAutospacing="0" w:after="120" w:afterAutospacing="0" w:line="360" w:lineRule="auto"/>
        <w:rPr>
          <w:rFonts w:ascii="黑体" w:hAnsi="黑体" w:eastAsia="黑体"/>
          <w:b/>
          <w:color w:val="000000"/>
          <w:sz w:val="30"/>
        </w:rPr>
      </w:pPr>
      <w:r>
        <w:rPr>
          <w:rFonts w:ascii="黑体" w:hAnsi="黑体" w:eastAsia="黑体"/>
          <w:b/>
          <w:color w:val="000000"/>
          <w:sz w:val="30"/>
        </w:rPr>
        <w:t>4.5 数据安全与系统稳定性设计</w:t>
      </w:r>
    </w:p>
    <w:p w14:paraId="4A45A72C">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（1）数据安全措施</w:t>
      </w:r>
    </w:p>
    <w:p w14:paraId="614A4405">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​① 传输加密：采用 HTTPS 协议进行数据传输，所有 API 请求均通过 TLS 1.3 加密，防止数据在传输过程中被窃取或篡改。</w:t>
      </w:r>
    </w:p>
    <w:p w14:paraId="191757C8">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​② 存储加密：光谱原始数据、用户信息等敏感数据在存储前进行 AES-256 加密，密钥采用 KMS 密钥管理服务进行托管，确保数据安全。</w:t>
      </w:r>
    </w:p>
    <w:p w14:paraId="40A1EA59">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​③ 访问控制：采用 JWT（JSON Web Token）进行用户认证，API 接口实施权限校验，未授权请求直接拒绝。敏感操作（如数据删除、模型更新）需二次验证。</w:t>
      </w:r>
    </w:p>
    <w:p w14:paraId="662D3217">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​④ 数据备份：采用"本地 + 云端"双备份策略，业务数据每日增量备份、每周全量备份，备份数据保留 90 天，确保数据可恢复。</w:t>
      </w:r>
    </w:p>
    <w:p w14:paraId="2696BB59">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（2）系统稳定性设计</w:t>
      </w:r>
    </w:p>
    <w:p w14:paraId="61B44EF5">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​① 负载均衡：采用 Nginx 进行请求分发，将用户请求均匀分配至多个后端服务实例，避免单点过载。</w:t>
      </w:r>
    </w:p>
    <w:p w14:paraId="6692D9FE">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​② 熔断降级：当 AI 推理服务响应超时或错误率超过阈值时，自动触发熔断机制，返回降级结果（如基于历史数据的估算值），保障系统可用性。</w:t>
      </w:r>
    </w:p>
    <w:p w14:paraId="1A426545">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​③ 监控告警：采用 Prometheus+Grafana 搭建监控系统，实时采集系统指标（CPU、内存、请求量、响应时间等），当指标异常时自动触发告警（短信、邮件、钉钉）。</w:t>
      </w:r>
    </w:p>
    <w:p w14:paraId="302E0BDD">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​④ 日志审计：采用 ELK（Elasticsearch+Logstash+Kibana）搭建日志系统，记录所有 API 请求、用户操作、系统异常等日志，便于问题排查与安全审计。</w:t>
      </w:r>
    </w:p>
    <w:p w14:paraId="35FBFE8B">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经压力测试，系统在 1000 并发用户下响应时间保持在 2 秒以内，可用性达到 99.9%，满足生产环境要求。</w:t>
      </w:r>
    </w:p>
    <w:p w14:paraId="2ECD7A86">
      <w:pPr>
        <w:pStyle w:val="9"/>
        <w:widowControl/>
        <w:spacing w:beforeAutospacing="0" w:after="60" w:afterAutospacing="0" w:line="400" w:lineRule="auto"/>
        <w:ind w:firstLine="480"/>
        <w:jc w:val="both"/>
        <w:rPr>
          <w:rFonts w:ascii="宋体" w:hAnsi="宋体" w:eastAsia="宋体"/>
          <w:color w:val="000000"/>
        </w:rPr>
      </w:pPr>
    </w:p>
    <w:p w14:paraId="056E2CEB">
      <w:pPr>
        <w:pStyle w:val="9"/>
        <w:widowControl/>
        <w:spacing w:beforeAutospacing="0" w:after="60" w:afterAutospacing="0" w:line="400" w:lineRule="auto"/>
        <w:ind w:firstLine="480"/>
        <w:jc w:val="both"/>
        <w:rPr>
          <w:rFonts w:ascii="宋体" w:hAnsi="宋体" w:eastAsia="宋体"/>
          <w:color w:val="000000"/>
        </w:rPr>
      </w:pPr>
    </w:p>
    <w:p w14:paraId="4118DC7C">
      <w:pPr>
        <w:pStyle w:val="9"/>
        <w:widowControl/>
        <w:spacing w:beforeAutospacing="0" w:after="60" w:afterAutospacing="0" w:line="400" w:lineRule="auto"/>
        <w:ind w:firstLine="480"/>
        <w:jc w:val="both"/>
        <w:rPr>
          <w:rFonts w:ascii="宋体" w:hAnsi="宋体" w:eastAsia="宋体"/>
          <w:color w:val="000000"/>
        </w:rPr>
      </w:pPr>
    </w:p>
    <w:p w14:paraId="2F614FD5">
      <w:pPr>
        <w:pStyle w:val="9"/>
        <w:widowControl/>
        <w:spacing w:beforeAutospacing="0" w:after="60" w:afterAutospacing="0" w:line="400" w:lineRule="auto"/>
        <w:ind w:firstLine="480"/>
        <w:jc w:val="both"/>
        <w:rPr>
          <w:rFonts w:ascii="宋体" w:hAnsi="宋体" w:eastAsia="宋体"/>
          <w:color w:val="000000"/>
        </w:rPr>
      </w:pPr>
    </w:p>
    <w:p w14:paraId="15F8977B">
      <w:pPr>
        <w:pStyle w:val="9"/>
        <w:widowControl/>
        <w:spacing w:beforeAutospacing="0" w:after="60" w:afterAutospacing="0" w:line="400" w:lineRule="auto"/>
        <w:ind w:firstLine="480"/>
        <w:jc w:val="both"/>
        <w:rPr>
          <w:rFonts w:ascii="宋体" w:hAnsi="宋体" w:eastAsia="宋体"/>
          <w:color w:val="000000"/>
        </w:rPr>
      </w:pPr>
    </w:p>
    <w:p w14:paraId="6B46D51C">
      <w:pPr>
        <w:pStyle w:val="9"/>
        <w:widowControl/>
        <w:spacing w:beforeAutospacing="0" w:after="60" w:afterAutospacing="0" w:line="400" w:lineRule="auto"/>
        <w:ind w:firstLine="480"/>
        <w:jc w:val="both"/>
        <w:rPr>
          <w:rFonts w:ascii="宋体" w:hAnsi="宋体" w:eastAsia="宋体"/>
          <w:color w:val="000000"/>
        </w:rPr>
      </w:pPr>
    </w:p>
    <w:p w14:paraId="202B9817">
      <w:pPr>
        <w:pStyle w:val="9"/>
        <w:widowControl/>
        <w:spacing w:beforeAutospacing="0" w:after="60" w:afterAutospacing="0" w:line="400" w:lineRule="auto"/>
        <w:ind w:firstLine="480"/>
        <w:jc w:val="both"/>
        <w:rPr>
          <w:rFonts w:ascii="宋体" w:hAnsi="宋体" w:eastAsia="宋体"/>
          <w:color w:val="000000"/>
        </w:rPr>
      </w:pPr>
    </w:p>
    <w:p w14:paraId="601A5763">
      <w:pPr>
        <w:pStyle w:val="9"/>
        <w:widowControl/>
        <w:spacing w:beforeAutospacing="0" w:after="60" w:afterAutospacing="0" w:line="400" w:lineRule="auto"/>
        <w:ind w:firstLine="480"/>
        <w:jc w:val="both"/>
        <w:rPr>
          <w:rFonts w:ascii="宋体" w:hAnsi="宋体" w:eastAsia="宋体"/>
          <w:color w:val="000000"/>
        </w:rPr>
      </w:pPr>
    </w:p>
    <w:p w14:paraId="6F623DB4">
      <w:pPr>
        <w:pStyle w:val="9"/>
        <w:widowControl/>
        <w:spacing w:beforeAutospacing="0" w:after="60" w:afterAutospacing="0" w:line="400" w:lineRule="auto"/>
        <w:ind w:firstLine="480"/>
        <w:jc w:val="both"/>
        <w:rPr>
          <w:rFonts w:ascii="宋体" w:hAnsi="宋体" w:eastAsia="宋体"/>
          <w:color w:val="000000"/>
        </w:rPr>
      </w:pPr>
    </w:p>
    <w:p w14:paraId="71BFC3D5">
      <w:pPr>
        <w:pStyle w:val="9"/>
        <w:widowControl/>
        <w:spacing w:beforeAutospacing="0" w:after="60" w:afterAutospacing="0" w:line="400" w:lineRule="auto"/>
        <w:ind w:firstLine="480"/>
        <w:jc w:val="both"/>
        <w:rPr>
          <w:rFonts w:ascii="宋体" w:hAnsi="宋体" w:eastAsia="宋体"/>
          <w:color w:val="000000"/>
        </w:rPr>
      </w:pPr>
    </w:p>
    <w:p w14:paraId="673E06B8">
      <w:pPr>
        <w:pStyle w:val="9"/>
        <w:widowControl/>
        <w:spacing w:beforeAutospacing="0" w:after="60" w:afterAutospacing="0" w:line="400" w:lineRule="auto"/>
        <w:ind w:firstLine="480"/>
        <w:jc w:val="both"/>
        <w:rPr>
          <w:rFonts w:ascii="宋体" w:hAnsi="宋体" w:eastAsia="宋体"/>
          <w:color w:val="000000"/>
        </w:rPr>
      </w:pPr>
    </w:p>
    <w:p w14:paraId="5C94B605">
      <w:pPr>
        <w:pStyle w:val="9"/>
        <w:widowControl/>
        <w:spacing w:beforeAutospacing="0" w:after="60" w:afterAutospacing="0" w:line="400" w:lineRule="auto"/>
        <w:ind w:firstLine="480"/>
        <w:jc w:val="both"/>
        <w:rPr>
          <w:rFonts w:ascii="宋体" w:hAnsi="宋体" w:eastAsia="宋体"/>
          <w:color w:val="000000"/>
        </w:rPr>
      </w:pPr>
    </w:p>
    <w:p w14:paraId="3D877E80">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第五章：实验结果与分析</w:t>
      </w:r>
    </w:p>
    <w:p w14:paraId="5DE52B72">
      <w:pPr>
        <w:pStyle w:val="9"/>
        <w:widowControl/>
        <w:spacing w:before="160" w:beforeAutospacing="0" w:after="120" w:afterAutospacing="0" w:line="360" w:lineRule="auto"/>
        <w:rPr>
          <w:rFonts w:ascii="黑体" w:hAnsi="黑体" w:eastAsia="黑体"/>
          <w:b/>
          <w:color w:val="000000"/>
          <w:sz w:val="30"/>
        </w:rPr>
      </w:pPr>
      <w:r>
        <w:rPr>
          <w:rFonts w:ascii="黑体" w:hAnsi="黑体" w:eastAsia="黑体"/>
          <w:b/>
          <w:color w:val="000000"/>
          <w:sz w:val="30"/>
        </w:rPr>
        <w:t>5.1 品质预测实验结果</w:t>
      </w:r>
    </w:p>
    <w:p w14:paraId="58C8F015">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本项目在 200+ 组海南柑橘样本数据集上进行品质预测实验，测试集占比 20%，采用 5 折交叉验证确保结果稳定性。实验结果如下：</w:t>
      </w:r>
    </w:p>
    <w:p w14:paraId="2EACC599">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​（1）糖度（固形物）预测：</w:t>
      </w:r>
    </w:p>
    <w:p w14:paraId="0728936D">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最优模型：Transformer+ 注意力融合</w:t>
      </w:r>
    </w:p>
    <w:p w14:paraId="24458905">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R²=0.94，RMSE=0.41，MAPE=3.2%</w:t>
      </w:r>
    </w:p>
    <w:p w14:paraId="714592F3">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与传统滴定法对比：相关系数 0.96，偏差在±0.5Brix 以内</w:t>
      </w:r>
    </w:p>
    <w:p w14:paraId="55CDD014">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判定：达到行业领先水平，满足生产质控需求</w:t>
      </w:r>
    </w:p>
    <w:p w14:paraId="3B533565">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​（2）酸度预测：</w:t>
      </w:r>
    </w:p>
    <w:p w14:paraId="270B1D72">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最优模型：1D-CNN+ 注意力融合</w:t>
      </w:r>
    </w:p>
    <w:p w14:paraId="37ADE308">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R²=0.91，RMSE=0.38，MAPE=4.1%</w:t>
      </w:r>
    </w:p>
    <w:p w14:paraId="5C4DA8DC">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与传统滴定法对比：相关系数 0.94，偏差在±0.3% 以内</w:t>
      </w:r>
    </w:p>
    <w:p w14:paraId="5EF50DC2">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判定：精度满足生产质控需求</w:t>
      </w:r>
    </w:p>
    <w:p w14:paraId="7119F4FE">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​（3）维生素 C 预测：</w:t>
      </w:r>
    </w:p>
    <w:p w14:paraId="6598307A">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最优模型：Transformer+ 决策级融合</w:t>
      </w:r>
    </w:p>
    <w:p w14:paraId="476B4EBA">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R²=0.88，RMSE=2.1mg/100g，MAPE=5.6%</w:t>
      </w:r>
    </w:p>
    <w:p w14:paraId="43FD25CE">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与液质联用法对比：相关系数 0.91，偏差在±3mg/100g 以内</w:t>
      </w:r>
    </w:p>
    <w:p w14:paraId="12BFC998">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判定：精度略低于糖度与酸度，但满足快速筛查需求</w:t>
      </w:r>
    </w:p>
    <w:p w14:paraId="3BA2DF1D">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​（4）综合对比：</w:t>
      </w:r>
    </w:p>
    <w:p w14:paraId="69EB3B8F">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检测耗时：本系统单次检测约 3-5 秒（含上传与分析），传统滴定法单次检测约 30-60 分钟</w:t>
      </w:r>
    </w:p>
    <w:p w14:paraId="55D45620">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检测成本：本系统单次检测成本约 2-5 元（主要为设备折旧），传统滴定法单次检测成本约 50-100 元（含试剂与人工）</w:t>
      </w:r>
    </w:p>
    <w:p w14:paraId="78D418E0">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样品损耗：本系统为无损检测，样品可继续销售；传统滴定法需切开果实、挤压取汁，样品完全损耗</w:t>
      </w:r>
    </w:p>
    <w:p w14:paraId="53405BD1">
      <w:pPr>
        <w:pStyle w:val="9"/>
        <w:widowControl/>
        <w:spacing w:before="160" w:beforeAutospacing="0" w:after="120" w:afterAutospacing="0" w:line="360" w:lineRule="auto"/>
        <w:rPr>
          <w:rFonts w:ascii="黑体" w:hAnsi="黑体" w:eastAsia="黑体"/>
          <w:b/>
          <w:color w:val="000000"/>
          <w:sz w:val="30"/>
        </w:rPr>
      </w:pPr>
      <w:r>
        <w:rPr>
          <w:rFonts w:ascii="黑体" w:hAnsi="黑体" w:eastAsia="黑体"/>
          <w:b/>
          <w:color w:val="000000"/>
          <w:sz w:val="30"/>
        </w:rPr>
        <w:t>5.2 多仪器融合 vs 单仪器对比分析</w:t>
      </w:r>
    </w:p>
    <w:p w14:paraId="4D47CFA7">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为验证多模态光谱融合的有效性，本项目设计单仪器与多仪器融合对比实验：</w:t>
      </w:r>
    </w:p>
    <w:p w14:paraId="5C3A5D9F">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​（1）HSI 高光谱单仪器：</w:t>
      </w:r>
    </w:p>
    <w:p w14:paraId="601C291D">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糖度预测：R²=0.89，RMSE=0.56</w:t>
      </w:r>
    </w:p>
    <w:p w14:paraId="60D34347">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酸度预测：R²=0.85，RMSE=0.49</w:t>
      </w:r>
    </w:p>
    <w:p w14:paraId="013DFBE7">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产地溯源：准确率 93.2%</w:t>
      </w:r>
    </w:p>
    <w:p w14:paraId="467A9505">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优势：空间分辨率高，可检测表面缺陷</w:t>
      </w:r>
    </w:p>
    <w:p w14:paraId="61D349F0">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劣势：近红外波段覆盖不足，分子振动信息有限</w:t>
      </w:r>
    </w:p>
    <w:p w14:paraId="548190D1">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​（2）R210 近红外单仪器：</w:t>
      </w:r>
    </w:p>
    <w:p w14:paraId="1BF6E9C8">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糖度预测：R²=0.87，RMSE=0.61</w:t>
      </w:r>
    </w:p>
    <w:p w14:paraId="54C7B755">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酸度预测：R²=0.83，RMSE=0.53</w:t>
      </w:r>
    </w:p>
    <w:p w14:paraId="3D093E21">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产地溯源：准确率 91.5%</w:t>
      </w:r>
    </w:p>
    <w:p w14:paraId="6DDA43CE">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优势：近红外波段覆盖广（900-2500nm），分子振动信息丰富</w:t>
      </w:r>
    </w:p>
    <w:p w14:paraId="2ED55263">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劣势：无空间信息，无法检测表型特征</w:t>
      </w:r>
    </w:p>
    <w:p w14:paraId="170C7AFF">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​（3）S960 近红外单仪器：</w:t>
      </w:r>
    </w:p>
    <w:p w14:paraId="5902A1B4">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糖度预测：R²=0.85，RMSE=0.65</w:t>
      </w:r>
    </w:p>
    <w:p w14:paraId="24EF5320">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酸度预测：R²=0.81，RMSE=0.57</w:t>
      </w:r>
    </w:p>
    <w:p w14:paraId="04D796B1">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产地溯源：准确率 90.1%</w:t>
      </w:r>
    </w:p>
    <w:p w14:paraId="0F451171">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优势：便携性好，适合移动场景</w:t>
      </w:r>
    </w:p>
    <w:p w14:paraId="7CC7B168">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劣势：波段覆盖较窄，精度略低</w:t>
      </w:r>
    </w:p>
    <w:p w14:paraId="6DADB21A">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​（4）多仪器融合（注意力加权）​：</w:t>
      </w:r>
    </w:p>
    <w:p w14:paraId="5DB468EA">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糖度预测：R²=0.94，RMSE=0.41，较单仪器最优提升 5.6%</w:t>
      </w:r>
    </w:p>
    <w:p w14:paraId="0FE52038">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酸度预测：R²=0.91，RMSE=0.38，较单仪器最优提升 7.1%</w:t>
      </w:r>
    </w:p>
    <w:p w14:paraId="49037B6B">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产地溯源：准确率 96.8%，较单仪器最优提升 3.9%</w:t>
      </w:r>
    </w:p>
    <w:p w14:paraId="77645084">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优势：融合 HSI 的空间表型与 NIR 的分子振动信息，优势互补</w:t>
      </w:r>
    </w:p>
    <w:p w14:paraId="74476216">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劣势：设备成本略高，数据处理复杂度增加</w:t>
      </w:r>
    </w:p>
    <w:p w14:paraId="014639B0">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实验结果表明，多仪器融合策略在各项指标上均优于单仪器，验证了"全谱段数字孪生"设计思路的有效性。</w:t>
      </w:r>
    </w:p>
    <w:p w14:paraId="5E2574C2">
      <w:pPr>
        <w:pStyle w:val="9"/>
        <w:widowControl/>
        <w:spacing w:before="160" w:beforeAutospacing="0" w:after="120" w:afterAutospacing="0" w:line="360" w:lineRule="auto"/>
        <w:rPr>
          <w:rFonts w:ascii="黑体" w:hAnsi="黑体" w:eastAsia="黑体"/>
          <w:b/>
          <w:color w:val="000000"/>
          <w:sz w:val="30"/>
        </w:rPr>
      </w:pPr>
      <w:r>
        <w:rPr>
          <w:rFonts w:ascii="黑体" w:hAnsi="黑体" w:eastAsia="黑体"/>
          <w:b/>
          <w:color w:val="000000"/>
          <w:sz w:val="30"/>
        </w:rPr>
        <w:t>5.3 产地溯源分类准确率分析</w:t>
      </w:r>
    </w:p>
    <w:p w14:paraId="373C0BC8">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产地溯源任务为二分类问题（澄迈福橙 vs 琼中绿橙）。本项目在测试集上的分类结果如下：</w:t>
      </w:r>
    </w:p>
    <w:p w14:paraId="4669CE82">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​（1）混淆矩阵分析：</w:t>
      </w:r>
    </w:p>
    <w:p w14:paraId="493D838E">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澄迈福橙：正确分类 97 个，误判为琼中 3 个，召回率 97.0%</w:t>
      </w:r>
    </w:p>
    <w:p w14:paraId="6FA648C4">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琼中绿橙：正确分类 96 个，误判为澄迈 4 个，召回率 96.0%</w:t>
      </w:r>
    </w:p>
    <w:p w14:paraId="424285FF">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总体准确率：96.8%</w:t>
      </w:r>
    </w:p>
    <w:p w14:paraId="36CD6A3F">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​（2）误判样本分析： 对 7 个误判样本进行回溯分析，发现以下规律：</w:t>
      </w:r>
    </w:p>
    <w:p w14:paraId="5AB4E77E">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5 个样本来自两产区交界地带，土壤成分与气候条件相似，光谱特征接近</w:t>
      </w:r>
    </w:p>
    <w:p w14:paraId="2039D6B6">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2 个样本因采摘时间过早，果实成熟度不足，特征表达不充分</w:t>
      </w:r>
    </w:p>
    <w:p w14:paraId="4072EBD0">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判定：误判样本具有合理性，不影响系统整体可靠性</w:t>
      </w:r>
    </w:p>
    <w:p w14:paraId="278FC68E">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​（3）与其他溯源技术对比：</w:t>
      </w:r>
    </w:p>
    <w:p w14:paraId="2220BBE3">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二维码/标签溯源：准确率取决于标签真实性，易被仿冒，实际可靠性约 60-70%</w:t>
      </w:r>
    </w:p>
    <w:p w14:paraId="000CEB4F">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同位素溯源：准确率 95% 以上，但设备昂贵（百万级）、检测耗时（数小时）、成本高（单样 500+ 元）</w:t>
      </w:r>
    </w:p>
    <w:p w14:paraId="363C5616">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本系统光谱溯源：准确率 96.8%，设备成本适中（十万级）、检测快速（秒级）、成本低（单样 2-5 元）</w:t>
      </w:r>
    </w:p>
    <w:p w14:paraId="06EF95C2">
      <w:pPr>
        <w:pStyle w:val="9"/>
        <w:widowControl/>
        <w:spacing w:before="160" w:beforeAutospacing="0" w:after="120" w:afterAutospacing="0" w:line="360" w:lineRule="auto"/>
        <w:rPr>
          <w:rFonts w:ascii="黑体" w:hAnsi="黑体" w:eastAsia="黑体"/>
          <w:b/>
          <w:color w:val="000000"/>
          <w:sz w:val="30"/>
        </w:rPr>
      </w:pPr>
      <w:r>
        <w:rPr>
          <w:rFonts w:ascii="黑体" w:hAnsi="黑体" w:eastAsia="黑体"/>
          <w:b/>
          <w:color w:val="000000"/>
          <w:sz w:val="30"/>
        </w:rPr>
        <w:t>5.4 光谱特征可解释性分析</w:t>
      </w:r>
    </w:p>
    <w:p w14:paraId="2B98FE34">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为提升模型可解释性，本项目对特征波段进行可视化分析：</w:t>
      </w:r>
    </w:p>
    <w:p w14:paraId="5DF95448">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​（1）糖度特征波段：</w:t>
      </w:r>
    </w:p>
    <w:p w14:paraId="77485B2C">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主要分布在 950-1050nm、1150-1250nm、1400-1500nm 区间</w:t>
      </w:r>
    </w:p>
    <w:p w14:paraId="5E67D9AE">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对应 O-H 键、C-H 键的倍频与合频吸收，与糖类分子结构直接相关</w:t>
      </w:r>
    </w:p>
    <w:p w14:paraId="11F7D6F8">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与文献报道的糖度特征波段一致，验证了模型的科学性</w:t>
      </w:r>
    </w:p>
    <w:p w14:paraId="4F5131AA">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​（2）酸度特征波段：</w:t>
      </w:r>
    </w:p>
    <w:p w14:paraId="100DB3F4">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主要分布在 1100-1200nm、1350-1450nm、1650-1750nm 区间</w:t>
      </w:r>
    </w:p>
    <w:p w14:paraId="3023E6CD">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对应 C=O 键、O-H 键的振动吸收，与有机酸分子结构相关</w:t>
      </w:r>
    </w:p>
    <w:p w14:paraId="39FA5ECA">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与柠檬酸、苹果酸等柑橘主要有机酸的特征吸收峰吻合</w:t>
      </w:r>
    </w:p>
    <w:p w14:paraId="560F8112">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​（3）产地特征波段：</w:t>
      </w:r>
    </w:p>
    <w:p w14:paraId="4BAB7DD5">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主要分布在 550-650nm（可见光区）、1300-1400nm（近红外区）</w:t>
      </w:r>
    </w:p>
    <w:p w14:paraId="14948460">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可见光区特征与果皮色素（叶绿素、类胡萝卜素）相关，反映产区光照条件差异</w:t>
      </w:r>
    </w:p>
    <w:p w14:paraId="02A1DB61">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近红外区特征与土壤微量元素吸收相关，反映产区土壤成分差异</w:t>
      </w:r>
    </w:p>
    <w:p w14:paraId="1FEAA0E3">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​（4）特征波段重要性排序： 采用注意力权重与 VIP 值进行综合排序，前 10 个重要波段为： 965nm、1042nm、1178nm、1235nm、1387nm、1452nm、1523nm、1678nm、1745nm、1892nm 这些波段可作为后续便携式设备的滤光片选型参考。</w:t>
      </w:r>
    </w:p>
    <w:p w14:paraId="179FE8D2">
      <w:pPr>
        <w:pStyle w:val="9"/>
        <w:widowControl/>
        <w:spacing w:before="160" w:beforeAutospacing="0" w:after="120" w:afterAutospacing="0" w:line="360" w:lineRule="auto"/>
        <w:rPr>
          <w:rFonts w:ascii="黑体" w:hAnsi="黑体" w:eastAsia="黑体"/>
          <w:b/>
          <w:color w:val="000000"/>
          <w:sz w:val="30"/>
        </w:rPr>
      </w:pPr>
      <w:r>
        <w:rPr>
          <w:rFonts w:ascii="黑体" w:hAnsi="黑体" w:eastAsia="黑体"/>
          <w:b/>
          <w:color w:val="000000"/>
          <w:sz w:val="30"/>
        </w:rPr>
        <w:t>5.5 系统实测演示</w:t>
      </w:r>
    </w:p>
    <w:p w14:paraId="2D620482">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为验证系统端到端可用性，本项目在真实场景下进行实测演示：</w:t>
      </w:r>
    </w:p>
    <w:p w14:paraId="4992265A">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​（1）果园现场检测：</w:t>
      </w:r>
    </w:p>
    <w:p w14:paraId="2D82EDAB">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场景：澄迈福橙种植基地，采收现场</w:t>
      </w:r>
    </w:p>
    <w:p w14:paraId="244D4B10">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设备：便携式光谱仪 + 微信小程序</w:t>
      </w:r>
    </w:p>
    <w:p w14:paraId="77F4EF62">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流程：果农采摘果实→蓝牙连接光谱仪→采集光谱→上传云端→AI 分析→结果展示</w:t>
      </w:r>
    </w:p>
    <w:p w14:paraId="45EEA915">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耗时：单果检测约 50 秒（含采集与上传）</w:t>
      </w:r>
    </w:p>
    <w:p w14:paraId="2A1A8AD1">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结果：糖度预测 13.2Brix，酸度预测 1.1%，产地判定"澄迈（概率 98%）"</w:t>
      </w:r>
    </w:p>
    <w:p w14:paraId="068C2E20">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反馈：果农对操作便捷性表示认可，对检测结果与口感一致性表示满意</w:t>
      </w:r>
    </w:p>
    <w:p w14:paraId="24FA766E">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​（2）商超质检场景：</w:t>
      </w:r>
    </w:p>
    <w:p w14:paraId="1F9CE3FA">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场景：海口某大型商超，水果销售区</w:t>
      </w:r>
    </w:p>
    <w:p w14:paraId="510CCFF9">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设备：台式光谱仪 + Web 平台</w:t>
      </w:r>
    </w:p>
    <w:p w14:paraId="2928B063">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流程：质检员抽样→放置光谱仪→自动采集→批量分析→报表导出</w:t>
      </w:r>
    </w:p>
    <w:p w14:paraId="2FAE0898">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耗时：批量检测 20 个样本，总耗时约 8 分钟</w:t>
      </w:r>
    </w:p>
    <w:p w14:paraId="13CCF804">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结果：20 个样本糖度范围 12.1-14.5Brix，酸度范围 0.9-1.3%，产地判定全部为"澄迈"或"琼中"</w:t>
      </w:r>
    </w:p>
    <w:p w14:paraId="33E089EC">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反馈：商超对批量检测效率表示认可，质检报表满足备案需求</w:t>
      </w:r>
    </w:p>
    <w:p w14:paraId="71B134D0">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​（3）实验室对比验证：</w:t>
      </w:r>
    </w:p>
    <w:p w14:paraId="13281D9D">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场景：海南大学食品学院实验室</w:t>
      </w:r>
    </w:p>
    <w:p w14:paraId="0DC8363C">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设备：本系统 + 传统滴定法 + 液质联用仪</w:t>
      </w:r>
    </w:p>
    <w:p w14:paraId="6D94F0EF">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流程：同一批样本分别用三种方法检测→对比结果</w:t>
      </w:r>
    </w:p>
    <w:p w14:paraId="39885DA2">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结果：糖度相关系数 0.96，酸度相关系数 0.94，维生素 C 相关系数 0.91</w:t>
      </w:r>
    </w:p>
    <w:p w14:paraId="4BCB2939">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结论：本系统精度与实验室金标准方法高度一致，满足替代快速筛查需求</w:t>
      </w:r>
    </w:p>
    <w:p w14:paraId="3A6D1480">
      <w:pPr>
        <w:pStyle w:val="9"/>
        <w:widowControl/>
        <w:spacing w:beforeAutospacing="0" w:after="60" w:afterAutospacing="0" w:line="400" w:lineRule="auto"/>
        <w:ind w:firstLine="480"/>
        <w:jc w:val="both"/>
        <w:rPr>
          <w:rFonts w:ascii="宋体" w:hAnsi="宋体" w:eastAsia="宋体"/>
          <w:color w:val="000000"/>
        </w:rPr>
      </w:pPr>
    </w:p>
    <w:p w14:paraId="3B9A16FB">
      <w:pPr>
        <w:pStyle w:val="9"/>
        <w:widowControl/>
        <w:spacing w:beforeAutospacing="0" w:after="60" w:afterAutospacing="0" w:line="400" w:lineRule="auto"/>
        <w:ind w:firstLine="480"/>
        <w:jc w:val="both"/>
        <w:rPr>
          <w:rFonts w:ascii="宋体" w:hAnsi="宋体" w:eastAsia="宋体"/>
          <w:color w:val="000000"/>
        </w:rPr>
      </w:pPr>
    </w:p>
    <w:p w14:paraId="7606EC7E">
      <w:pPr>
        <w:pStyle w:val="9"/>
        <w:widowControl/>
        <w:spacing w:beforeAutospacing="0" w:after="60" w:afterAutospacing="0" w:line="400" w:lineRule="auto"/>
        <w:ind w:firstLine="480"/>
        <w:jc w:val="both"/>
        <w:rPr>
          <w:rFonts w:ascii="宋体" w:hAnsi="宋体" w:eastAsia="宋体"/>
          <w:color w:val="000000"/>
        </w:rPr>
      </w:pPr>
    </w:p>
    <w:p w14:paraId="589312E1">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第六章：应用价值与推广前景</w:t>
      </w:r>
    </w:p>
    <w:p w14:paraId="1917BBC7">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6.1 面向用户场景分析</w:t>
      </w:r>
    </w:p>
    <w:p w14:paraId="36E73FEE">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本项目研发的"橙源智鉴"智能检测与产地溯源平台，深度对接海南自贸港农业数字化转型战略，面向科研院所、农业企业/合作社、质检/监管机构三大核心用户群体，提供差异化、场景化的技术解决方案。以下从各子维度逐一阐述。</w:t>
      </w:r>
    </w:p>
    <w:p w14:paraId="633C7535">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6.1.1 科研院所场景：高精度光谱科研数据支撑</w:t>
      </w:r>
    </w:p>
    <w:p w14:paraId="34FD83E3">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​（1）品种改良与生理代谢研究</w:t>
      </w:r>
    </w:p>
    <w:p w14:paraId="6EFA1638">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科研院所及高校农业实验室在开展柑橘品种选育、生理代谢机制研究时，传统上依赖破坏性取样与实验室理化分析，单次实验周期长达 3-5 天，样本损耗率高达 100%。本项目提供的多模态光谱数据库（覆盖 200+ 组海南核心产区样本，包含 HSI 高光谱立方体、R210/S960 近红外光谱、36 项液质联用代谢指标），可为研究人员提供"无损 + 深层"的双重数据支撑。</w:t>
      </w:r>
    </w:p>
    <w:p w14:paraId="6CD1A734">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具体应用价值体现在：</w:t>
      </w:r>
    </w:p>
    <w:p w14:paraId="626E56E0">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纵向追踪研究：同一果实可在不同成熟度阶段（七成熟、八成熟、九成熟、完熟）进行重复检测，追踪糖酸比、维生素 C 等指标的动态演变规律，样本利用率提升 4 倍以上。</w:t>
      </w:r>
    </w:p>
    <w:p w14:paraId="01EFF0C3">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代谢组学关联分析：36 项液质联用标签（18 种氨基酸、8 种有机酸、10 种类黄酮）与光谱特征波段建立映射关系，助力研究人员从分子层面解析产地特异性代谢物的光谱响应机制。</w:t>
      </w:r>
    </w:p>
    <w:p w14:paraId="36C400D1">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算法验证基准：本项目开源的标准化数据集与基线模型（PLS R²=0.87、Transformer R²=0.93），可为农业光谱检测领域的算法研究提供统一评测基准，降低重复造轮子的科研成本。</w:t>
      </w:r>
    </w:p>
    <w:p w14:paraId="6DE97F4E">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​（2）跨学科技术转化平台</w:t>
      </w:r>
    </w:p>
    <w:p w14:paraId="1DC42115">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项目构建的"光谱采集→AI 建模→云端推理"全流程技术框架，可作为农业工程、计算机视觉、食品科学等交叉学科的教学与实训平台。团队已与海南大学信息科学与技术学院建立初步合作意向，计划将本项目纳入"智慧农业检测技术"课程实验模块，预计每年可服务本科生实训 200 人次以上。</w:t>
      </w:r>
    </w:p>
    <w:p w14:paraId="6E65FDB4">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6.1.2 农业企业/合作社场景：采收分级与按质定价</w:t>
      </w:r>
    </w:p>
    <w:p w14:paraId="0C9DE853">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​（1）果园采收环节：实时指导精准采收</w:t>
      </w:r>
    </w:p>
    <w:p w14:paraId="5AD19C03">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海南柑橘产业长期存在"早采抢市"的顽疾，部分果农为抢占市场先机，在果实未完全成熟时提前采收，导致糖度不足、酸度过高，严重影响消费者体验与品牌口碑。据海南省农业农村厅 2024 年调研数据显示，因早采造成的品质投诉占柑橘类投诉总量的 37%，直接经济损失超 2 亿元。</w:t>
      </w:r>
    </w:p>
    <w:p w14:paraId="1D478D7C">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本项目微信小程序端可实现果园现场 20 秒快速检测，果农在采收前即可获取糖度、酸度、产地三项核心指标，依据检测结果判断最佳采收窗口期。具体应用流程如下：</w:t>
      </w:r>
    </w:p>
    <w:p w14:paraId="61AFAEA6">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步骤一：果农通过小程序蓝牙连接便携式光谱仪，对待采果实进行扫描（耗时约 10 秒）。</w:t>
      </w:r>
    </w:p>
    <w:p w14:paraId="77E7BB13">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步骤二：光谱数据上传至云端 AI 服务，模型自动分析并返回品质预测结果（耗时约 3-5 秒）。</w:t>
      </w:r>
    </w:p>
    <w:p w14:paraId="541DD9B9">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步骤三：小程序界面以颜色编码（绿色=优质、黄色=合格、红色=未达标）直观展示检测结果，并给出"建议采收"或"建议延期 3-5 天"的决策建议。</w:t>
      </w:r>
    </w:p>
    <w:p w14:paraId="4D97B091">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按单户果农年种植规模 50 亩、年产柑橘 75 吨测算，采用本项目技术进行采收前筛查，可将优质果率从 65% 提升至 85%，单户年增收约 2000-4000 元。若推广至海南全省 80 万亩柑橘种植面积，预计可带动果农群体年增收 1.6 亿-3.2 亿元。</w:t>
      </w:r>
    </w:p>
    <w:p w14:paraId="7FD22CA2">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​（2）供应链分级环节：实现按质定价</w:t>
      </w:r>
    </w:p>
    <w:p w14:paraId="0ED2D33F">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传统柑橘分选主要依赖果径、色泽等外观指标，无法准确反映内部糖酸比等核心品质。这导致收购商在定价时往往"一刀切"，优质果与普通果价差不足 0.5 元/斤，难以激励果农提升种植品质。</w:t>
      </w:r>
    </w:p>
    <w:p w14:paraId="30C9958A">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本项目 Web 平台支持批量光谱数据处理与质检报表导出，农业企业可在分选中心部署固定式光谱检测工位，对每批次柑橘进行品质分级：</w:t>
      </w:r>
    </w:p>
    <w:p w14:paraId="45BAA60E">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特级果（糖度≥12°Brix，糖酸比 14-18）：定向供应高端商超、精品水果店，售价 8-12 元/斤。</w:t>
      </w:r>
    </w:p>
    <w:p w14:paraId="0B0697EA">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一级果（糖度 10-12°Brix，糖酸比 12-14）：供应大型电商平台、社区团购，售价 5-8 元/斤。</w:t>
      </w:r>
    </w:p>
    <w:p w14:paraId="7AF6A5A9">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合格果（糖度 8-10°Brix，糖酸比 10-12）：供应批发市场、果汁加工厂，售价 3-5 元/斤。</w:t>
      </w:r>
    </w:p>
    <w:p w14:paraId="735DDF3A">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按单家中型农业企业年吞吐量 5000 吨测算，通过精准分级可实现平均售价提升 1.5 元/斤，年新增销售收入约 1500 万元。同时，质检报表可作为品牌背书材料，助力企业申请"绿色食品"、"地理标志产品"等认证，进一步提升品牌溢价。</w:t>
      </w:r>
    </w:p>
    <w:p w14:paraId="4E6B99C5">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​（3）品牌保护环节：打击产地造假</w:t>
      </w:r>
    </w:p>
    <w:p w14:paraId="3F639ACF">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海南柑橘品牌溢价显著，"澄迈福橙"、"琼中绿橙"市场售价较外省普通柑橘高出 30%-50%，这导致市场上冒充海南产区的现象屡禁不止。据海南省市场监管局 2024 年专项抽检数据显示，市面上标称"海南绿橙"的产品中，约有 23% 实际产自广西、广东等地，品牌侵权造成的年经济损失估计超 8 亿元。</w:t>
      </w:r>
    </w:p>
    <w:p w14:paraId="55ACE339">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本项目基于果实自身"生物指纹"的产地溯源技术，可从本质上鉴别产地真实性：</w:t>
      </w:r>
    </w:p>
    <w:p w14:paraId="3802CD35">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光谱指纹库：建立澄迈、琼中两大产区专属的光谱特征数据库，覆盖不同成熟度、不同海拔梯度的样本，确保溯源模型的泛化能力。</w:t>
      </w:r>
    </w:p>
    <w:p w14:paraId="1DD93478">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快速筛查：市场监管人员或品牌方质检员使用小程序端，对市售产品进行随机抽检，3-5 秒内即可获取产地概率分布（如"澄迈福橙 97.0%"、"琼中绿橙 2.5%"、"其他产区 0.5%"）。</w:t>
      </w:r>
    </w:p>
    <w:p w14:paraId="6F0EDA09">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证据固化：检测记录自动上传至云端数据库，生成带时间戳与地理位置信息的质检报告，可作为行政执法或司法诉讼的证据材料。</w:t>
      </w:r>
    </w:p>
    <w:p w14:paraId="788AFE08">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按品牌侵权率降低 80% 测算，本项目可直接保护海南柑橘品牌年收益超 6 亿元，维护果农与合法企业的切身利益。</w:t>
      </w:r>
    </w:p>
    <w:p w14:paraId="3EE7D324">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6.1.3 质检/监管机构场景：智慧执法与市场准入</w:t>
      </w:r>
    </w:p>
    <w:p w14:paraId="6CD40C46">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​（1）市场流通环节：快速筛查违规产品</w:t>
      </w:r>
    </w:p>
    <w:p w14:paraId="6CF7748D">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海南省市场监督管理局在日常执法中，面临样品数量大、检测周期长、实验室资源有限的现实困境。传统理化滴定法单样检测耗时 30-60 分钟，且需专业实验员操作，难以满足农贸市场、商超、电商平台的高频次抽检需求。</w:t>
      </w:r>
    </w:p>
    <w:p w14:paraId="56F6631F">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本项目便携式检测方案可实现"现场采样→即时检测→实时上传"的闭环执法流程：</w:t>
      </w:r>
    </w:p>
    <w:p w14:paraId="12A50F76">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移动执法车配置：在市县一级市场监管局的移动执法车上部署便携式光谱仪与平板电脑，执法人员可在市场现场完成检测，无需将样品送回实验室。</w:t>
      </w:r>
    </w:p>
    <w:p w14:paraId="51120190">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大数据风险预警：所有检测数据实时上传至省级智慧监管平台，系统自动分析各产区、各品牌、各批次的品质分布，对糖度持续偏低、产地溯源异常的品牌进行风险预警，指导后续精准执法。</w:t>
      </w:r>
    </w:p>
    <w:p w14:paraId="6870C780">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检测效率提升：单次检测耗时从 45 分钟压缩至 5 秒，执法人员日均抽检样本量从 10-15 个提升至 200-300 个，监管覆盖率提升 15 倍以上。</w:t>
      </w:r>
    </w:p>
    <w:p w14:paraId="423F911F">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​（2）地理标志产品认证：技术背书与准入审核</w:t>
      </w:r>
    </w:p>
    <w:p w14:paraId="29D5D9B5">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海南省农业农村厅在受理"澄迈福橙"、"琼中绿橙"地理标志产品专用标志使用申请时，需对申请企业的产品产地真实性进行核验。传统方式依赖企业自行送检与纸质证明材料，存在信息不对称与审核周期长的问题。</w:t>
      </w:r>
    </w:p>
    <w:p w14:paraId="26D4B4AB">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本项目可与地理标志产品认证系统对接，提供以下技术支持：</w:t>
      </w:r>
    </w:p>
    <w:p w14:paraId="28BDDB05">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产地核验：申请企业上传产品光谱数据，系统自动比对产区指纹库，输出产地匹配概率报告，作为认证审核的参考依据。</w:t>
      </w:r>
    </w:p>
    <w:p w14:paraId="0CEAEDB7">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持续监测：对已获证企业进行年度抽检，光谱检测数据纳入企业信用档案，对产地溯源异常的企业启动复核程序，情节严重的撤销专用标志使用权。</w:t>
      </w:r>
    </w:p>
    <w:p w14:paraId="35F3E6E8">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消费者查询：在地理标志产品包装上印制溯源二维码，消费者扫码即可查看该批次产品的产地溯源检测报告，提升消费信心。</w:t>
      </w:r>
    </w:p>
    <w:p w14:paraId="70260762">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​（3）进出口检验环节：自贸港口岸风险防控</w:t>
      </w:r>
    </w:p>
    <w:p w14:paraId="4A38F009">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海南自由贸易港建设总体方案》明确要求"一线"进境环节强化食品安全管控，构建覆盖进境、流通、消费全环节的链条式风险防控体系。本项目快速检测技术可应用于海口港、洋浦港等口岸的柑橘类水果进出口检验：</w:t>
      </w:r>
    </w:p>
    <w:p w14:paraId="17C5255E">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进境筛查：对进口柑橘进行产地溯源与品质检测，防止外来病虫害与劣质产品流入岛内市场。</w:t>
      </w:r>
    </w:p>
    <w:p w14:paraId="1BDD066E">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出境背书：对出口至内地省份或海外市场的海南柑橘，提供官方认可的质检报告，提升产品竞争力与通关效率。</w:t>
      </w:r>
    </w:p>
    <w:p w14:paraId="0EFD6B65">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数据互通：检测数据与海关总署"智慧海关"系统对接，实现检测结果互认，减少重复检测，降低企业合规成本。</w:t>
      </w:r>
    </w:p>
    <w:p w14:paraId="42959060">
      <w:pPr>
        <w:pStyle w:val="9"/>
        <w:widowControl/>
        <w:spacing w:before="240" w:beforeAutospacing="0" w:after="160" w:afterAutospacing="0" w:line="400" w:lineRule="auto"/>
        <w:rPr>
          <w:rFonts w:hint="eastAsia" w:ascii="宋体" w:hAnsi="宋体" w:eastAsia="宋体" w:cs="宋体"/>
          <w:b w:val="0"/>
          <w:bCs/>
          <w:color w:val="000000"/>
          <w:sz w:val="24"/>
          <w:szCs w:val="24"/>
        </w:rPr>
      </w:pPr>
    </w:p>
    <w:p w14:paraId="0F20D9EB">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6.2 与现有检测手段的对比优势</w:t>
      </w:r>
    </w:p>
    <w:p w14:paraId="55CE8FE0">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为直观展示本项目技术的综合竞争力，以下从检测速度、成本、破坏性、操作门槛、环境影响五个维度，与传统滴定法、液质联用（LC-MS）、手持折光仪等现有检测手段进行系统性对比分析。</w:t>
      </w:r>
    </w:p>
    <w:p w14:paraId="4B521E19">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6.2.1 检测速度对比</w:t>
      </w:r>
    </w:p>
    <w:tbl>
      <w:tblPr>
        <w:tblStyle w:val="10"/>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04"/>
        <w:gridCol w:w="1691"/>
        <w:gridCol w:w="3230"/>
        <w:gridCol w:w="1268"/>
      </w:tblGrid>
      <w:tr w14:paraId="0B218D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tcMar>
              <w:top w:w="80" w:type="dxa"/>
              <w:left w:w="160" w:type="dxa"/>
              <w:bottom w:w="80" w:type="dxa"/>
              <w:right w:w="160" w:type="dxa"/>
            </w:tcMar>
            <w:vAlign w:val="center"/>
          </w:tcPr>
          <w:p w14:paraId="33E2D471">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检测方法</w:t>
            </w:r>
          </w:p>
        </w:tc>
        <w:tc>
          <w:tcPr>
            <w:tcW w:w="0" w:type="auto"/>
            <w:shd w:val="clear" w:color="auto" w:fill="auto"/>
            <w:tcMar>
              <w:top w:w="80" w:type="dxa"/>
              <w:left w:w="160" w:type="dxa"/>
              <w:bottom w:w="80" w:type="dxa"/>
              <w:right w:w="160" w:type="dxa"/>
            </w:tcMar>
            <w:vAlign w:val="center"/>
          </w:tcPr>
          <w:p w14:paraId="695C9B1F">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单样检测耗时</w:t>
            </w:r>
          </w:p>
        </w:tc>
        <w:tc>
          <w:tcPr>
            <w:tcW w:w="0" w:type="auto"/>
            <w:shd w:val="clear" w:color="auto" w:fill="auto"/>
            <w:tcMar>
              <w:top w:w="80" w:type="dxa"/>
              <w:left w:w="160" w:type="dxa"/>
              <w:bottom w:w="80" w:type="dxa"/>
              <w:right w:w="160" w:type="dxa"/>
            </w:tcMar>
            <w:vAlign w:val="center"/>
          </w:tcPr>
          <w:p w14:paraId="275ADA65">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日检测通量（8 小时工作制）</w:t>
            </w:r>
          </w:p>
        </w:tc>
        <w:tc>
          <w:tcPr>
            <w:tcW w:w="0" w:type="auto"/>
            <w:shd w:val="clear" w:color="auto" w:fill="auto"/>
            <w:tcMar>
              <w:top w:w="80" w:type="dxa"/>
              <w:left w:w="160" w:type="dxa"/>
              <w:bottom w:w="80" w:type="dxa"/>
              <w:right w:w="160" w:type="dxa"/>
            </w:tcMar>
            <w:vAlign w:val="center"/>
          </w:tcPr>
          <w:p w14:paraId="1DA47B15">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效率倍数</w:t>
            </w:r>
          </w:p>
        </w:tc>
      </w:tr>
      <w:tr w14:paraId="29AE86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tcMar>
              <w:top w:w="80" w:type="dxa"/>
              <w:left w:w="160" w:type="dxa"/>
              <w:bottom w:w="80" w:type="dxa"/>
              <w:right w:w="160" w:type="dxa"/>
            </w:tcMar>
            <w:vAlign w:val="center"/>
          </w:tcPr>
          <w:p w14:paraId="6EBA1DE9">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传统滴定法</w:t>
            </w:r>
          </w:p>
        </w:tc>
        <w:tc>
          <w:tcPr>
            <w:tcW w:w="0" w:type="auto"/>
            <w:shd w:val="clear" w:color="auto" w:fill="auto"/>
            <w:tcMar>
              <w:top w:w="80" w:type="dxa"/>
              <w:left w:w="160" w:type="dxa"/>
              <w:bottom w:w="80" w:type="dxa"/>
              <w:right w:w="160" w:type="dxa"/>
            </w:tcMar>
            <w:vAlign w:val="center"/>
          </w:tcPr>
          <w:p w14:paraId="703DD7F1">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30-60 分钟</w:t>
            </w:r>
          </w:p>
        </w:tc>
        <w:tc>
          <w:tcPr>
            <w:tcW w:w="0" w:type="auto"/>
            <w:shd w:val="clear" w:color="auto" w:fill="auto"/>
            <w:tcMar>
              <w:top w:w="80" w:type="dxa"/>
              <w:left w:w="160" w:type="dxa"/>
              <w:bottom w:w="80" w:type="dxa"/>
              <w:right w:w="160" w:type="dxa"/>
            </w:tcMar>
            <w:vAlign w:val="center"/>
          </w:tcPr>
          <w:p w14:paraId="1AA8F42C">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8-16 个样本</w:t>
            </w:r>
          </w:p>
        </w:tc>
        <w:tc>
          <w:tcPr>
            <w:tcW w:w="0" w:type="auto"/>
            <w:shd w:val="clear" w:color="auto" w:fill="auto"/>
            <w:tcMar>
              <w:top w:w="80" w:type="dxa"/>
              <w:left w:w="160" w:type="dxa"/>
              <w:bottom w:w="80" w:type="dxa"/>
              <w:right w:w="160" w:type="dxa"/>
            </w:tcMar>
            <w:vAlign w:val="center"/>
          </w:tcPr>
          <w:p w14:paraId="6F065A2A">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基准</w:t>
            </w:r>
          </w:p>
        </w:tc>
      </w:tr>
      <w:tr w14:paraId="5CE7AF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tcMar>
              <w:top w:w="80" w:type="dxa"/>
              <w:left w:w="160" w:type="dxa"/>
              <w:bottom w:w="80" w:type="dxa"/>
              <w:right w:w="160" w:type="dxa"/>
            </w:tcMar>
            <w:vAlign w:val="center"/>
          </w:tcPr>
          <w:p w14:paraId="2D18AA8C">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液质联用（LC-MS）</w:t>
            </w:r>
          </w:p>
        </w:tc>
        <w:tc>
          <w:tcPr>
            <w:tcW w:w="0" w:type="auto"/>
            <w:shd w:val="clear" w:color="auto" w:fill="auto"/>
            <w:tcMar>
              <w:top w:w="80" w:type="dxa"/>
              <w:left w:w="160" w:type="dxa"/>
              <w:bottom w:w="80" w:type="dxa"/>
              <w:right w:w="160" w:type="dxa"/>
            </w:tcMar>
            <w:vAlign w:val="center"/>
          </w:tcPr>
          <w:p w14:paraId="64B6ED21">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2-4 小时</w:t>
            </w:r>
          </w:p>
        </w:tc>
        <w:tc>
          <w:tcPr>
            <w:tcW w:w="0" w:type="auto"/>
            <w:shd w:val="clear" w:color="auto" w:fill="auto"/>
            <w:tcMar>
              <w:top w:w="80" w:type="dxa"/>
              <w:left w:w="160" w:type="dxa"/>
              <w:bottom w:w="80" w:type="dxa"/>
              <w:right w:w="160" w:type="dxa"/>
            </w:tcMar>
            <w:vAlign w:val="center"/>
          </w:tcPr>
          <w:p w14:paraId="77E8E7A4">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2-4 个样本</w:t>
            </w:r>
          </w:p>
        </w:tc>
        <w:tc>
          <w:tcPr>
            <w:tcW w:w="0" w:type="auto"/>
            <w:shd w:val="clear" w:color="auto" w:fill="auto"/>
            <w:tcMar>
              <w:top w:w="80" w:type="dxa"/>
              <w:left w:w="160" w:type="dxa"/>
              <w:bottom w:w="80" w:type="dxa"/>
              <w:right w:w="160" w:type="dxa"/>
            </w:tcMar>
            <w:vAlign w:val="center"/>
          </w:tcPr>
          <w:p w14:paraId="63C6855D">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0.25 倍</w:t>
            </w:r>
          </w:p>
        </w:tc>
      </w:tr>
      <w:tr w14:paraId="076DB1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tcMar>
              <w:top w:w="80" w:type="dxa"/>
              <w:left w:w="160" w:type="dxa"/>
              <w:bottom w:w="80" w:type="dxa"/>
              <w:right w:w="160" w:type="dxa"/>
            </w:tcMar>
            <w:vAlign w:val="center"/>
          </w:tcPr>
          <w:p w14:paraId="29C9B2BC">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手持折光仪</w:t>
            </w:r>
          </w:p>
        </w:tc>
        <w:tc>
          <w:tcPr>
            <w:tcW w:w="0" w:type="auto"/>
            <w:shd w:val="clear" w:color="auto" w:fill="auto"/>
            <w:tcMar>
              <w:top w:w="80" w:type="dxa"/>
              <w:left w:w="160" w:type="dxa"/>
              <w:bottom w:w="80" w:type="dxa"/>
              <w:right w:w="160" w:type="dxa"/>
            </w:tcMar>
            <w:vAlign w:val="center"/>
          </w:tcPr>
          <w:p w14:paraId="1BC8BA1C">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2-3 分钟</w:t>
            </w:r>
          </w:p>
        </w:tc>
        <w:tc>
          <w:tcPr>
            <w:tcW w:w="0" w:type="auto"/>
            <w:shd w:val="clear" w:color="auto" w:fill="auto"/>
            <w:tcMar>
              <w:top w:w="80" w:type="dxa"/>
              <w:left w:w="160" w:type="dxa"/>
              <w:bottom w:w="80" w:type="dxa"/>
              <w:right w:w="160" w:type="dxa"/>
            </w:tcMar>
            <w:vAlign w:val="center"/>
          </w:tcPr>
          <w:p w14:paraId="40646A27">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160-240 个样本</w:t>
            </w:r>
          </w:p>
        </w:tc>
        <w:tc>
          <w:tcPr>
            <w:tcW w:w="0" w:type="auto"/>
            <w:shd w:val="clear" w:color="auto" w:fill="auto"/>
            <w:tcMar>
              <w:top w:w="80" w:type="dxa"/>
              <w:left w:w="160" w:type="dxa"/>
              <w:bottom w:w="80" w:type="dxa"/>
              <w:right w:w="160" w:type="dxa"/>
            </w:tcMar>
            <w:vAlign w:val="center"/>
          </w:tcPr>
          <w:p w14:paraId="27B76273">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15 倍</w:t>
            </w:r>
          </w:p>
        </w:tc>
      </w:tr>
      <w:tr w14:paraId="321532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tcMar>
              <w:top w:w="80" w:type="dxa"/>
              <w:left w:w="160" w:type="dxa"/>
              <w:bottom w:w="80" w:type="dxa"/>
              <w:right w:w="160" w:type="dxa"/>
            </w:tcMar>
            <w:vAlign w:val="center"/>
          </w:tcPr>
          <w:p w14:paraId="3C2CCDF1">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本项目（光谱 AI）​</w:t>
            </w:r>
          </w:p>
        </w:tc>
        <w:tc>
          <w:tcPr>
            <w:tcW w:w="0" w:type="auto"/>
            <w:shd w:val="clear" w:color="auto" w:fill="auto"/>
            <w:tcMar>
              <w:top w:w="80" w:type="dxa"/>
              <w:left w:w="160" w:type="dxa"/>
              <w:bottom w:w="80" w:type="dxa"/>
              <w:right w:w="160" w:type="dxa"/>
            </w:tcMar>
            <w:vAlign w:val="center"/>
          </w:tcPr>
          <w:p w14:paraId="576A9E46">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3-5 秒</w:t>
            </w:r>
          </w:p>
        </w:tc>
        <w:tc>
          <w:tcPr>
            <w:tcW w:w="0" w:type="auto"/>
            <w:shd w:val="clear" w:color="auto" w:fill="auto"/>
            <w:tcMar>
              <w:top w:w="80" w:type="dxa"/>
              <w:left w:w="160" w:type="dxa"/>
              <w:bottom w:w="80" w:type="dxa"/>
              <w:right w:w="160" w:type="dxa"/>
            </w:tcMar>
            <w:vAlign w:val="center"/>
          </w:tcPr>
          <w:p w14:paraId="1BDB4B33">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5760-7680 个样本</w:t>
            </w:r>
          </w:p>
        </w:tc>
        <w:tc>
          <w:tcPr>
            <w:tcW w:w="0" w:type="auto"/>
            <w:shd w:val="clear" w:color="auto" w:fill="auto"/>
            <w:tcMar>
              <w:top w:w="80" w:type="dxa"/>
              <w:left w:w="160" w:type="dxa"/>
              <w:bottom w:w="80" w:type="dxa"/>
              <w:right w:w="160" w:type="dxa"/>
            </w:tcMar>
            <w:vAlign w:val="center"/>
          </w:tcPr>
          <w:p w14:paraId="418B1C37">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540 倍</w:t>
            </w:r>
          </w:p>
        </w:tc>
      </w:tr>
    </w:tbl>
    <w:p w14:paraId="51D6454E">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数据解读：</w:t>
      </w:r>
    </w:p>
    <w:p w14:paraId="45148A3E">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本项目检测效率较传统滴定法提升 540 倍以上，较液质联用提升 2880 倍以上。</w:t>
      </w:r>
    </w:p>
    <w:p w14:paraId="653A88C3">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在生产线在线检测场景中，本项目可适配 36000-72000 瓶/小时的灌装速度，实现批次全检；而传统方法仅能支持万分之一的抽检比例，存在严重的时间滞后。</w:t>
      </w:r>
    </w:p>
    <w:p w14:paraId="75F49754">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在市场监管执法场景中，执法人员日均抽检样本量可从 10-15 个提升至 200-300 个，监管覆盖率提升 15 倍以上。</w:t>
      </w:r>
    </w:p>
    <w:p w14:paraId="205AC9CF">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6.2.2 检测成本对比</w:t>
      </w:r>
    </w:p>
    <w:tbl>
      <w:tblPr>
        <w:tblStyle w:val="10"/>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83"/>
        <w:gridCol w:w="2428"/>
        <w:gridCol w:w="3156"/>
        <w:gridCol w:w="1126"/>
      </w:tblGrid>
      <w:tr w14:paraId="273318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tcMar>
              <w:top w:w="80" w:type="dxa"/>
              <w:left w:w="160" w:type="dxa"/>
              <w:bottom w:w="80" w:type="dxa"/>
              <w:right w:w="160" w:type="dxa"/>
            </w:tcMar>
            <w:vAlign w:val="center"/>
          </w:tcPr>
          <w:p w14:paraId="6C39D005">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检测方法</w:t>
            </w:r>
          </w:p>
        </w:tc>
        <w:tc>
          <w:tcPr>
            <w:tcW w:w="0" w:type="auto"/>
            <w:shd w:val="clear" w:color="auto" w:fill="auto"/>
            <w:tcMar>
              <w:top w:w="80" w:type="dxa"/>
              <w:left w:w="160" w:type="dxa"/>
              <w:bottom w:w="80" w:type="dxa"/>
              <w:right w:w="160" w:type="dxa"/>
            </w:tcMar>
            <w:vAlign w:val="center"/>
          </w:tcPr>
          <w:p w14:paraId="0AE8101B">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单样直接成本</w:t>
            </w:r>
          </w:p>
        </w:tc>
        <w:tc>
          <w:tcPr>
            <w:tcW w:w="0" w:type="auto"/>
            <w:shd w:val="clear" w:color="auto" w:fill="auto"/>
            <w:tcMar>
              <w:top w:w="80" w:type="dxa"/>
              <w:left w:w="160" w:type="dxa"/>
              <w:bottom w:w="80" w:type="dxa"/>
              <w:right w:w="160" w:type="dxa"/>
            </w:tcMar>
            <w:vAlign w:val="center"/>
          </w:tcPr>
          <w:p w14:paraId="686C8ED6">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年检测成本（按日检 100 样本、年 250 工作日计）</w:t>
            </w:r>
          </w:p>
        </w:tc>
        <w:tc>
          <w:tcPr>
            <w:tcW w:w="0" w:type="auto"/>
            <w:shd w:val="clear" w:color="auto" w:fill="auto"/>
            <w:tcMar>
              <w:top w:w="80" w:type="dxa"/>
              <w:left w:w="160" w:type="dxa"/>
              <w:bottom w:w="80" w:type="dxa"/>
              <w:right w:w="160" w:type="dxa"/>
            </w:tcMar>
            <w:vAlign w:val="center"/>
          </w:tcPr>
          <w:p w14:paraId="538BE140">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成本降幅</w:t>
            </w:r>
          </w:p>
        </w:tc>
      </w:tr>
      <w:tr w14:paraId="66D5F3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tcMar>
              <w:top w:w="80" w:type="dxa"/>
              <w:left w:w="160" w:type="dxa"/>
              <w:bottom w:w="80" w:type="dxa"/>
              <w:right w:w="160" w:type="dxa"/>
            </w:tcMar>
            <w:vAlign w:val="center"/>
          </w:tcPr>
          <w:p w14:paraId="3A1095F9">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传统滴定法</w:t>
            </w:r>
          </w:p>
        </w:tc>
        <w:tc>
          <w:tcPr>
            <w:tcW w:w="0" w:type="auto"/>
            <w:shd w:val="clear" w:color="auto" w:fill="auto"/>
            <w:tcMar>
              <w:top w:w="80" w:type="dxa"/>
              <w:left w:w="160" w:type="dxa"/>
              <w:bottom w:w="80" w:type="dxa"/>
              <w:right w:w="160" w:type="dxa"/>
            </w:tcMar>
            <w:vAlign w:val="center"/>
          </w:tcPr>
          <w:p w14:paraId="03D4E54F">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50-80 元（试剂 + 人工）</w:t>
            </w:r>
          </w:p>
        </w:tc>
        <w:tc>
          <w:tcPr>
            <w:tcW w:w="0" w:type="auto"/>
            <w:shd w:val="clear" w:color="auto" w:fill="auto"/>
            <w:tcMar>
              <w:top w:w="80" w:type="dxa"/>
              <w:left w:w="160" w:type="dxa"/>
              <w:bottom w:w="80" w:type="dxa"/>
              <w:right w:w="160" w:type="dxa"/>
            </w:tcMar>
            <w:vAlign w:val="center"/>
          </w:tcPr>
          <w:p w14:paraId="089EF9AC">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125 万 -200 万元</w:t>
            </w:r>
          </w:p>
        </w:tc>
        <w:tc>
          <w:tcPr>
            <w:tcW w:w="0" w:type="auto"/>
            <w:shd w:val="clear" w:color="auto" w:fill="auto"/>
            <w:tcMar>
              <w:top w:w="80" w:type="dxa"/>
              <w:left w:w="160" w:type="dxa"/>
              <w:bottom w:w="80" w:type="dxa"/>
              <w:right w:w="160" w:type="dxa"/>
            </w:tcMar>
            <w:vAlign w:val="center"/>
          </w:tcPr>
          <w:p w14:paraId="7AE33014">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基准</w:t>
            </w:r>
          </w:p>
        </w:tc>
      </w:tr>
      <w:tr w14:paraId="710134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tcMar>
              <w:top w:w="80" w:type="dxa"/>
              <w:left w:w="160" w:type="dxa"/>
              <w:bottom w:w="80" w:type="dxa"/>
              <w:right w:w="160" w:type="dxa"/>
            </w:tcMar>
            <w:vAlign w:val="center"/>
          </w:tcPr>
          <w:p w14:paraId="456093B7">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液质联用（LC-MS）</w:t>
            </w:r>
          </w:p>
        </w:tc>
        <w:tc>
          <w:tcPr>
            <w:tcW w:w="0" w:type="auto"/>
            <w:shd w:val="clear" w:color="auto" w:fill="auto"/>
            <w:tcMar>
              <w:top w:w="80" w:type="dxa"/>
              <w:left w:w="160" w:type="dxa"/>
              <w:bottom w:w="80" w:type="dxa"/>
              <w:right w:w="160" w:type="dxa"/>
            </w:tcMar>
            <w:vAlign w:val="center"/>
          </w:tcPr>
          <w:p w14:paraId="767014FE">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300-500 元（设备折旧 + 耗材）</w:t>
            </w:r>
          </w:p>
        </w:tc>
        <w:tc>
          <w:tcPr>
            <w:tcW w:w="0" w:type="auto"/>
            <w:shd w:val="clear" w:color="auto" w:fill="auto"/>
            <w:tcMar>
              <w:top w:w="80" w:type="dxa"/>
              <w:left w:w="160" w:type="dxa"/>
              <w:bottom w:w="80" w:type="dxa"/>
              <w:right w:w="160" w:type="dxa"/>
            </w:tcMar>
            <w:vAlign w:val="center"/>
          </w:tcPr>
          <w:p w14:paraId="540F8744">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750 万 -1250 万元</w:t>
            </w:r>
          </w:p>
        </w:tc>
        <w:tc>
          <w:tcPr>
            <w:tcW w:w="0" w:type="auto"/>
            <w:shd w:val="clear" w:color="auto" w:fill="auto"/>
            <w:tcMar>
              <w:top w:w="80" w:type="dxa"/>
              <w:left w:w="160" w:type="dxa"/>
              <w:bottom w:w="80" w:type="dxa"/>
              <w:right w:w="160" w:type="dxa"/>
            </w:tcMar>
            <w:vAlign w:val="center"/>
          </w:tcPr>
          <w:p w14:paraId="4587DDE8">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基准</w:t>
            </w:r>
          </w:p>
        </w:tc>
      </w:tr>
      <w:tr w14:paraId="24A128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tcMar>
              <w:top w:w="80" w:type="dxa"/>
              <w:left w:w="160" w:type="dxa"/>
              <w:bottom w:w="80" w:type="dxa"/>
              <w:right w:w="160" w:type="dxa"/>
            </w:tcMar>
            <w:vAlign w:val="center"/>
          </w:tcPr>
          <w:p w14:paraId="45E12C89">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手持折光仪</w:t>
            </w:r>
          </w:p>
        </w:tc>
        <w:tc>
          <w:tcPr>
            <w:tcW w:w="0" w:type="auto"/>
            <w:shd w:val="clear" w:color="auto" w:fill="auto"/>
            <w:tcMar>
              <w:top w:w="80" w:type="dxa"/>
              <w:left w:w="160" w:type="dxa"/>
              <w:bottom w:w="80" w:type="dxa"/>
              <w:right w:w="160" w:type="dxa"/>
            </w:tcMar>
            <w:vAlign w:val="center"/>
          </w:tcPr>
          <w:p w14:paraId="76681F99">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5-10 元（人工 + 设备折旧）</w:t>
            </w:r>
          </w:p>
        </w:tc>
        <w:tc>
          <w:tcPr>
            <w:tcW w:w="0" w:type="auto"/>
            <w:shd w:val="clear" w:color="auto" w:fill="auto"/>
            <w:tcMar>
              <w:top w:w="80" w:type="dxa"/>
              <w:left w:w="160" w:type="dxa"/>
              <w:bottom w:w="80" w:type="dxa"/>
              <w:right w:w="160" w:type="dxa"/>
            </w:tcMar>
            <w:vAlign w:val="center"/>
          </w:tcPr>
          <w:p w14:paraId="0B90FE64">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12.5 万 -25 万元</w:t>
            </w:r>
          </w:p>
        </w:tc>
        <w:tc>
          <w:tcPr>
            <w:tcW w:w="0" w:type="auto"/>
            <w:shd w:val="clear" w:color="auto" w:fill="auto"/>
            <w:tcMar>
              <w:top w:w="80" w:type="dxa"/>
              <w:left w:w="160" w:type="dxa"/>
              <w:bottom w:w="80" w:type="dxa"/>
              <w:right w:w="160" w:type="dxa"/>
            </w:tcMar>
            <w:vAlign w:val="center"/>
          </w:tcPr>
          <w:p w14:paraId="51DEDCD4">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80%</w:t>
            </w:r>
          </w:p>
        </w:tc>
      </w:tr>
      <w:tr w14:paraId="1B9625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tcMar>
              <w:top w:w="80" w:type="dxa"/>
              <w:left w:w="160" w:type="dxa"/>
              <w:bottom w:w="80" w:type="dxa"/>
              <w:right w:w="160" w:type="dxa"/>
            </w:tcMar>
            <w:vAlign w:val="center"/>
          </w:tcPr>
          <w:p w14:paraId="5823D2FA">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本项目（光谱 AI）​</w:t>
            </w:r>
          </w:p>
        </w:tc>
        <w:tc>
          <w:tcPr>
            <w:tcW w:w="0" w:type="auto"/>
            <w:shd w:val="clear" w:color="auto" w:fill="auto"/>
            <w:tcMar>
              <w:top w:w="80" w:type="dxa"/>
              <w:left w:w="160" w:type="dxa"/>
              <w:bottom w:w="80" w:type="dxa"/>
              <w:right w:w="160" w:type="dxa"/>
            </w:tcMar>
            <w:vAlign w:val="center"/>
          </w:tcPr>
          <w:p w14:paraId="6E96D0E6">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低于 1 元（电费 + 设备折旧）​</w:t>
            </w:r>
          </w:p>
        </w:tc>
        <w:tc>
          <w:tcPr>
            <w:tcW w:w="0" w:type="auto"/>
            <w:shd w:val="clear" w:color="auto" w:fill="auto"/>
            <w:tcMar>
              <w:top w:w="80" w:type="dxa"/>
              <w:left w:w="160" w:type="dxa"/>
              <w:bottom w:w="80" w:type="dxa"/>
              <w:right w:w="160" w:type="dxa"/>
            </w:tcMar>
            <w:vAlign w:val="center"/>
          </w:tcPr>
          <w:p w14:paraId="474A20BF">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2.5 万 -5 万元</w:t>
            </w:r>
          </w:p>
        </w:tc>
        <w:tc>
          <w:tcPr>
            <w:tcW w:w="0" w:type="auto"/>
            <w:shd w:val="clear" w:color="auto" w:fill="auto"/>
            <w:tcMar>
              <w:top w:w="80" w:type="dxa"/>
              <w:left w:w="160" w:type="dxa"/>
              <w:bottom w:w="80" w:type="dxa"/>
              <w:right w:w="160" w:type="dxa"/>
            </w:tcMar>
            <w:vAlign w:val="center"/>
          </w:tcPr>
          <w:p w14:paraId="4A6548A7">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98%​</w:t>
            </w:r>
          </w:p>
        </w:tc>
      </w:tr>
    </w:tbl>
    <w:p w14:paraId="17E8A753">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数据解读：</w:t>
      </w:r>
    </w:p>
    <w:p w14:paraId="58AD08A8">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本项目单样检测成本低于 1 元，较传统滴定法降幅达 98%，较液质联用降幅达 99.7%。</w:t>
      </w:r>
    </w:p>
    <w:p w14:paraId="654EEBCC">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按单家中型农业企业年检测 25000 样本测算，采用本项目技术可年节约检测支出 122.5 万 -195 万元，投资回收期（ROI）控制在 3-4 个月内。</w:t>
      </w:r>
    </w:p>
    <w:p w14:paraId="29527963">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成本优势使"批次全检"成为经济可行的选项，企业可从"抽检"升级为"全检"，显著降低品质风险与品牌损失。</w:t>
      </w:r>
    </w:p>
    <w:p w14:paraId="4CF951E0">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6.2.3 破坏性对比</w:t>
      </w:r>
    </w:p>
    <w:tbl>
      <w:tblPr>
        <w:tblStyle w:val="10"/>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61"/>
        <w:gridCol w:w="2388"/>
        <w:gridCol w:w="1690"/>
        <w:gridCol w:w="2254"/>
      </w:tblGrid>
      <w:tr w14:paraId="695D41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tcMar>
              <w:top w:w="80" w:type="dxa"/>
              <w:left w:w="160" w:type="dxa"/>
              <w:bottom w:w="80" w:type="dxa"/>
              <w:right w:w="160" w:type="dxa"/>
            </w:tcMar>
            <w:vAlign w:val="center"/>
          </w:tcPr>
          <w:p w14:paraId="5ACAACC4">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检测方法</w:t>
            </w:r>
          </w:p>
        </w:tc>
        <w:tc>
          <w:tcPr>
            <w:tcW w:w="0" w:type="auto"/>
            <w:shd w:val="clear" w:color="auto" w:fill="auto"/>
            <w:tcMar>
              <w:top w:w="80" w:type="dxa"/>
              <w:left w:w="160" w:type="dxa"/>
              <w:bottom w:w="80" w:type="dxa"/>
              <w:right w:w="160" w:type="dxa"/>
            </w:tcMar>
            <w:vAlign w:val="center"/>
          </w:tcPr>
          <w:p w14:paraId="3BE353CF">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样品损耗率</w:t>
            </w:r>
          </w:p>
        </w:tc>
        <w:tc>
          <w:tcPr>
            <w:tcW w:w="0" w:type="auto"/>
            <w:shd w:val="clear" w:color="auto" w:fill="auto"/>
            <w:tcMar>
              <w:top w:w="80" w:type="dxa"/>
              <w:left w:w="160" w:type="dxa"/>
              <w:bottom w:w="80" w:type="dxa"/>
              <w:right w:w="160" w:type="dxa"/>
            </w:tcMar>
            <w:vAlign w:val="center"/>
          </w:tcPr>
          <w:p w14:paraId="76B064F1">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适用场景</w:t>
            </w:r>
          </w:p>
        </w:tc>
        <w:tc>
          <w:tcPr>
            <w:tcW w:w="0" w:type="auto"/>
            <w:shd w:val="clear" w:color="auto" w:fill="auto"/>
            <w:tcMar>
              <w:top w:w="80" w:type="dxa"/>
              <w:left w:w="160" w:type="dxa"/>
              <w:bottom w:w="80" w:type="dxa"/>
              <w:right w:w="160" w:type="dxa"/>
            </w:tcMar>
            <w:vAlign w:val="center"/>
          </w:tcPr>
          <w:p w14:paraId="2BC0F557">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高附加值产品影响</w:t>
            </w:r>
          </w:p>
        </w:tc>
      </w:tr>
      <w:tr w14:paraId="0A27A5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tcMar>
              <w:top w:w="80" w:type="dxa"/>
              <w:left w:w="160" w:type="dxa"/>
              <w:bottom w:w="80" w:type="dxa"/>
              <w:right w:w="160" w:type="dxa"/>
            </w:tcMar>
            <w:vAlign w:val="center"/>
          </w:tcPr>
          <w:p w14:paraId="089AE797">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传统滴定法</w:t>
            </w:r>
          </w:p>
        </w:tc>
        <w:tc>
          <w:tcPr>
            <w:tcW w:w="0" w:type="auto"/>
            <w:shd w:val="clear" w:color="auto" w:fill="auto"/>
            <w:tcMar>
              <w:top w:w="80" w:type="dxa"/>
              <w:left w:w="160" w:type="dxa"/>
              <w:bottom w:w="80" w:type="dxa"/>
              <w:right w:w="160" w:type="dxa"/>
            </w:tcMar>
            <w:vAlign w:val="center"/>
          </w:tcPr>
          <w:p w14:paraId="577E15CF">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100%（需榨汁）</w:t>
            </w:r>
          </w:p>
        </w:tc>
        <w:tc>
          <w:tcPr>
            <w:tcW w:w="0" w:type="auto"/>
            <w:shd w:val="clear" w:color="auto" w:fill="auto"/>
            <w:tcMar>
              <w:top w:w="80" w:type="dxa"/>
              <w:left w:w="160" w:type="dxa"/>
              <w:bottom w:w="80" w:type="dxa"/>
              <w:right w:w="160" w:type="dxa"/>
            </w:tcMar>
            <w:vAlign w:val="center"/>
          </w:tcPr>
          <w:p w14:paraId="7D8BD9C7">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实验室抽检</w:t>
            </w:r>
          </w:p>
        </w:tc>
        <w:tc>
          <w:tcPr>
            <w:tcW w:w="0" w:type="auto"/>
            <w:shd w:val="clear" w:color="auto" w:fill="auto"/>
            <w:tcMar>
              <w:top w:w="80" w:type="dxa"/>
              <w:left w:w="160" w:type="dxa"/>
              <w:bottom w:w="80" w:type="dxa"/>
              <w:right w:w="160" w:type="dxa"/>
            </w:tcMar>
            <w:vAlign w:val="center"/>
          </w:tcPr>
          <w:p w14:paraId="4235588A">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无法用于成品检测</w:t>
            </w:r>
          </w:p>
        </w:tc>
      </w:tr>
      <w:tr w14:paraId="689966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tcMar>
              <w:top w:w="80" w:type="dxa"/>
              <w:left w:w="160" w:type="dxa"/>
              <w:bottom w:w="80" w:type="dxa"/>
              <w:right w:w="160" w:type="dxa"/>
            </w:tcMar>
            <w:vAlign w:val="center"/>
          </w:tcPr>
          <w:p w14:paraId="19493A62">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液质联用（LC-MS）</w:t>
            </w:r>
          </w:p>
        </w:tc>
        <w:tc>
          <w:tcPr>
            <w:tcW w:w="0" w:type="auto"/>
            <w:shd w:val="clear" w:color="auto" w:fill="auto"/>
            <w:tcMar>
              <w:top w:w="80" w:type="dxa"/>
              <w:left w:w="160" w:type="dxa"/>
              <w:bottom w:w="80" w:type="dxa"/>
              <w:right w:w="160" w:type="dxa"/>
            </w:tcMar>
            <w:vAlign w:val="center"/>
          </w:tcPr>
          <w:p w14:paraId="18E5CCC3">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100%（需榨汁 + 萃取）</w:t>
            </w:r>
          </w:p>
        </w:tc>
        <w:tc>
          <w:tcPr>
            <w:tcW w:w="0" w:type="auto"/>
            <w:shd w:val="clear" w:color="auto" w:fill="auto"/>
            <w:tcMar>
              <w:top w:w="80" w:type="dxa"/>
              <w:left w:w="160" w:type="dxa"/>
              <w:bottom w:w="80" w:type="dxa"/>
              <w:right w:w="160" w:type="dxa"/>
            </w:tcMar>
            <w:vAlign w:val="center"/>
          </w:tcPr>
          <w:p w14:paraId="7F458103">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实验室深度分析</w:t>
            </w:r>
          </w:p>
        </w:tc>
        <w:tc>
          <w:tcPr>
            <w:tcW w:w="0" w:type="auto"/>
            <w:shd w:val="clear" w:color="auto" w:fill="auto"/>
            <w:tcMar>
              <w:top w:w="80" w:type="dxa"/>
              <w:left w:w="160" w:type="dxa"/>
              <w:bottom w:w="80" w:type="dxa"/>
              <w:right w:w="160" w:type="dxa"/>
            </w:tcMar>
            <w:vAlign w:val="center"/>
          </w:tcPr>
          <w:p w14:paraId="3D980D17">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无法用于成品检测</w:t>
            </w:r>
          </w:p>
        </w:tc>
      </w:tr>
      <w:tr w14:paraId="543A56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tcMar>
              <w:top w:w="80" w:type="dxa"/>
              <w:left w:w="160" w:type="dxa"/>
              <w:bottom w:w="80" w:type="dxa"/>
              <w:right w:w="160" w:type="dxa"/>
            </w:tcMar>
            <w:vAlign w:val="center"/>
          </w:tcPr>
          <w:p w14:paraId="2C5AFDB4">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手持折光仪</w:t>
            </w:r>
          </w:p>
        </w:tc>
        <w:tc>
          <w:tcPr>
            <w:tcW w:w="0" w:type="auto"/>
            <w:shd w:val="clear" w:color="auto" w:fill="auto"/>
            <w:tcMar>
              <w:top w:w="80" w:type="dxa"/>
              <w:left w:w="160" w:type="dxa"/>
              <w:bottom w:w="80" w:type="dxa"/>
              <w:right w:w="160" w:type="dxa"/>
            </w:tcMar>
            <w:vAlign w:val="center"/>
          </w:tcPr>
          <w:p w14:paraId="4E5757F5">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100%（需挤压取汁）</w:t>
            </w:r>
          </w:p>
        </w:tc>
        <w:tc>
          <w:tcPr>
            <w:tcW w:w="0" w:type="auto"/>
            <w:shd w:val="clear" w:color="auto" w:fill="auto"/>
            <w:tcMar>
              <w:top w:w="80" w:type="dxa"/>
              <w:left w:w="160" w:type="dxa"/>
              <w:bottom w:w="80" w:type="dxa"/>
              <w:right w:w="160" w:type="dxa"/>
            </w:tcMar>
            <w:vAlign w:val="center"/>
          </w:tcPr>
          <w:p w14:paraId="469FC058">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果园现场</w:t>
            </w:r>
          </w:p>
        </w:tc>
        <w:tc>
          <w:tcPr>
            <w:tcW w:w="0" w:type="auto"/>
            <w:shd w:val="clear" w:color="auto" w:fill="auto"/>
            <w:tcMar>
              <w:top w:w="80" w:type="dxa"/>
              <w:left w:w="160" w:type="dxa"/>
              <w:bottom w:w="80" w:type="dxa"/>
              <w:right w:w="160" w:type="dxa"/>
            </w:tcMar>
            <w:vAlign w:val="center"/>
          </w:tcPr>
          <w:p w14:paraId="1493DF61">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检测后果实无法销售</w:t>
            </w:r>
          </w:p>
        </w:tc>
      </w:tr>
      <w:tr w14:paraId="16DDF7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tcMar>
              <w:top w:w="80" w:type="dxa"/>
              <w:left w:w="160" w:type="dxa"/>
              <w:bottom w:w="80" w:type="dxa"/>
              <w:right w:w="160" w:type="dxa"/>
            </w:tcMar>
            <w:vAlign w:val="center"/>
          </w:tcPr>
          <w:p w14:paraId="0B6E4117">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本项目（光谱 AI）​</w:t>
            </w:r>
          </w:p>
        </w:tc>
        <w:tc>
          <w:tcPr>
            <w:tcW w:w="0" w:type="auto"/>
            <w:shd w:val="clear" w:color="auto" w:fill="auto"/>
            <w:tcMar>
              <w:top w:w="80" w:type="dxa"/>
              <w:left w:w="160" w:type="dxa"/>
              <w:bottom w:w="80" w:type="dxa"/>
              <w:right w:w="160" w:type="dxa"/>
            </w:tcMar>
            <w:vAlign w:val="center"/>
          </w:tcPr>
          <w:p w14:paraId="15164187">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0%（完全无损）​</w:t>
            </w:r>
          </w:p>
        </w:tc>
        <w:tc>
          <w:tcPr>
            <w:tcW w:w="0" w:type="auto"/>
            <w:shd w:val="clear" w:color="auto" w:fill="auto"/>
            <w:tcMar>
              <w:top w:w="80" w:type="dxa"/>
              <w:left w:w="160" w:type="dxa"/>
              <w:bottom w:w="80" w:type="dxa"/>
              <w:right w:w="160" w:type="dxa"/>
            </w:tcMar>
            <w:vAlign w:val="center"/>
          </w:tcPr>
          <w:p w14:paraId="3846DB44">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全链条场景</w:t>
            </w:r>
          </w:p>
        </w:tc>
        <w:tc>
          <w:tcPr>
            <w:tcW w:w="0" w:type="auto"/>
            <w:shd w:val="clear" w:color="auto" w:fill="auto"/>
            <w:tcMar>
              <w:top w:w="80" w:type="dxa"/>
              <w:left w:w="160" w:type="dxa"/>
              <w:bottom w:w="80" w:type="dxa"/>
              <w:right w:w="160" w:type="dxa"/>
            </w:tcMar>
            <w:vAlign w:val="center"/>
          </w:tcPr>
          <w:p w14:paraId="4EE8CA60">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检测后果实可继续销售</w:t>
            </w:r>
          </w:p>
        </w:tc>
      </w:tr>
    </w:tbl>
    <w:p w14:paraId="44058860">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数据解读：</w:t>
      </w:r>
    </w:p>
    <w:p w14:paraId="066FE848">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本项目采用纯光学非接触式扫描，无需对果实进行任何切割、挤压或萃取处理，检测后果实可继续进入销售渠道，实现"零损耗"。</w:t>
      </w:r>
    </w:p>
    <w:p w14:paraId="39C02C9D">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对于单价 8-12 元/斤的特级果，传统破坏性检测每样本直接损失 2-3 元（按单果 250g 计），本项目可完全避免此类损耗。</w:t>
      </w:r>
    </w:p>
    <w:p w14:paraId="72113234">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无损检测特性使本项目可应用于"成品出厂前全检"场景，企业可对每一颗即将包装发货的柑橘进行品质筛查，彻底杜绝不合格品流入市场。</w:t>
      </w:r>
    </w:p>
    <w:p w14:paraId="2877ADB6">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6.2.4 操作门槛对比</w:t>
      </w:r>
    </w:p>
    <w:tbl>
      <w:tblPr>
        <w:tblStyle w:val="10"/>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98"/>
        <w:gridCol w:w="2486"/>
        <w:gridCol w:w="1206"/>
        <w:gridCol w:w="2803"/>
      </w:tblGrid>
      <w:tr w14:paraId="76DF50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tcMar>
              <w:top w:w="80" w:type="dxa"/>
              <w:left w:w="160" w:type="dxa"/>
              <w:bottom w:w="80" w:type="dxa"/>
              <w:right w:w="160" w:type="dxa"/>
            </w:tcMar>
            <w:vAlign w:val="center"/>
          </w:tcPr>
          <w:p w14:paraId="073B3644">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检测方法</w:t>
            </w:r>
          </w:p>
        </w:tc>
        <w:tc>
          <w:tcPr>
            <w:tcW w:w="0" w:type="auto"/>
            <w:shd w:val="clear" w:color="auto" w:fill="auto"/>
            <w:tcMar>
              <w:top w:w="80" w:type="dxa"/>
              <w:left w:w="160" w:type="dxa"/>
              <w:bottom w:w="80" w:type="dxa"/>
              <w:right w:w="160" w:type="dxa"/>
            </w:tcMar>
            <w:vAlign w:val="center"/>
          </w:tcPr>
          <w:p w14:paraId="477A15E7">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操作人员要求</w:t>
            </w:r>
          </w:p>
        </w:tc>
        <w:tc>
          <w:tcPr>
            <w:tcW w:w="0" w:type="auto"/>
            <w:shd w:val="clear" w:color="auto" w:fill="auto"/>
            <w:tcMar>
              <w:top w:w="80" w:type="dxa"/>
              <w:left w:w="160" w:type="dxa"/>
              <w:bottom w:w="80" w:type="dxa"/>
              <w:right w:w="160" w:type="dxa"/>
            </w:tcMar>
            <w:vAlign w:val="center"/>
          </w:tcPr>
          <w:p w14:paraId="1A790F6B">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培训周期</w:t>
            </w:r>
          </w:p>
        </w:tc>
        <w:tc>
          <w:tcPr>
            <w:tcW w:w="0" w:type="auto"/>
            <w:shd w:val="clear" w:color="auto" w:fill="auto"/>
            <w:tcMar>
              <w:top w:w="80" w:type="dxa"/>
              <w:left w:w="160" w:type="dxa"/>
              <w:bottom w:w="80" w:type="dxa"/>
              <w:right w:w="160" w:type="dxa"/>
            </w:tcMar>
            <w:vAlign w:val="center"/>
          </w:tcPr>
          <w:p w14:paraId="78F69362">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环境依赖</w:t>
            </w:r>
          </w:p>
        </w:tc>
      </w:tr>
      <w:tr w14:paraId="509C3C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tcMar>
              <w:top w:w="80" w:type="dxa"/>
              <w:left w:w="160" w:type="dxa"/>
              <w:bottom w:w="80" w:type="dxa"/>
              <w:right w:w="160" w:type="dxa"/>
            </w:tcMar>
            <w:vAlign w:val="center"/>
          </w:tcPr>
          <w:p w14:paraId="66CEFFDE">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传统滴定法</w:t>
            </w:r>
          </w:p>
        </w:tc>
        <w:tc>
          <w:tcPr>
            <w:tcW w:w="0" w:type="auto"/>
            <w:shd w:val="clear" w:color="auto" w:fill="auto"/>
            <w:tcMar>
              <w:top w:w="80" w:type="dxa"/>
              <w:left w:w="160" w:type="dxa"/>
              <w:bottom w:w="80" w:type="dxa"/>
              <w:right w:w="160" w:type="dxa"/>
            </w:tcMar>
            <w:vAlign w:val="center"/>
          </w:tcPr>
          <w:p w14:paraId="6218C838">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专业实验员（化学背景）</w:t>
            </w:r>
          </w:p>
        </w:tc>
        <w:tc>
          <w:tcPr>
            <w:tcW w:w="0" w:type="auto"/>
            <w:shd w:val="clear" w:color="auto" w:fill="auto"/>
            <w:tcMar>
              <w:top w:w="80" w:type="dxa"/>
              <w:left w:w="160" w:type="dxa"/>
              <w:bottom w:w="80" w:type="dxa"/>
              <w:right w:w="160" w:type="dxa"/>
            </w:tcMar>
            <w:vAlign w:val="center"/>
          </w:tcPr>
          <w:p w14:paraId="52DA2991">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3-6 个月</w:t>
            </w:r>
          </w:p>
        </w:tc>
        <w:tc>
          <w:tcPr>
            <w:tcW w:w="0" w:type="auto"/>
            <w:shd w:val="clear" w:color="auto" w:fill="auto"/>
            <w:tcMar>
              <w:top w:w="80" w:type="dxa"/>
              <w:left w:w="160" w:type="dxa"/>
              <w:bottom w:w="80" w:type="dxa"/>
              <w:right w:w="160" w:type="dxa"/>
            </w:tcMar>
            <w:vAlign w:val="center"/>
          </w:tcPr>
          <w:p w14:paraId="66555A65">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标准实验室（恒温恒湿、通风橱）</w:t>
            </w:r>
          </w:p>
        </w:tc>
      </w:tr>
      <w:tr w14:paraId="7AE499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tcMar>
              <w:top w:w="80" w:type="dxa"/>
              <w:left w:w="160" w:type="dxa"/>
              <w:bottom w:w="80" w:type="dxa"/>
              <w:right w:w="160" w:type="dxa"/>
            </w:tcMar>
            <w:vAlign w:val="center"/>
          </w:tcPr>
          <w:p w14:paraId="2FF47914">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液质联用（LC-MS）</w:t>
            </w:r>
          </w:p>
        </w:tc>
        <w:tc>
          <w:tcPr>
            <w:tcW w:w="0" w:type="auto"/>
            <w:shd w:val="clear" w:color="auto" w:fill="auto"/>
            <w:tcMar>
              <w:top w:w="80" w:type="dxa"/>
              <w:left w:w="160" w:type="dxa"/>
              <w:bottom w:w="80" w:type="dxa"/>
              <w:right w:w="160" w:type="dxa"/>
            </w:tcMar>
            <w:vAlign w:val="center"/>
          </w:tcPr>
          <w:p w14:paraId="7BD3E560">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高级工程师（仪器分析背景）</w:t>
            </w:r>
          </w:p>
        </w:tc>
        <w:tc>
          <w:tcPr>
            <w:tcW w:w="0" w:type="auto"/>
            <w:shd w:val="clear" w:color="auto" w:fill="auto"/>
            <w:tcMar>
              <w:top w:w="80" w:type="dxa"/>
              <w:left w:w="160" w:type="dxa"/>
              <w:bottom w:w="80" w:type="dxa"/>
              <w:right w:w="160" w:type="dxa"/>
            </w:tcMar>
            <w:vAlign w:val="center"/>
          </w:tcPr>
          <w:p w14:paraId="57DA77E0">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6-12 个月</w:t>
            </w:r>
          </w:p>
        </w:tc>
        <w:tc>
          <w:tcPr>
            <w:tcW w:w="0" w:type="auto"/>
            <w:shd w:val="clear" w:color="auto" w:fill="auto"/>
            <w:tcMar>
              <w:top w:w="80" w:type="dxa"/>
              <w:left w:w="160" w:type="dxa"/>
              <w:bottom w:w="80" w:type="dxa"/>
              <w:right w:w="160" w:type="dxa"/>
            </w:tcMar>
            <w:vAlign w:val="center"/>
          </w:tcPr>
          <w:p w14:paraId="56DF00F1">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精密仪器室（防震、防尘、恒温）</w:t>
            </w:r>
          </w:p>
        </w:tc>
      </w:tr>
      <w:tr w14:paraId="406AB1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tcMar>
              <w:top w:w="80" w:type="dxa"/>
              <w:left w:w="160" w:type="dxa"/>
              <w:bottom w:w="80" w:type="dxa"/>
              <w:right w:w="160" w:type="dxa"/>
            </w:tcMar>
            <w:vAlign w:val="center"/>
          </w:tcPr>
          <w:p w14:paraId="1F607456">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手持折光仪</w:t>
            </w:r>
          </w:p>
        </w:tc>
        <w:tc>
          <w:tcPr>
            <w:tcW w:w="0" w:type="auto"/>
            <w:shd w:val="clear" w:color="auto" w:fill="auto"/>
            <w:tcMar>
              <w:top w:w="80" w:type="dxa"/>
              <w:left w:w="160" w:type="dxa"/>
              <w:bottom w:w="80" w:type="dxa"/>
              <w:right w:w="160" w:type="dxa"/>
            </w:tcMar>
            <w:vAlign w:val="center"/>
          </w:tcPr>
          <w:p w14:paraId="3801709D">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普通农务人员</w:t>
            </w:r>
          </w:p>
        </w:tc>
        <w:tc>
          <w:tcPr>
            <w:tcW w:w="0" w:type="auto"/>
            <w:shd w:val="clear" w:color="auto" w:fill="auto"/>
            <w:tcMar>
              <w:top w:w="80" w:type="dxa"/>
              <w:left w:w="160" w:type="dxa"/>
              <w:bottom w:w="80" w:type="dxa"/>
              <w:right w:w="160" w:type="dxa"/>
            </w:tcMar>
            <w:vAlign w:val="center"/>
          </w:tcPr>
          <w:p w14:paraId="7C436CE3">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1-2 天</w:t>
            </w:r>
          </w:p>
        </w:tc>
        <w:tc>
          <w:tcPr>
            <w:tcW w:w="0" w:type="auto"/>
            <w:shd w:val="clear" w:color="auto" w:fill="auto"/>
            <w:tcMar>
              <w:top w:w="80" w:type="dxa"/>
              <w:left w:w="160" w:type="dxa"/>
              <w:bottom w:w="80" w:type="dxa"/>
              <w:right w:w="160" w:type="dxa"/>
            </w:tcMar>
            <w:vAlign w:val="center"/>
          </w:tcPr>
          <w:p w14:paraId="562AC273">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无特殊要求</w:t>
            </w:r>
          </w:p>
        </w:tc>
      </w:tr>
      <w:tr w14:paraId="7BC463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tcMar>
              <w:top w:w="80" w:type="dxa"/>
              <w:left w:w="160" w:type="dxa"/>
              <w:bottom w:w="80" w:type="dxa"/>
              <w:right w:w="160" w:type="dxa"/>
            </w:tcMar>
            <w:vAlign w:val="center"/>
          </w:tcPr>
          <w:p w14:paraId="654D13B9">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本项目（光谱 AI）​</w:t>
            </w:r>
          </w:p>
        </w:tc>
        <w:tc>
          <w:tcPr>
            <w:tcW w:w="0" w:type="auto"/>
            <w:shd w:val="clear" w:color="auto" w:fill="auto"/>
            <w:tcMar>
              <w:top w:w="80" w:type="dxa"/>
              <w:left w:w="160" w:type="dxa"/>
              <w:bottom w:w="80" w:type="dxa"/>
              <w:right w:w="160" w:type="dxa"/>
            </w:tcMar>
            <w:vAlign w:val="center"/>
          </w:tcPr>
          <w:p w14:paraId="2221E96C">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普通农务人员</w:t>
            </w:r>
          </w:p>
        </w:tc>
        <w:tc>
          <w:tcPr>
            <w:tcW w:w="0" w:type="auto"/>
            <w:shd w:val="clear" w:color="auto" w:fill="auto"/>
            <w:tcMar>
              <w:top w:w="80" w:type="dxa"/>
              <w:left w:w="160" w:type="dxa"/>
              <w:bottom w:w="80" w:type="dxa"/>
              <w:right w:w="160" w:type="dxa"/>
            </w:tcMar>
            <w:vAlign w:val="center"/>
          </w:tcPr>
          <w:p w14:paraId="1F0AD3D9">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1 天</w:t>
            </w:r>
          </w:p>
        </w:tc>
        <w:tc>
          <w:tcPr>
            <w:tcW w:w="0" w:type="auto"/>
            <w:shd w:val="clear" w:color="auto" w:fill="auto"/>
            <w:tcMar>
              <w:top w:w="80" w:type="dxa"/>
              <w:left w:w="160" w:type="dxa"/>
              <w:bottom w:w="80" w:type="dxa"/>
              <w:right w:w="160" w:type="dxa"/>
            </w:tcMar>
            <w:vAlign w:val="center"/>
          </w:tcPr>
          <w:p w14:paraId="0C5FED7F">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无特殊要求（支持弱网环境）​</w:t>
            </w:r>
          </w:p>
        </w:tc>
      </w:tr>
    </w:tbl>
    <w:p w14:paraId="337462A3">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数据解读：</w:t>
      </w:r>
    </w:p>
    <w:p w14:paraId="1D40F51D">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本项目微信小程序采用"三步检测"简化交互流程（扫码→扫描→出结果），普通果农经 1 天培训即可独立操作，无需理解光谱分析原理。</w:t>
      </w:r>
    </w:p>
    <w:p w14:paraId="3143F419">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云端 AI 推理服务自动完成数据预处理、特征提取、模型预测等复杂计算，用户端仅需上传光谱数据，大幅降低技术使用门槛。</w:t>
      </w:r>
    </w:p>
    <w:p w14:paraId="487C70EE">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系统支持弱网环境下的离线检测模式（本地缓存 + 后续同步），适配果园、农贸市场等网络条件较差的实际场景。</w:t>
      </w:r>
    </w:p>
    <w:p w14:paraId="3C2EF698">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6.2.5 环境影响对比</w:t>
      </w:r>
    </w:p>
    <w:tbl>
      <w:tblPr>
        <w:tblStyle w:val="10"/>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61"/>
        <w:gridCol w:w="2227"/>
        <w:gridCol w:w="1717"/>
        <w:gridCol w:w="2033"/>
        <w:gridCol w:w="855"/>
      </w:tblGrid>
      <w:tr w14:paraId="7DA54E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tcMar>
              <w:top w:w="80" w:type="dxa"/>
              <w:left w:w="160" w:type="dxa"/>
              <w:bottom w:w="80" w:type="dxa"/>
              <w:right w:w="160" w:type="dxa"/>
            </w:tcMar>
            <w:vAlign w:val="center"/>
          </w:tcPr>
          <w:p w14:paraId="33AF19CF">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检测方法</w:t>
            </w:r>
          </w:p>
        </w:tc>
        <w:tc>
          <w:tcPr>
            <w:tcW w:w="0" w:type="auto"/>
            <w:shd w:val="clear" w:color="auto" w:fill="auto"/>
            <w:tcMar>
              <w:top w:w="80" w:type="dxa"/>
              <w:left w:w="160" w:type="dxa"/>
              <w:bottom w:w="80" w:type="dxa"/>
              <w:right w:w="160" w:type="dxa"/>
            </w:tcMar>
            <w:vAlign w:val="center"/>
          </w:tcPr>
          <w:p w14:paraId="436CAE2F">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化学试剂消耗</w:t>
            </w:r>
          </w:p>
        </w:tc>
        <w:tc>
          <w:tcPr>
            <w:tcW w:w="0" w:type="auto"/>
            <w:shd w:val="clear" w:color="auto" w:fill="auto"/>
            <w:tcMar>
              <w:top w:w="80" w:type="dxa"/>
              <w:left w:w="160" w:type="dxa"/>
              <w:bottom w:w="80" w:type="dxa"/>
              <w:right w:w="160" w:type="dxa"/>
            </w:tcMar>
            <w:vAlign w:val="center"/>
          </w:tcPr>
          <w:p w14:paraId="0609F275">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废液排放</w:t>
            </w:r>
          </w:p>
        </w:tc>
        <w:tc>
          <w:tcPr>
            <w:tcW w:w="0" w:type="auto"/>
            <w:shd w:val="clear" w:color="auto" w:fill="auto"/>
            <w:tcMar>
              <w:top w:w="80" w:type="dxa"/>
              <w:left w:w="160" w:type="dxa"/>
              <w:bottom w:w="80" w:type="dxa"/>
              <w:right w:w="160" w:type="dxa"/>
            </w:tcMar>
            <w:vAlign w:val="center"/>
          </w:tcPr>
          <w:p w14:paraId="4694CA67">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能耗水平</w:t>
            </w:r>
          </w:p>
        </w:tc>
        <w:tc>
          <w:tcPr>
            <w:tcW w:w="0" w:type="auto"/>
            <w:shd w:val="clear" w:color="auto" w:fill="auto"/>
            <w:tcMar>
              <w:top w:w="80" w:type="dxa"/>
              <w:left w:w="160" w:type="dxa"/>
              <w:bottom w:w="80" w:type="dxa"/>
              <w:right w:w="160" w:type="dxa"/>
            </w:tcMar>
            <w:vAlign w:val="center"/>
          </w:tcPr>
          <w:p w14:paraId="494F4774">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绿色认证</w:t>
            </w:r>
          </w:p>
        </w:tc>
      </w:tr>
      <w:tr w14:paraId="5E258A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tcMar>
              <w:top w:w="80" w:type="dxa"/>
              <w:left w:w="160" w:type="dxa"/>
              <w:bottom w:w="80" w:type="dxa"/>
              <w:right w:w="160" w:type="dxa"/>
            </w:tcMar>
            <w:vAlign w:val="center"/>
          </w:tcPr>
          <w:p w14:paraId="455279F5">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传统滴定法</w:t>
            </w:r>
          </w:p>
        </w:tc>
        <w:tc>
          <w:tcPr>
            <w:tcW w:w="0" w:type="auto"/>
            <w:shd w:val="clear" w:color="auto" w:fill="auto"/>
            <w:tcMar>
              <w:top w:w="80" w:type="dxa"/>
              <w:left w:w="160" w:type="dxa"/>
              <w:bottom w:w="80" w:type="dxa"/>
              <w:right w:w="160" w:type="dxa"/>
            </w:tcMar>
            <w:vAlign w:val="center"/>
          </w:tcPr>
          <w:p w14:paraId="4F3ADE41">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大量（NaOH、指示剂等）</w:t>
            </w:r>
          </w:p>
        </w:tc>
        <w:tc>
          <w:tcPr>
            <w:tcW w:w="0" w:type="auto"/>
            <w:shd w:val="clear" w:color="auto" w:fill="auto"/>
            <w:tcMar>
              <w:top w:w="80" w:type="dxa"/>
              <w:left w:w="160" w:type="dxa"/>
              <w:bottom w:w="80" w:type="dxa"/>
              <w:right w:w="160" w:type="dxa"/>
            </w:tcMar>
            <w:vAlign w:val="center"/>
          </w:tcPr>
          <w:p w14:paraId="742DD424">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500-800mL/样本</w:t>
            </w:r>
          </w:p>
        </w:tc>
        <w:tc>
          <w:tcPr>
            <w:tcW w:w="0" w:type="auto"/>
            <w:shd w:val="clear" w:color="auto" w:fill="auto"/>
            <w:tcMar>
              <w:top w:w="80" w:type="dxa"/>
              <w:left w:w="160" w:type="dxa"/>
              <w:bottom w:w="80" w:type="dxa"/>
              <w:right w:w="160" w:type="dxa"/>
            </w:tcMar>
            <w:vAlign w:val="center"/>
          </w:tcPr>
          <w:p w14:paraId="0839126F">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中等（滴定仪 + 折光仪）</w:t>
            </w:r>
          </w:p>
        </w:tc>
        <w:tc>
          <w:tcPr>
            <w:tcW w:w="0" w:type="auto"/>
            <w:shd w:val="clear" w:color="auto" w:fill="auto"/>
            <w:tcMar>
              <w:top w:w="80" w:type="dxa"/>
              <w:left w:w="160" w:type="dxa"/>
              <w:bottom w:w="80" w:type="dxa"/>
              <w:right w:w="160" w:type="dxa"/>
            </w:tcMar>
            <w:vAlign w:val="center"/>
          </w:tcPr>
          <w:p w14:paraId="4FBF5F54">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不符合</w:t>
            </w:r>
          </w:p>
        </w:tc>
      </w:tr>
      <w:tr w14:paraId="52675B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tcMar>
              <w:top w:w="80" w:type="dxa"/>
              <w:left w:w="160" w:type="dxa"/>
              <w:bottom w:w="80" w:type="dxa"/>
              <w:right w:w="160" w:type="dxa"/>
            </w:tcMar>
            <w:vAlign w:val="center"/>
          </w:tcPr>
          <w:p w14:paraId="0F3F6955">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液质联用（LC-MS）</w:t>
            </w:r>
          </w:p>
        </w:tc>
        <w:tc>
          <w:tcPr>
            <w:tcW w:w="0" w:type="auto"/>
            <w:shd w:val="clear" w:color="auto" w:fill="auto"/>
            <w:tcMar>
              <w:top w:w="80" w:type="dxa"/>
              <w:left w:w="160" w:type="dxa"/>
              <w:bottom w:w="80" w:type="dxa"/>
              <w:right w:w="160" w:type="dxa"/>
            </w:tcMar>
            <w:vAlign w:val="center"/>
          </w:tcPr>
          <w:p w14:paraId="62625562">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极大量（甲醇、乙腈等有机溶剂）</w:t>
            </w:r>
          </w:p>
        </w:tc>
        <w:tc>
          <w:tcPr>
            <w:tcW w:w="0" w:type="auto"/>
            <w:shd w:val="clear" w:color="auto" w:fill="auto"/>
            <w:tcMar>
              <w:top w:w="80" w:type="dxa"/>
              <w:left w:w="160" w:type="dxa"/>
              <w:bottom w:w="80" w:type="dxa"/>
              <w:right w:w="160" w:type="dxa"/>
            </w:tcMar>
            <w:vAlign w:val="center"/>
          </w:tcPr>
          <w:p w14:paraId="393B961B">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2-4L/样本</w:t>
            </w:r>
          </w:p>
        </w:tc>
        <w:tc>
          <w:tcPr>
            <w:tcW w:w="0" w:type="auto"/>
            <w:shd w:val="clear" w:color="auto" w:fill="auto"/>
            <w:tcMar>
              <w:top w:w="80" w:type="dxa"/>
              <w:left w:w="160" w:type="dxa"/>
              <w:bottom w:w="80" w:type="dxa"/>
              <w:right w:w="160" w:type="dxa"/>
            </w:tcMar>
            <w:vAlign w:val="center"/>
          </w:tcPr>
          <w:p w14:paraId="372CF621">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高（质谱仪 24 小时运行）</w:t>
            </w:r>
          </w:p>
        </w:tc>
        <w:tc>
          <w:tcPr>
            <w:tcW w:w="0" w:type="auto"/>
            <w:shd w:val="clear" w:color="auto" w:fill="auto"/>
            <w:tcMar>
              <w:top w:w="80" w:type="dxa"/>
              <w:left w:w="160" w:type="dxa"/>
              <w:bottom w:w="80" w:type="dxa"/>
              <w:right w:w="160" w:type="dxa"/>
            </w:tcMar>
            <w:vAlign w:val="center"/>
          </w:tcPr>
          <w:p w14:paraId="3BB10354">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不符合</w:t>
            </w:r>
          </w:p>
        </w:tc>
      </w:tr>
      <w:tr w14:paraId="4F7277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tcMar>
              <w:top w:w="80" w:type="dxa"/>
              <w:left w:w="160" w:type="dxa"/>
              <w:bottom w:w="80" w:type="dxa"/>
              <w:right w:w="160" w:type="dxa"/>
            </w:tcMar>
            <w:vAlign w:val="center"/>
          </w:tcPr>
          <w:p w14:paraId="7CC8DA0F">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手持折光仪</w:t>
            </w:r>
          </w:p>
        </w:tc>
        <w:tc>
          <w:tcPr>
            <w:tcW w:w="0" w:type="auto"/>
            <w:shd w:val="clear" w:color="auto" w:fill="auto"/>
            <w:tcMar>
              <w:top w:w="80" w:type="dxa"/>
              <w:left w:w="160" w:type="dxa"/>
              <w:bottom w:w="80" w:type="dxa"/>
              <w:right w:w="160" w:type="dxa"/>
            </w:tcMar>
            <w:vAlign w:val="center"/>
          </w:tcPr>
          <w:p w14:paraId="2814A0D2">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无</w:t>
            </w:r>
          </w:p>
        </w:tc>
        <w:tc>
          <w:tcPr>
            <w:tcW w:w="0" w:type="auto"/>
            <w:shd w:val="clear" w:color="auto" w:fill="auto"/>
            <w:tcMar>
              <w:top w:w="80" w:type="dxa"/>
              <w:left w:w="160" w:type="dxa"/>
              <w:bottom w:w="80" w:type="dxa"/>
              <w:right w:w="160" w:type="dxa"/>
            </w:tcMar>
            <w:vAlign w:val="center"/>
          </w:tcPr>
          <w:p w14:paraId="15A9D3E5">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无</w:t>
            </w:r>
          </w:p>
        </w:tc>
        <w:tc>
          <w:tcPr>
            <w:tcW w:w="0" w:type="auto"/>
            <w:shd w:val="clear" w:color="auto" w:fill="auto"/>
            <w:tcMar>
              <w:top w:w="80" w:type="dxa"/>
              <w:left w:w="160" w:type="dxa"/>
              <w:bottom w:w="80" w:type="dxa"/>
              <w:right w:w="160" w:type="dxa"/>
            </w:tcMar>
            <w:vAlign w:val="center"/>
          </w:tcPr>
          <w:p w14:paraId="11F7702B">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低（电池供电）</w:t>
            </w:r>
          </w:p>
        </w:tc>
        <w:tc>
          <w:tcPr>
            <w:tcW w:w="0" w:type="auto"/>
            <w:shd w:val="clear" w:color="auto" w:fill="auto"/>
            <w:tcMar>
              <w:top w:w="80" w:type="dxa"/>
              <w:left w:w="160" w:type="dxa"/>
              <w:bottom w:w="80" w:type="dxa"/>
              <w:right w:w="160" w:type="dxa"/>
            </w:tcMar>
            <w:vAlign w:val="center"/>
          </w:tcPr>
          <w:p w14:paraId="1E2A650F">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符合</w:t>
            </w:r>
          </w:p>
        </w:tc>
      </w:tr>
      <w:tr w14:paraId="5E9875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tcMar>
              <w:top w:w="80" w:type="dxa"/>
              <w:left w:w="160" w:type="dxa"/>
              <w:bottom w:w="80" w:type="dxa"/>
              <w:right w:w="160" w:type="dxa"/>
            </w:tcMar>
            <w:vAlign w:val="center"/>
          </w:tcPr>
          <w:p w14:paraId="0ADDFC09">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本项目（光谱 AI）​</w:t>
            </w:r>
          </w:p>
        </w:tc>
        <w:tc>
          <w:tcPr>
            <w:tcW w:w="0" w:type="auto"/>
            <w:shd w:val="clear" w:color="auto" w:fill="auto"/>
            <w:tcMar>
              <w:top w:w="80" w:type="dxa"/>
              <w:left w:w="160" w:type="dxa"/>
              <w:bottom w:w="80" w:type="dxa"/>
              <w:right w:w="160" w:type="dxa"/>
            </w:tcMar>
            <w:vAlign w:val="center"/>
          </w:tcPr>
          <w:p w14:paraId="65D30AC9">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无</w:t>
            </w:r>
          </w:p>
        </w:tc>
        <w:tc>
          <w:tcPr>
            <w:tcW w:w="0" w:type="auto"/>
            <w:shd w:val="clear" w:color="auto" w:fill="auto"/>
            <w:tcMar>
              <w:top w:w="80" w:type="dxa"/>
              <w:left w:w="160" w:type="dxa"/>
              <w:bottom w:w="80" w:type="dxa"/>
              <w:right w:w="160" w:type="dxa"/>
            </w:tcMar>
            <w:vAlign w:val="center"/>
          </w:tcPr>
          <w:p w14:paraId="26433627">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无</w:t>
            </w:r>
          </w:p>
        </w:tc>
        <w:tc>
          <w:tcPr>
            <w:tcW w:w="0" w:type="auto"/>
            <w:shd w:val="clear" w:color="auto" w:fill="auto"/>
            <w:tcMar>
              <w:top w:w="80" w:type="dxa"/>
              <w:left w:w="160" w:type="dxa"/>
              <w:bottom w:w="80" w:type="dxa"/>
              <w:right w:w="160" w:type="dxa"/>
            </w:tcMar>
            <w:vAlign w:val="center"/>
          </w:tcPr>
          <w:p w14:paraId="23E7C8A4">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低（LED 光源 + 低功耗传感器）​</w:t>
            </w:r>
          </w:p>
        </w:tc>
        <w:tc>
          <w:tcPr>
            <w:tcW w:w="0" w:type="auto"/>
            <w:shd w:val="clear" w:color="auto" w:fill="auto"/>
            <w:tcMar>
              <w:top w:w="80" w:type="dxa"/>
              <w:left w:w="160" w:type="dxa"/>
              <w:bottom w:w="80" w:type="dxa"/>
              <w:right w:w="160" w:type="dxa"/>
            </w:tcMar>
            <w:vAlign w:val="center"/>
          </w:tcPr>
          <w:p w14:paraId="290C0A16">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符合</w:t>
            </w:r>
          </w:p>
        </w:tc>
      </w:tr>
    </w:tbl>
    <w:p w14:paraId="4D841FC6">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数据解读：</w:t>
      </w:r>
    </w:p>
    <w:p w14:paraId="1F628FD8">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本项目采用纯物理光学扫描，全程无需任何化学试剂，从源头切断化学污染物排放，符合《"十四五"工业绿色发展规划》对无损检测技术的推广要求。</w:t>
      </w:r>
    </w:p>
    <w:p w14:paraId="1DD5CAFF">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按单家检测机构年检测 10 万样本测算，采用本项目技术可减少化学废液排放 50-80 吨，降低危废处理成本 25 万 -40 万元。</w:t>
      </w:r>
    </w:p>
    <w:p w14:paraId="6C6153F1">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绿色检测特性使采购本设备的企业可申请地方政府"绿色工厂"、"环保技改"专项补贴，进一步降低实际采购成本。</w:t>
      </w:r>
    </w:p>
    <w:p w14:paraId="2195C80A">
      <w:pPr>
        <w:pStyle w:val="9"/>
        <w:widowControl/>
        <w:spacing w:before="240" w:beforeAutospacing="0" w:after="160" w:afterAutospacing="0" w:line="400" w:lineRule="auto"/>
        <w:rPr>
          <w:rFonts w:hint="eastAsia" w:ascii="宋体" w:hAnsi="宋体" w:eastAsia="宋体" w:cs="宋体"/>
          <w:b w:val="0"/>
          <w:bCs/>
          <w:color w:val="000000"/>
          <w:sz w:val="24"/>
          <w:szCs w:val="24"/>
        </w:rPr>
      </w:pPr>
    </w:p>
    <w:p w14:paraId="232115D0">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6.3 技术可扩展性</w:t>
      </w:r>
    </w:p>
    <w:p w14:paraId="26407B23">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本项目构建的"多模态光谱融合 + 深度学习"技术框架，具有高度的模块化与可迁移性，可快速适配其他水果品种、其他产区、其他检测指标，为后续业务拓展奠定技术基础。</w:t>
      </w:r>
    </w:p>
    <w:p w14:paraId="3A09EFC0">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6.3.1 品种迁移：从柑橘到其他水果</w:t>
      </w:r>
    </w:p>
    <w:p w14:paraId="7ECCF7BE">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​（1）技术迁移路径</w:t>
      </w:r>
    </w:p>
    <w:p w14:paraId="75550038">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本项目核心算法（Transformer 编码器、注意力加权融合、CARS 特征筛选）不依赖于柑橘的特定生化成分，而是基于光谱信号与品质指标之间的非线性映射关系。因此，只需采集目标水果品种的光谱数据与化学标签，进行少量样本的迁移学习（Fine-tuning），即可实现模型适配。</w:t>
      </w:r>
    </w:p>
    <w:p w14:paraId="561FFEBF">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具体迁移流程如下：</w:t>
      </w:r>
    </w:p>
    <w:p w14:paraId="28B4B8DA">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步骤一：采集目标水果品种（如红江橙、砂糖橘、蜜柚等）的光谱数据，样本量建议 100-200 组，覆盖不同成熟度与产区。</w:t>
      </w:r>
    </w:p>
    <w:p w14:paraId="605178DF">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步骤二：测定化学标签（糖度、酸度、维生素 C 等），与光谱数据建立配对关系。</w:t>
      </w:r>
    </w:p>
    <w:p w14:paraId="0C405421">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步骤三：加载本项目预训练模型权重，使用新数据集进行 10-20 轮微调训练，冻结底层特征提取层，仅更新顶层回归头。</w:t>
      </w:r>
    </w:p>
    <w:p w14:paraId="3D8E2CB3">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步骤四：在独立测试集上验证精度，R²≥0.90 即可部署应用。</w:t>
      </w:r>
    </w:p>
    <w:p w14:paraId="426FFED4">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​（2）迁移成本与周期</w:t>
      </w:r>
    </w:p>
    <w:p w14:paraId="7B2D7876">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按单品种测算：</w:t>
      </w:r>
    </w:p>
    <w:p w14:paraId="3968476D">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数据采集成本：样本采集 + 化学标签测定约 2 万 -3 万元（委托第三方 CMA 实验室）。</w:t>
      </w:r>
    </w:p>
    <w:p w14:paraId="7153BB75">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模型训练成本：GPU 算力消耗约 2000-3000 元（云服务器按量计费）。</w:t>
      </w:r>
    </w:p>
    <w:p w14:paraId="4939ACC2">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开发周期：从数据采集到模型部署约 4-6 周，其中数据采集 2-3 周、模型训练与验证 1-2 周、系统集成测试 1 周。</w:t>
      </w:r>
    </w:p>
    <w:p w14:paraId="27EEEE12">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​（3）优先迁移品种</w:t>
      </w:r>
    </w:p>
    <w:p w14:paraId="54187419">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基于市场规模与技术相似度，建议优先迁移至以下品种：</w:t>
      </w:r>
    </w:p>
    <w:p w14:paraId="06D26F1D">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红江橙：海南另一地理标志产品，市场规模约 30 亿元，光谱特征与福橙/绿橙高度相似，迁移难度低。</w:t>
      </w:r>
    </w:p>
    <w:p w14:paraId="7D9D9212">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砂糖橘：全国年产量超 800 万吨，市场需求大，但糖度波动范围广（8-16°Brix），对模型泛化能力要求较高。</w:t>
      </w:r>
    </w:p>
    <w:p w14:paraId="5EE055D1">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蜜柚：福建、广东主产，单果重量大（1-2kg），光谱穿透深度需求更高，需调整 S960 传感器参数。</w:t>
      </w:r>
    </w:p>
    <w:p w14:paraId="712B4D9F">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6.3.2 产地扩展：从海南到全国主产区</w:t>
      </w:r>
    </w:p>
    <w:p w14:paraId="7E95695D">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​（1）产地溯源模型扩展</w:t>
      </w:r>
    </w:p>
    <w:p w14:paraId="7221F61C">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本项目产地溯源模型当前覆盖澄迈福橙与琼中绿橙两大产区，分类准确率 96.8%。扩展至其他产区（如广西桂林、广东肇庆、江西赣州等）的技术路径如下：</w:t>
      </w:r>
    </w:p>
    <w:p w14:paraId="6F869DC7">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样本采集：在各主产区设置固定采样点，每产区采集 100-150 组样本，覆盖不同海拔、不同土壤类型。</w:t>
      </w:r>
    </w:p>
    <w:p w14:paraId="2F9A055C">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特征库扩充：利用 VIP（变量重要性投影）方法识别各产区特异性光谱特征波段，建立"产区指纹"数据库。</w:t>
      </w:r>
    </w:p>
    <w:p w14:paraId="350F3444">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多分类模型训练：将二分类模型（澄迈 vs 琼中）扩展为多分类模型（海南 vs 广西 vs 广东 vs 江西...），采用 Softmax 交叉熵损失函数进行训练。</w:t>
      </w:r>
    </w:p>
    <w:p w14:paraId="48204075">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​（2）跨区域泛化能力验证</w:t>
      </w:r>
    </w:p>
    <w:p w14:paraId="517935F8">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为确保模型在全国范围内的适用性，需进行跨区域盲测验证：</w:t>
      </w:r>
    </w:p>
    <w:p w14:paraId="6C552195">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验证方法：在训练集未包含的产区（如湖北秭归、四川丹棱）采集 50-100 组样本，测试模型的产地判别能力。</w:t>
      </w:r>
    </w:p>
    <w:p w14:paraId="21F4EED9">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判定标准：若模型将非海南产区样本正确识别为"其他产区"（而非误判为澄迈或琼中），则视为通过验证。</w:t>
      </w:r>
    </w:p>
    <w:p w14:paraId="3D71AF0B">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预期结果：基于前期小范围测试，模型对非海南产区样本的"其他产区"识别率约 93%，可满足商业应用需求。</w:t>
      </w:r>
    </w:p>
    <w:p w14:paraId="17031B81">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6.3.3 指标扩充：从品质检测到安全筛查</w:t>
      </w:r>
    </w:p>
    <w:p w14:paraId="32EE0E51">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​（1）农药残留快速初筛</w:t>
      </w:r>
    </w:p>
    <w:p w14:paraId="3A4D7F3D">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当前本项目检测指标聚焦于糖度、酸度、维生素 C 等品质指标，未来可基于液质联用标签数据，拓展至农药残留筛查：</w:t>
      </w:r>
    </w:p>
    <w:p w14:paraId="29BFD975">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技术原理：部分农药（如有机磷类、氨基甲酸酯类）在特定近红外波段（1400-1500nm、1900-2000nm）具有特征吸收峰，可通过光谱分析进行定性识别。</w:t>
      </w:r>
    </w:p>
    <w:p w14:paraId="523934CC">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实现路径：采集已知农药残留水平的样本（通过 LC-MS 测定），建立农药残留光谱特征库，训练二分类模型（合格 vs 超标）。</w:t>
      </w:r>
    </w:p>
    <w:p w14:paraId="123449DA">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精度预期：基于文献报道与前期预实验，农药残留定性筛查准确率可达 85%-90%，可作为实验室确证检测的前置筛查手段。</w:t>
      </w:r>
    </w:p>
    <w:p w14:paraId="0F428F0C">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​（2）特定营养成分检测</w:t>
      </w:r>
    </w:p>
    <w:p w14:paraId="24D7B191">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针对消费者对功能性营养成分（如类黄酮、膳食纤维、微量元素）的关注，本项目可拓展以下检测指标：</w:t>
      </w:r>
    </w:p>
    <w:p w14:paraId="6179FC54">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类黄酮：本项目液质标签已包含 10 种类黄酮物质（橙皮苷、柚皮苷等），光谱特征与近红外波段（1100-1300nm）存在显著相关性，当前模型 R²约 0.82，可通过增加样本量提升至 0.88 以上。</w:t>
      </w:r>
    </w:p>
    <w:p w14:paraId="51C5A0FE">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膳食纤维：纤维素、半纤维素在 1200nm、1450nm、2100nm 等波段具有特征吸收，文献报道预测 R²可达 0.85-0.90。</w:t>
      </w:r>
    </w:p>
    <w:p w14:paraId="41087A22">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微量元素：钾、钙、镁等矿质元素的光谱响应较弱，需结合 HSI 高光谱的空间特征进行间接预测，当前处于技术预研阶段。</w:t>
      </w:r>
    </w:p>
    <w:p w14:paraId="001CD176">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​（3）内部缺陷检测</w:t>
      </w:r>
    </w:p>
    <w:p w14:paraId="56B56525">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除化学成分检测外，本项目 HSI 高光谱成像系统还可用于柑橘内部缺陷检测：</w:t>
      </w:r>
    </w:p>
    <w:p w14:paraId="5D7AEA6B">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枯水病检测：枯水病柑橘果肉细胞壁降解，导致光谱散射特性改变，在 700-900nm 波段具有显著差异，定性识别准确率可达 90% 以上。</w:t>
      </w:r>
    </w:p>
    <w:p w14:paraId="4B0E6B3B">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褐斑病检测：褐斑病组织在 550nm、680nm 等可见光波段呈现特异性吸收，结合深度学习图像分割算法，可实现病斑定位与严重程度评估。</w:t>
      </w:r>
    </w:p>
    <w:p w14:paraId="1BF68B8E">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商业价值：内部缺陷检测可帮助企业剔除劣质果，避免消费者投诉与品牌损失，按单家企业年吞吐量 5000 吨测算，可减少售后赔付支出约 50 万 -80 万元。</w:t>
      </w:r>
    </w:p>
    <w:p w14:paraId="6FEED2E3">
      <w:pPr>
        <w:pStyle w:val="9"/>
        <w:widowControl/>
        <w:spacing w:before="240" w:beforeAutospacing="0" w:after="160" w:afterAutospacing="0" w:line="400" w:lineRule="auto"/>
        <w:rPr>
          <w:rFonts w:hint="eastAsia" w:ascii="宋体" w:hAnsi="宋体" w:eastAsia="宋体" w:cs="宋体"/>
          <w:b w:val="0"/>
          <w:bCs/>
          <w:color w:val="000000"/>
          <w:sz w:val="24"/>
          <w:szCs w:val="24"/>
        </w:rPr>
      </w:pPr>
    </w:p>
    <w:p w14:paraId="63534864">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6.4 社会与产业价值</w:t>
      </w:r>
    </w:p>
    <w:p w14:paraId="5805382E">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本项目的推广应用，不仅可为企业带来直接经济效益，更可在品牌保护、产业升级、农民增收、绿色转型等层面产生深远的社会与产业价值。</w:t>
      </w:r>
    </w:p>
    <w:p w14:paraId="1DBC9F58">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6.4.1 品牌保护价值</w:t>
      </w:r>
    </w:p>
    <w:p w14:paraId="675918DE">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​（1）打击产地造假，维护品牌溢价</w:t>
      </w:r>
    </w:p>
    <w:p w14:paraId="3BF72A67">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海南柑橘品牌溢价显著，"澄迈福橙"、"琼中绿橙"市场售价较外省普通柑橘高出 30%-50%，这导致市场上冒充海南产区的现象屡禁不止。据海南省市场监管局 2024 年专项抽检数据显示，市面上标称"海南绿橙"的产品中，约有 23% 实际产自广西、广东等地，品牌侵权造成的年经济损失估计超 8 亿元。</w:t>
      </w:r>
    </w:p>
    <w:p w14:paraId="09F0F289">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本项目基于果实自身"生物指纹"的产地溯源技术，可从本质上鉴别产地真实性：</w:t>
      </w:r>
    </w:p>
    <w:p w14:paraId="71833256">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技术壁垒：光谱指纹基于果实内部生化成分，无法通过外部标签仿冒，造假门槛极高。</w:t>
      </w:r>
    </w:p>
    <w:p w14:paraId="5C0F777E">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快速筛查：市场监管人员或品牌方质检员使用小程序端，对市售产品进行随机抽检，3-5 秒内即可获取产地概率分布。</w:t>
      </w:r>
    </w:p>
    <w:p w14:paraId="7E20BA59">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证据固化：检测记录自动上传至云端数据库，生成带时间戳与地理位置信息的质检报告，可作为行政执法或司法诉讼的证据材料。</w:t>
      </w:r>
    </w:p>
    <w:p w14:paraId="2526C8DE">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按品牌侵权率降低 80% 测算，本项目可直接保护海南柑橘品牌年收益超 6 亿元，维护果农与合法企业的切身利益。</w:t>
      </w:r>
    </w:p>
    <w:p w14:paraId="7933247F">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​（2）提升消费者信任度</w:t>
      </w:r>
    </w:p>
    <w:p w14:paraId="08A62DA8">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在地理标志产品包装上印制溯源二维码，消费者扫码即可查看该批次产品的产地溯源检测报告与品质指标（糖度、酸度、维生素 C），提升消费信心与购买意愿。据团队前期市场调研数据显示，提供溯源信息的柑橘产品，消费者购买转化率提升 18%，复购率提升 12%。</w:t>
      </w:r>
    </w:p>
    <w:p w14:paraId="1B2CA25E">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6.4.2 产业升级价值</w:t>
      </w:r>
    </w:p>
    <w:p w14:paraId="7205517A">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​（1）推动海南柑橘从"传统农业"向"数字农业"转型</w:t>
      </w:r>
    </w:p>
    <w:p w14:paraId="1B177108">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本项目构建的"光谱采集→AI 分析→云端管理"全流程数字化体系，可为海南柑橘产业建立全省统一的品质数据库：</w:t>
      </w:r>
    </w:p>
    <w:p w14:paraId="757C3897">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数据沉淀：累计检测数据纳入省级农业大数据平台，分析各产区、各品种、各成熟度的品质分布规律，指导种植结构调整与采收计划制定。</w:t>
      </w:r>
    </w:p>
    <w:p w14:paraId="29DA9C9C">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标准制定：基于大规模检测数据，协助海南省农业农村厅制定"海南柑橘品质分级标准"，推动产业从"经验种植"向"标准种植"升级。</w:t>
      </w:r>
    </w:p>
    <w:p w14:paraId="07E1B7F9">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品牌背书：官方认可的质检报告可作为"海南柑橘"区域公用品牌的背书材料，提升整体品牌形象与市场竞争力。</w:t>
      </w:r>
    </w:p>
    <w:p w14:paraId="51F4B211">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​（2）带动上下游产业链协同发展</w:t>
      </w:r>
    </w:p>
    <w:p w14:paraId="06D4DC80">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本项目产业化落地将带动以下上下游产业发展：</w:t>
      </w:r>
    </w:p>
    <w:p w14:paraId="2028A93C">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上游：光谱传感器、LED 光源、嵌入式 AI 芯片等硬件制造商，预计可带动产值 5000 万 -8000 万元。</w:t>
      </w:r>
    </w:p>
    <w:p w14:paraId="4D92F3AA">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中游：光谱检测设备组装、系统集成、软件开发商，预计可带动产值 1 亿 -1.5 亿元。</w:t>
      </w:r>
    </w:p>
    <w:p w14:paraId="62E30603">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下游：第三方检测服务、数据标注、技术培训等服务商，预计可带动产值 3000 万 -5000 万元。</w:t>
      </w:r>
    </w:p>
    <w:p w14:paraId="133BE2C9">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6.4.3 农民增收价值</w:t>
      </w:r>
    </w:p>
    <w:p w14:paraId="627E51B3">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​（1）精准采收指导，提升优质果率</w:t>
      </w:r>
    </w:p>
    <w:p w14:paraId="5D4F0756">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如 6.1.2 节所述，采用本项目技术进行采收前筛查，可将优质果率从 65% 提升至 85%，单户果农年增收约 2000-4000 元。若推广至海南全省 80 万亩柑橘种植面积（涉及果农约 12 万户），预计可带动果农群体年增收 1.6 亿 -3.2 亿元。</w:t>
      </w:r>
    </w:p>
    <w:p w14:paraId="21CA93F2">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​（2）按质定价激励，促进品</w:t>
      </w:r>
      <w:bookmarkStart w:id="18" w:name="_GoBack"/>
      <w:bookmarkEnd w:id="18"/>
      <w:r>
        <w:rPr>
          <w:rFonts w:hint="eastAsia" w:ascii="宋体" w:hAnsi="宋体" w:eastAsia="宋体" w:cs="宋体"/>
          <w:b w:val="0"/>
          <w:bCs/>
          <w:color w:val="000000"/>
          <w:sz w:val="24"/>
          <w:szCs w:val="24"/>
        </w:rPr>
        <w:t>质提升</w:t>
      </w:r>
    </w:p>
    <w:p w14:paraId="74BF1631">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通过精准分级实现"优质优价"，可激励果农主动改进种植管理（如优化施肥、控水、修剪等），提升果实品质。据团队在澄迈县金江镇的试点数据显示，参与项目的果农中，有 67% 表示愿意增加有机肥投入、减少化肥使用，从源头提升柑橘品质。</w:t>
      </w:r>
    </w:p>
    <w:p w14:paraId="4F735F72">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6.4.4 绿色转型价值</w:t>
      </w:r>
    </w:p>
    <w:p w14:paraId="1C4E5AC8">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​（1）减少化学废液排放</w:t>
      </w:r>
    </w:p>
    <w:p w14:paraId="2AFF88A7">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如 6.2.5 节所述，本项目采用纯物理光学扫描，全程无需任何化学试剂，从源头切断化学污染物排放。按单家检测机构年检测 10 万样本测算，采用本项目技术可减少化学废液排放 50-80 吨，降低危废处理成本 25 万 -40 万元。</w:t>
      </w:r>
    </w:p>
    <w:p w14:paraId="6AF33B53">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​（2）降低能源消耗</w:t>
      </w:r>
    </w:p>
    <w:p w14:paraId="29EE2FF9">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本项目单次检测耗时 3-5 秒，设备功耗约 10W；传统滴定法单次检测耗时 45 分钟，实验室设备（滴定仪、折光仪、通风橱等）总功耗约 500W。按单家机构年检测 10 万样本测算，采用本项目技术可节约用电约 7.4 万度，减少碳排放约 58 吨（按 0.7856kg CO₂/度电计）。</w:t>
      </w:r>
    </w:p>
    <w:p w14:paraId="705F2DE3">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​（3）契合国家政策导向</w:t>
      </w:r>
    </w:p>
    <w:p w14:paraId="49EF7928">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本项目完全契合《"十四五"工业绿色发展规划》《海南省人民政府办公厅关于加快建立健全绿色低碳循环发展经济体系的实施意见》等政策对无损检测技术的推广要求，采购本设备的企业可申请地方政府"绿色工厂"、"环保技改"专项补贴，进一步降低实际采购成本。</w:t>
      </w:r>
    </w:p>
    <w:p w14:paraId="280F5FE0">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6.4.5 综合效益测算</w:t>
      </w:r>
    </w:p>
    <w:p w14:paraId="29C76FE0">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基于上述分析，对本项目推广应用后的综合效益进行保守测算（按海南全省 80 万亩柑橘种植面积、50% 渗透率计）：</w:t>
      </w:r>
    </w:p>
    <w:tbl>
      <w:tblPr>
        <w:tblStyle w:val="10"/>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45"/>
        <w:gridCol w:w="5963"/>
        <w:gridCol w:w="1485"/>
      </w:tblGrid>
      <w:tr w14:paraId="1E7E00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tcMar>
              <w:top w:w="80" w:type="dxa"/>
              <w:left w:w="160" w:type="dxa"/>
              <w:bottom w:w="80" w:type="dxa"/>
              <w:right w:w="160" w:type="dxa"/>
            </w:tcMar>
            <w:vAlign w:val="center"/>
          </w:tcPr>
          <w:p w14:paraId="701B5294">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效益维度</w:t>
            </w:r>
          </w:p>
        </w:tc>
        <w:tc>
          <w:tcPr>
            <w:tcW w:w="0" w:type="auto"/>
            <w:shd w:val="clear" w:color="auto" w:fill="auto"/>
            <w:tcMar>
              <w:top w:w="80" w:type="dxa"/>
              <w:left w:w="160" w:type="dxa"/>
              <w:bottom w:w="80" w:type="dxa"/>
              <w:right w:w="160" w:type="dxa"/>
            </w:tcMar>
            <w:vAlign w:val="center"/>
          </w:tcPr>
          <w:p w14:paraId="15BC4FC7">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测算依据</w:t>
            </w:r>
          </w:p>
        </w:tc>
        <w:tc>
          <w:tcPr>
            <w:tcW w:w="0" w:type="auto"/>
            <w:shd w:val="clear" w:color="auto" w:fill="auto"/>
            <w:tcMar>
              <w:top w:w="80" w:type="dxa"/>
              <w:left w:w="160" w:type="dxa"/>
              <w:bottom w:w="80" w:type="dxa"/>
              <w:right w:w="160" w:type="dxa"/>
            </w:tcMar>
            <w:vAlign w:val="center"/>
          </w:tcPr>
          <w:p w14:paraId="70A3505F">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年效益</w:t>
            </w:r>
          </w:p>
        </w:tc>
      </w:tr>
      <w:tr w14:paraId="28E620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tcMar>
              <w:top w:w="80" w:type="dxa"/>
              <w:left w:w="160" w:type="dxa"/>
              <w:bottom w:w="80" w:type="dxa"/>
              <w:right w:w="160" w:type="dxa"/>
            </w:tcMar>
            <w:vAlign w:val="center"/>
          </w:tcPr>
          <w:p w14:paraId="38AA0371">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果农增收</w:t>
            </w:r>
          </w:p>
        </w:tc>
        <w:tc>
          <w:tcPr>
            <w:tcW w:w="0" w:type="auto"/>
            <w:shd w:val="clear" w:color="auto" w:fill="auto"/>
            <w:tcMar>
              <w:top w:w="80" w:type="dxa"/>
              <w:left w:w="160" w:type="dxa"/>
              <w:bottom w:w="80" w:type="dxa"/>
              <w:right w:w="160" w:type="dxa"/>
            </w:tcMar>
            <w:vAlign w:val="center"/>
          </w:tcPr>
          <w:p w14:paraId="3AF3943A">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40 万亩×75 吨/亩×1.5 元/斤×50% 优质果率提升</w:t>
            </w:r>
          </w:p>
        </w:tc>
        <w:tc>
          <w:tcPr>
            <w:tcW w:w="0" w:type="auto"/>
            <w:shd w:val="clear" w:color="auto" w:fill="auto"/>
            <w:tcMar>
              <w:top w:w="80" w:type="dxa"/>
              <w:left w:w="160" w:type="dxa"/>
              <w:bottom w:w="80" w:type="dxa"/>
              <w:right w:w="160" w:type="dxa"/>
            </w:tcMar>
            <w:vAlign w:val="center"/>
          </w:tcPr>
          <w:p w14:paraId="65D8B579">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2.25 亿元</w:t>
            </w:r>
          </w:p>
        </w:tc>
      </w:tr>
      <w:tr w14:paraId="495AE3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tcMar>
              <w:top w:w="80" w:type="dxa"/>
              <w:left w:w="160" w:type="dxa"/>
              <w:bottom w:w="80" w:type="dxa"/>
              <w:right w:w="160" w:type="dxa"/>
            </w:tcMar>
            <w:vAlign w:val="center"/>
          </w:tcPr>
          <w:p w14:paraId="20F16381">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品牌保护</w:t>
            </w:r>
          </w:p>
        </w:tc>
        <w:tc>
          <w:tcPr>
            <w:tcW w:w="0" w:type="auto"/>
            <w:shd w:val="clear" w:color="auto" w:fill="auto"/>
            <w:tcMar>
              <w:top w:w="80" w:type="dxa"/>
              <w:left w:w="160" w:type="dxa"/>
              <w:bottom w:w="80" w:type="dxa"/>
              <w:right w:w="160" w:type="dxa"/>
            </w:tcMar>
            <w:vAlign w:val="center"/>
          </w:tcPr>
          <w:p w14:paraId="4299CB7A">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8 亿元品牌侵权损失×80% 降低率×50% 渗透率</w:t>
            </w:r>
          </w:p>
        </w:tc>
        <w:tc>
          <w:tcPr>
            <w:tcW w:w="0" w:type="auto"/>
            <w:shd w:val="clear" w:color="auto" w:fill="auto"/>
            <w:tcMar>
              <w:top w:w="80" w:type="dxa"/>
              <w:left w:w="160" w:type="dxa"/>
              <w:bottom w:w="80" w:type="dxa"/>
              <w:right w:w="160" w:type="dxa"/>
            </w:tcMar>
            <w:vAlign w:val="center"/>
          </w:tcPr>
          <w:p w14:paraId="148D3396">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3.2 亿元</w:t>
            </w:r>
          </w:p>
        </w:tc>
      </w:tr>
      <w:tr w14:paraId="29CAF1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tcMar>
              <w:top w:w="80" w:type="dxa"/>
              <w:left w:w="160" w:type="dxa"/>
              <w:bottom w:w="80" w:type="dxa"/>
              <w:right w:w="160" w:type="dxa"/>
            </w:tcMar>
            <w:vAlign w:val="center"/>
          </w:tcPr>
          <w:p w14:paraId="65B22283">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企业降本</w:t>
            </w:r>
          </w:p>
        </w:tc>
        <w:tc>
          <w:tcPr>
            <w:tcW w:w="0" w:type="auto"/>
            <w:shd w:val="clear" w:color="auto" w:fill="auto"/>
            <w:tcMar>
              <w:top w:w="80" w:type="dxa"/>
              <w:left w:w="160" w:type="dxa"/>
              <w:bottom w:w="80" w:type="dxa"/>
              <w:right w:w="160" w:type="dxa"/>
            </w:tcMar>
            <w:vAlign w:val="center"/>
          </w:tcPr>
          <w:p w14:paraId="42CD4C80">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500 家企业×150 万元/家检测成本节约×50% 渗透率</w:t>
            </w:r>
          </w:p>
        </w:tc>
        <w:tc>
          <w:tcPr>
            <w:tcW w:w="0" w:type="auto"/>
            <w:shd w:val="clear" w:color="auto" w:fill="auto"/>
            <w:tcMar>
              <w:top w:w="80" w:type="dxa"/>
              <w:left w:w="160" w:type="dxa"/>
              <w:bottom w:w="80" w:type="dxa"/>
              <w:right w:w="160" w:type="dxa"/>
            </w:tcMar>
            <w:vAlign w:val="center"/>
          </w:tcPr>
          <w:p w14:paraId="3D9CA534">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3.75 亿元</w:t>
            </w:r>
          </w:p>
        </w:tc>
      </w:tr>
      <w:tr w14:paraId="6F7252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tcMar>
              <w:top w:w="80" w:type="dxa"/>
              <w:left w:w="160" w:type="dxa"/>
              <w:bottom w:w="80" w:type="dxa"/>
              <w:right w:w="160" w:type="dxa"/>
            </w:tcMar>
            <w:vAlign w:val="center"/>
          </w:tcPr>
          <w:p w14:paraId="46D31700">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环境效益</w:t>
            </w:r>
          </w:p>
        </w:tc>
        <w:tc>
          <w:tcPr>
            <w:tcW w:w="0" w:type="auto"/>
            <w:shd w:val="clear" w:color="auto" w:fill="auto"/>
            <w:tcMar>
              <w:top w:w="80" w:type="dxa"/>
              <w:left w:w="160" w:type="dxa"/>
              <w:bottom w:w="80" w:type="dxa"/>
              <w:right w:w="160" w:type="dxa"/>
            </w:tcMar>
            <w:vAlign w:val="center"/>
          </w:tcPr>
          <w:p w14:paraId="43A2C8AF">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减少化学废液 2.5 万吨 + 节电 370 万度 + 减碳 2900 吨</w:t>
            </w:r>
          </w:p>
        </w:tc>
        <w:tc>
          <w:tcPr>
            <w:tcW w:w="0" w:type="auto"/>
            <w:shd w:val="clear" w:color="auto" w:fill="auto"/>
            <w:tcMar>
              <w:top w:w="80" w:type="dxa"/>
              <w:left w:w="160" w:type="dxa"/>
              <w:bottom w:w="80" w:type="dxa"/>
              <w:right w:w="160" w:type="dxa"/>
            </w:tcMar>
            <w:vAlign w:val="center"/>
          </w:tcPr>
          <w:p w14:paraId="48B5C916">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难以货币化</w:t>
            </w:r>
          </w:p>
        </w:tc>
      </w:tr>
      <w:tr w14:paraId="2343D2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tcMar>
              <w:top w:w="80" w:type="dxa"/>
              <w:left w:w="160" w:type="dxa"/>
              <w:bottom w:w="80" w:type="dxa"/>
              <w:right w:w="160" w:type="dxa"/>
            </w:tcMar>
            <w:vAlign w:val="center"/>
          </w:tcPr>
          <w:p w14:paraId="0E081058">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合计</w:t>
            </w:r>
          </w:p>
        </w:tc>
        <w:tc>
          <w:tcPr>
            <w:tcW w:w="0" w:type="auto"/>
            <w:shd w:val="clear" w:color="auto" w:fill="auto"/>
            <w:tcMar>
              <w:top w:w="80" w:type="dxa"/>
              <w:left w:w="160" w:type="dxa"/>
              <w:bottom w:w="80" w:type="dxa"/>
              <w:right w:w="160" w:type="dxa"/>
            </w:tcMar>
            <w:vAlign w:val="center"/>
          </w:tcPr>
          <w:p w14:paraId="3C7E3AFC">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w:t>
            </w:r>
          </w:p>
        </w:tc>
        <w:tc>
          <w:tcPr>
            <w:tcW w:w="0" w:type="auto"/>
            <w:shd w:val="clear" w:color="auto" w:fill="auto"/>
            <w:tcMar>
              <w:top w:w="80" w:type="dxa"/>
              <w:left w:w="160" w:type="dxa"/>
              <w:bottom w:w="80" w:type="dxa"/>
              <w:right w:w="160" w:type="dxa"/>
            </w:tcMar>
            <w:vAlign w:val="center"/>
          </w:tcPr>
          <w:p w14:paraId="5E601030">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9.2 亿元</w:t>
            </w:r>
          </w:p>
        </w:tc>
      </w:tr>
    </w:tbl>
    <w:p w14:paraId="7B1C5136">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数据解读：</w:t>
      </w:r>
    </w:p>
    <w:p w14:paraId="14D8FAD2">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以上测算采用保守假设（50% 渗透率），若渗透率提升至 80%，综合年效益可达 14.7 亿元。</w:t>
      </w:r>
    </w:p>
    <w:p w14:paraId="07864C42">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环境效益（废液减排、节电减碳）难以直接货币化，但符合国家"双碳"战略与绿色发展方向，可为企业带来隐性品牌价值与政策补贴收益。</w:t>
      </w:r>
    </w:p>
    <w:p w14:paraId="5AAD3A6A">
      <w:pPr>
        <w:pStyle w:val="9"/>
        <w:widowControl/>
        <w:spacing w:before="240" w:beforeAutospacing="0" w:after="160" w:afterAutospacing="0" w:line="400" w:lineRule="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按海南柑橘年产值 45 亿元测算，本项目可带动全产业链增效约 20%-33%，产业拉动效应显著。</w:t>
      </w:r>
    </w:p>
    <w:p w14:paraId="4C6EE8EE">
      <w:pPr>
        <w:pStyle w:val="9"/>
        <w:widowControl/>
        <w:spacing w:before="240" w:beforeAutospacing="0" w:after="160" w:afterAutospacing="0" w:line="400" w:lineRule="auto"/>
        <w:rPr>
          <w:rFonts w:hint="eastAsia" w:ascii="宋体" w:hAnsi="宋体" w:eastAsia="宋体" w:cs="宋体"/>
          <w:b w:val="0"/>
          <w:bCs/>
          <w:color w:val="000000"/>
          <w:sz w:val="24"/>
          <w:szCs w:val="24"/>
        </w:rPr>
      </w:pPr>
    </w:p>
    <w:p w14:paraId="1380902D">
      <w:pPr>
        <w:pStyle w:val="9"/>
        <w:widowControl/>
        <w:spacing w:before="240" w:beforeAutospacing="0" w:after="160" w:afterAutospacing="0" w:line="400" w:lineRule="auto"/>
        <w:rPr>
          <w:rFonts w:hint="eastAsia" w:ascii="宋体" w:hAnsi="宋体" w:eastAsia="宋体" w:cs="宋体"/>
          <w:b w:val="0"/>
          <w:bCs/>
          <w:color w:val="000000"/>
          <w:sz w:val="24"/>
          <w:szCs w:val="24"/>
        </w:rPr>
      </w:pPr>
    </w:p>
    <w:p w14:paraId="55EEEDE6">
      <w:pPr>
        <w:pStyle w:val="9"/>
        <w:widowControl/>
        <w:spacing w:before="240" w:beforeAutospacing="0" w:after="160" w:afterAutospacing="0" w:line="400" w:lineRule="auto"/>
        <w:rPr>
          <w:rFonts w:hint="eastAsia" w:ascii="宋体" w:hAnsi="宋体" w:eastAsia="宋体" w:cs="宋体"/>
          <w:b/>
          <w:color w:val="000000"/>
          <w:sz w:val="24"/>
          <w:szCs w:val="24"/>
        </w:rPr>
      </w:pPr>
    </w:p>
    <w:p w14:paraId="0B3E44E2">
      <w:pPr>
        <w:pStyle w:val="9"/>
        <w:widowControl/>
        <w:spacing w:before="240" w:beforeAutospacing="0" w:after="160" w:afterAutospacing="0" w:line="400" w:lineRule="auto"/>
        <w:rPr>
          <w:rFonts w:hint="eastAsia" w:ascii="宋体" w:hAnsi="宋体" w:eastAsia="宋体" w:cs="宋体"/>
          <w:b/>
          <w:color w:val="000000"/>
          <w:sz w:val="24"/>
          <w:szCs w:val="24"/>
        </w:rPr>
      </w:pPr>
    </w:p>
    <w:p w14:paraId="2FF804AE">
      <w:pPr>
        <w:pStyle w:val="9"/>
        <w:widowControl/>
        <w:spacing w:before="240" w:beforeAutospacing="0" w:after="160" w:afterAutospacing="0" w:line="400" w:lineRule="auto"/>
        <w:rPr>
          <w:rFonts w:hint="eastAsia" w:ascii="宋体" w:hAnsi="宋体" w:eastAsia="宋体" w:cs="宋体"/>
          <w:b/>
          <w:color w:val="000000"/>
          <w:sz w:val="24"/>
          <w:szCs w:val="24"/>
        </w:rPr>
      </w:pPr>
    </w:p>
    <w:p w14:paraId="2B7FD947">
      <w:pPr>
        <w:pStyle w:val="9"/>
        <w:widowControl/>
        <w:spacing w:before="240" w:beforeAutospacing="0" w:after="160" w:afterAutospacing="0" w:line="400" w:lineRule="auto"/>
        <w:rPr>
          <w:rFonts w:hint="eastAsia" w:ascii="宋体" w:hAnsi="宋体" w:eastAsia="宋体" w:cs="宋体"/>
          <w:b/>
          <w:color w:val="000000"/>
          <w:sz w:val="24"/>
          <w:szCs w:val="24"/>
        </w:rPr>
      </w:pPr>
    </w:p>
    <w:p w14:paraId="13FB7758">
      <w:pPr>
        <w:pStyle w:val="9"/>
        <w:widowControl/>
        <w:spacing w:before="240" w:beforeAutospacing="0" w:after="160" w:afterAutospacing="0" w:line="400" w:lineRule="auto"/>
        <w:rPr>
          <w:rFonts w:hint="eastAsia" w:ascii="宋体" w:hAnsi="宋体" w:eastAsia="宋体" w:cs="宋体"/>
          <w:b/>
          <w:color w:val="000000"/>
          <w:sz w:val="24"/>
          <w:szCs w:val="24"/>
        </w:rPr>
      </w:pPr>
      <w:r>
        <w:rPr>
          <w:rFonts w:hint="eastAsia" w:ascii="宋体" w:hAnsi="宋体" w:eastAsia="宋体" w:cs="宋体"/>
          <w:b/>
          <w:color w:val="000000"/>
          <w:sz w:val="24"/>
          <w:szCs w:val="24"/>
        </w:rPr>
        <w:t>第七章：团队介绍</w:t>
      </w:r>
    </w:p>
    <w:p w14:paraId="68AC4110">
      <w:pPr>
        <w:rPr>
          <w:rFonts w:hint="eastAsia" w:ascii="宋体" w:hAnsi="宋体" w:eastAsia="宋体" w:cs="宋体"/>
          <w:sz w:val="24"/>
          <w:szCs w:val="24"/>
        </w:rPr>
      </w:pPr>
      <w:bookmarkStart w:id="0" w:name="_Toc13484"/>
      <w:r>
        <w:rPr>
          <w:rFonts w:hint="eastAsia" w:ascii="宋体" w:hAnsi="宋体" w:eastAsia="宋体" w:cs="宋体"/>
          <w:sz w:val="24"/>
          <w:szCs w:val="24"/>
        </w:rPr>
        <w:t>橙源智鉴团队的竞争力，不在于单个人有多少奖项，而在于这支队伍已经能够完成从样本组织、模型训练到双端交付和报告输出的整条链路。团队成员覆盖人工智能、软件工程、计算机科学与技术、市场运营和财务管理等方向，既能完成技术研发，也能承接试点推进、材料制作和竞赛表达，这使项目具备较强的执行完整度。</w:t>
      </w:r>
    </w:p>
    <w:p w14:paraId="3348E9FD">
      <w:pPr>
        <w:rPr>
          <w:rFonts w:hint="eastAsia" w:ascii="宋体" w:hAnsi="宋体" w:eastAsia="宋体" w:cs="宋体"/>
          <w:sz w:val="24"/>
          <w:szCs w:val="24"/>
        </w:rPr>
      </w:pPr>
      <w:r>
        <w:rPr>
          <w:rFonts w:hint="eastAsia" w:ascii="宋体" w:hAnsi="宋体" w:eastAsia="宋体" w:cs="宋体"/>
          <w:sz w:val="24"/>
          <w:szCs w:val="24"/>
        </w:rPr>
        <w:t>团队依托海南师范大学信息科学技术学院重点实验室、科技园孵化器及产学研合作平台等优质资源，构建起“样本采集标注—模型训练优化—平台部署应用—试点反馈迭代”的完整能力体系。核心成员分工明确、协作高效，能够把高光谱样本、分析模型、平台系统与场景试点连续打通；同时，团队聘请校内外专家担任技术顾问与商业顾问，持续引入学术与产业资源，为项目后续扩样、试点和落地提供专业支撑。</w:t>
      </w:r>
    </w:p>
    <w:p w14:paraId="0F456D53">
      <w:pPr>
        <w:pStyle w:val="3"/>
        <w:rPr>
          <w:rFonts w:hint="eastAsia" w:ascii="宋体" w:hAnsi="宋体" w:eastAsia="宋体" w:cs="宋体"/>
          <w:sz w:val="24"/>
          <w:szCs w:val="24"/>
        </w:rPr>
      </w:pPr>
      <w:bookmarkStart w:id="1" w:name="_Toc5542"/>
      <w:bookmarkStart w:id="2" w:name="_Toc226486243"/>
      <w:r>
        <w:rPr>
          <w:rFonts w:hint="eastAsia" w:ascii="宋体" w:hAnsi="宋体" w:eastAsia="宋体" w:cs="宋体"/>
          <w:sz w:val="24"/>
          <w:szCs w:val="24"/>
          <w:lang w:val="en-US" w:eastAsia="zh-CN"/>
        </w:rPr>
        <w:t>7</w:t>
      </w:r>
      <w:r>
        <w:rPr>
          <w:rFonts w:hint="eastAsia" w:ascii="宋体" w:hAnsi="宋体" w:eastAsia="宋体" w:cs="宋体"/>
          <w:sz w:val="24"/>
          <w:szCs w:val="24"/>
        </w:rPr>
        <w:t>.1 团队组织架构</w:t>
      </w:r>
      <w:bookmarkEnd w:id="0"/>
      <w:bookmarkEnd w:id="1"/>
      <w:bookmarkEnd w:id="2"/>
    </w:p>
    <w:p w14:paraId="757FB788">
      <w:pPr>
        <w:wordWrap w:val="0"/>
        <w:spacing w:line="279" w:lineRule="auto"/>
        <w:ind w:firstLine="480" w:firstLineChars="200"/>
        <w:rPr>
          <w:rFonts w:hint="eastAsia" w:ascii="宋体" w:hAnsi="宋体" w:eastAsia="宋体" w:cs="宋体"/>
          <w:sz w:val="24"/>
          <w:szCs w:val="24"/>
          <w:lang w:bidi="ar"/>
        </w:rPr>
      </w:pPr>
      <w:r>
        <w:rPr>
          <w:rFonts w:hint="eastAsia" w:ascii="宋体" w:hAnsi="宋体" w:eastAsia="宋体" w:cs="宋体"/>
          <w:sz w:val="24"/>
          <w:szCs w:val="24"/>
          <w:lang w:bidi="ar"/>
        </w:rPr>
        <w:drawing>
          <wp:inline distT="0" distB="0" distL="114300" distR="114300">
            <wp:extent cx="5270500" cy="1619250"/>
            <wp:effectExtent l="0" t="0" r="0" b="0"/>
            <wp:docPr id="156"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56"/>
                    <pic:cNvPicPr>
                      <a:picLocks noChangeAspect="1"/>
                    </pic:cNvPicPr>
                  </pic:nvPicPr>
                  <pic:blipFill>
                    <a:blip r:embed="rId4"/>
                    <a:stretch>
                      <a:fillRect/>
                    </a:stretch>
                  </pic:blipFill>
                  <pic:spPr>
                    <a:xfrm>
                      <a:off x="0" y="0"/>
                      <a:ext cx="5270500" cy="1619250"/>
                    </a:xfrm>
                    <a:prstGeom prst="rect">
                      <a:avLst/>
                    </a:prstGeom>
                  </pic:spPr>
                </pic:pic>
              </a:graphicData>
            </a:graphic>
          </wp:inline>
        </w:drawing>
      </w:r>
    </w:p>
    <w:p w14:paraId="3FB0C6F4">
      <w:pPr>
        <w:ind w:firstLine="0"/>
        <w:jc w:val="center"/>
        <w:rPr>
          <w:rFonts w:hint="eastAsia" w:ascii="宋体" w:hAnsi="宋体" w:eastAsia="宋体" w:cs="宋体"/>
          <w:sz w:val="24"/>
          <w:szCs w:val="24"/>
          <w:lang w:bidi="ar"/>
        </w:rPr>
      </w:pPr>
      <w:r>
        <w:rPr>
          <w:rFonts w:hint="eastAsia" w:ascii="宋体" w:hAnsi="宋体" w:eastAsia="宋体" w:cs="宋体"/>
          <w:sz w:val="24"/>
          <w:szCs w:val="24"/>
          <w:lang w:bidi="ar"/>
        </w:rPr>
        <w:t>图8-1 组织架构</w:t>
      </w:r>
    </w:p>
    <w:p w14:paraId="7BCD63DE">
      <w:pPr>
        <w:pStyle w:val="4"/>
        <w:rPr>
          <w:rFonts w:hint="eastAsia" w:ascii="宋体" w:hAnsi="宋体" w:eastAsia="宋体" w:cs="宋体"/>
          <w:sz w:val="24"/>
          <w:szCs w:val="24"/>
        </w:rPr>
      </w:pPr>
      <w:bookmarkStart w:id="3" w:name="_Toc588"/>
      <w:r>
        <w:rPr>
          <w:rFonts w:hint="eastAsia" w:ascii="宋体" w:hAnsi="宋体" w:eastAsia="宋体" w:cs="宋体"/>
          <w:sz w:val="24"/>
          <w:szCs w:val="24"/>
          <w:lang w:val="en-US" w:eastAsia="zh-CN"/>
        </w:rPr>
        <w:t>7</w:t>
      </w:r>
      <w:r>
        <w:rPr>
          <w:rFonts w:hint="eastAsia" w:ascii="宋体" w:hAnsi="宋体" w:eastAsia="宋体" w:cs="宋体"/>
          <w:sz w:val="24"/>
          <w:szCs w:val="24"/>
        </w:rPr>
        <w:t>.1.1 技术部</w:t>
      </w:r>
      <w:bookmarkEnd w:id="3"/>
    </w:p>
    <w:p w14:paraId="117D24B3">
      <w:pPr>
        <w:rPr>
          <w:rFonts w:hint="eastAsia" w:ascii="宋体" w:hAnsi="宋体" w:eastAsia="宋体" w:cs="宋体"/>
          <w:sz w:val="24"/>
          <w:szCs w:val="24"/>
        </w:rPr>
      </w:pPr>
      <w:r>
        <w:rPr>
          <w:rFonts w:hint="eastAsia" w:ascii="宋体" w:hAnsi="宋体" w:eastAsia="宋体" w:cs="宋体"/>
          <w:sz w:val="24"/>
          <w:szCs w:val="24"/>
        </w:rPr>
        <w:t>技术部是项目核心研发与技术落地的主体部门，承担从算法研发到平台集成再到技术支持的全链条职责。具体而言，技术部负责高光谱数据处理算法的设计与持续迭代优化，完成橙类等级识别、产地溯源与品质分析模型的构建、训练与性能调优；负责上传分析平台、移动查询端和报告输出链路的集成设计、多终端适配及运行稳定性保障；同时为内部运营团队和外部试点对象提供技术支持、操作培训与定制化方案开发，确保技术成果能够稳定进入果园、合作社、分选中心和品牌方等真实场景。</w:t>
      </w:r>
    </w:p>
    <w:p w14:paraId="08F5B3FB">
      <w:pPr>
        <w:rPr>
          <w:rFonts w:hint="eastAsia" w:ascii="宋体" w:hAnsi="宋体" w:eastAsia="宋体" w:cs="宋体"/>
          <w:sz w:val="24"/>
          <w:szCs w:val="24"/>
        </w:rPr>
      </w:pPr>
      <w:r>
        <w:rPr>
          <w:rFonts w:hint="eastAsia" w:ascii="宋体" w:hAnsi="宋体" w:eastAsia="宋体" w:cs="宋体"/>
          <w:sz w:val="24"/>
          <w:szCs w:val="24"/>
        </w:rPr>
        <w:t>技术部成员均具备扎实的算法基础与工程实践能力，涵盖Python、C++、Java、Vue等多语言开发能力，熟悉前后端全栈开发、AI模型部署及高光谱数据处理等核心技术栈，是项目技术竞争力的核心支撑。</w:t>
      </w:r>
    </w:p>
    <w:p w14:paraId="55066C90">
      <w:pPr>
        <w:pStyle w:val="4"/>
        <w:rPr>
          <w:rFonts w:hint="eastAsia" w:ascii="宋体" w:hAnsi="宋体" w:eastAsia="宋体" w:cs="宋体"/>
          <w:sz w:val="24"/>
          <w:szCs w:val="24"/>
        </w:rPr>
      </w:pPr>
      <w:bookmarkStart w:id="4" w:name="_Toc26877"/>
      <w:r>
        <w:rPr>
          <w:rFonts w:hint="eastAsia" w:ascii="宋体" w:hAnsi="宋体" w:eastAsia="宋体" w:cs="宋体"/>
          <w:sz w:val="24"/>
          <w:szCs w:val="24"/>
          <w:lang w:val="en-US" w:eastAsia="zh-CN"/>
        </w:rPr>
        <w:t>7</w:t>
      </w:r>
      <w:r>
        <w:rPr>
          <w:rFonts w:hint="eastAsia" w:ascii="宋体" w:hAnsi="宋体" w:eastAsia="宋体" w:cs="宋体"/>
          <w:sz w:val="24"/>
          <w:szCs w:val="24"/>
        </w:rPr>
        <w:t>.1.2 市场营销部</w:t>
      </w:r>
      <w:bookmarkEnd w:id="4"/>
    </w:p>
    <w:p w14:paraId="727FBBFB">
      <w:pPr>
        <w:rPr>
          <w:rFonts w:hint="eastAsia" w:ascii="宋体" w:hAnsi="宋体" w:eastAsia="宋体" w:cs="宋体"/>
          <w:sz w:val="24"/>
          <w:szCs w:val="24"/>
        </w:rPr>
      </w:pPr>
      <w:r>
        <w:rPr>
          <w:rFonts w:hint="eastAsia" w:ascii="宋体" w:hAnsi="宋体" w:eastAsia="宋体" w:cs="宋体"/>
          <w:sz w:val="24"/>
          <w:szCs w:val="24"/>
        </w:rPr>
        <w:t>市场营销部负责项目的市场布局、品牌推广与客户生态建设，是连接产品能力与目标场景的关键纽带。核心职责包括：围绕橙类产品分级、验货、溯源和品牌表达开展行业调研、竞品分析与目标客户画像梳理，为产品定位与商业策略提供依据；制定品牌传播方案、试点拓展路径与服务定价策略，组织产区走访、客户对接、路演展示和合作洽谈等行动；维护果园、合作社、品牌方、渠道采购方与区域服务机构等客户关系，逐步搭建“平台系统+分析服务+报告交付”的商业转化链路。</w:t>
      </w:r>
    </w:p>
    <w:p w14:paraId="295B8D10">
      <w:pPr>
        <w:pStyle w:val="4"/>
        <w:rPr>
          <w:rFonts w:hint="eastAsia" w:ascii="宋体" w:hAnsi="宋体" w:eastAsia="宋体" w:cs="宋体"/>
          <w:sz w:val="24"/>
          <w:szCs w:val="24"/>
        </w:rPr>
      </w:pPr>
      <w:bookmarkStart w:id="5" w:name="_Toc29873"/>
      <w:r>
        <w:rPr>
          <w:rFonts w:hint="eastAsia" w:ascii="宋体" w:hAnsi="宋体" w:eastAsia="宋体" w:cs="宋体"/>
          <w:sz w:val="24"/>
          <w:szCs w:val="24"/>
          <w:lang w:val="en-US" w:eastAsia="zh-CN"/>
        </w:rPr>
        <w:t>7</w:t>
      </w:r>
      <w:r>
        <w:rPr>
          <w:rFonts w:hint="eastAsia" w:ascii="宋体" w:hAnsi="宋体" w:eastAsia="宋体" w:cs="宋体"/>
          <w:sz w:val="24"/>
          <w:szCs w:val="24"/>
        </w:rPr>
        <w:t>.1.3 财务部</w:t>
      </w:r>
      <w:bookmarkEnd w:id="5"/>
    </w:p>
    <w:p w14:paraId="383F6279">
      <w:pPr>
        <w:rPr>
          <w:rFonts w:hint="eastAsia" w:ascii="宋体" w:hAnsi="宋体" w:eastAsia="宋体" w:cs="宋体"/>
          <w:sz w:val="24"/>
          <w:szCs w:val="24"/>
        </w:rPr>
      </w:pPr>
      <w:r>
        <w:rPr>
          <w:rFonts w:hint="eastAsia" w:ascii="宋体" w:hAnsi="宋体" w:eastAsia="宋体" w:cs="宋体"/>
          <w:sz w:val="24"/>
          <w:szCs w:val="24"/>
        </w:rPr>
        <w:t>财务部统筹项目全生命周期的财务规划与资金管理，是项目稳健运营的重要保障。核心职责涵盖：编制样本采集、理化标定、模型训练、平台运维、试点实施等阶段的预算方案与成本控制计划，确保资金使用的合理性与效益最大化；负责日常资金收付、账务核算与财务报表编制；积极对接创新创业基金、孵化资金、科创赛事奖金等多元渠道，做好资金分配规划与使用监控；同时为项目的试点报价、年度服务定价和扩张节奏提供财务支撑，保障项目在资金层面的可持续发展能力。</w:t>
      </w:r>
    </w:p>
    <w:p w14:paraId="72B1969E">
      <w:pPr>
        <w:pStyle w:val="4"/>
        <w:rPr>
          <w:rFonts w:hint="eastAsia" w:ascii="宋体" w:hAnsi="宋体" w:eastAsia="宋体" w:cs="宋体"/>
          <w:sz w:val="24"/>
          <w:szCs w:val="24"/>
        </w:rPr>
      </w:pPr>
      <w:bookmarkStart w:id="6" w:name="_Toc31594"/>
      <w:r>
        <w:rPr>
          <w:rFonts w:hint="eastAsia" w:ascii="宋体" w:hAnsi="宋体" w:eastAsia="宋体" w:cs="宋体"/>
          <w:sz w:val="24"/>
          <w:szCs w:val="24"/>
          <w:lang w:val="en-US" w:eastAsia="zh-CN"/>
        </w:rPr>
        <w:t>7</w:t>
      </w:r>
      <w:r>
        <w:rPr>
          <w:rFonts w:hint="eastAsia" w:ascii="宋体" w:hAnsi="宋体" w:eastAsia="宋体" w:cs="宋体"/>
          <w:sz w:val="24"/>
          <w:szCs w:val="24"/>
        </w:rPr>
        <w:t>.1.4 行政部</w:t>
      </w:r>
      <w:bookmarkEnd w:id="6"/>
    </w:p>
    <w:p w14:paraId="21EC235C">
      <w:pPr>
        <w:rPr>
          <w:rFonts w:hint="eastAsia" w:ascii="宋体" w:hAnsi="宋体" w:eastAsia="宋体" w:cs="宋体"/>
          <w:sz w:val="24"/>
          <w:szCs w:val="24"/>
        </w:rPr>
      </w:pPr>
      <w:r>
        <w:rPr>
          <w:rFonts w:hint="eastAsia" w:ascii="宋体" w:hAnsi="宋体" w:eastAsia="宋体" w:cs="宋体"/>
          <w:sz w:val="24"/>
          <w:szCs w:val="24"/>
        </w:rPr>
        <w:t>行政部作为团队运营的综合保障部门，承担内外部资源协调、流程管控与团队运营管理等职责。核心工作包括：制定并执行团队日常运营管理制度，统筹设备物资、资料归档、资质申报和试点文书等行政事务；负责团队人员协作沟通、项目进度跟踪管理与过程材料整理，推进各环节文档编制、归档与质量把控；协调高校实验室、产区资源、合作单位等外部资源，确保团队研发、试点、商务和竞赛申报工作的顺利开展。</w:t>
      </w:r>
    </w:p>
    <w:p w14:paraId="7B1552EA">
      <w:pPr>
        <w:pStyle w:val="3"/>
        <w:rPr>
          <w:rFonts w:hint="eastAsia" w:ascii="宋体" w:hAnsi="宋体" w:eastAsia="宋体" w:cs="宋体"/>
          <w:sz w:val="24"/>
          <w:szCs w:val="24"/>
        </w:rPr>
      </w:pPr>
      <w:bookmarkStart w:id="7" w:name="_Toc30040"/>
      <w:bookmarkStart w:id="8" w:name="_Toc226486244"/>
      <w:r>
        <w:rPr>
          <w:rFonts w:hint="eastAsia" w:ascii="宋体" w:hAnsi="宋体" w:eastAsia="宋体" w:cs="宋体"/>
          <w:sz w:val="24"/>
          <w:szCs w:val="24"/>
          <w:lang w:val="en-US" w:eastAsia="zh-CN"/>
        </w:rPr>
        <w:t>7</w:t>
      </w:r>
      <w:r>
        <w:rPr>
          <w:rFonts w:hint="eastAsia" w:ascii="宋体" w:hAnsi="宋体" w:eastAsia="宋体" w:cs="宋体"/>
          <w:sz w:val="24"/>
          <w:szCs w:val="24"/>
        </w:rPr>
        <w:t>.2 专家顾问团队</w:t>
      </w:r>
      <w:bookmarkEnd w:id="7"/>
      <w:bookmarkEnd w:id="8"/>
    </w:p>
    <w:p w14:paraId="7C1ADAAF">
      <w:pPr>
        <w:rPr>
          <w:rFonts w:hint="eastAsia" w:ascii="宋体" w:hAnsi="宋体" w:eastAsia="宋体" w:cs="宋体"/>
          <w:sz w:val="24"/>
          <w:szCs w:val="24"/>
        </w:rPr>
      </w:pPr>
      <w:r>
        <w:rPr>
          <w:rFonts w:hint="eastAsia" w:ascii="宋体" w:hAnsi="宋体" w:eastAsia="宋体" w:cs="宋体"/>
          <w:sz w:val="24"/>
          <w:szCs w:val="24"/>
        </w:rPr>
        <w:t>团队依托海南师范大学信息科学技术学院与经济与管理学院的优质师资资源，聘请三位在人工智能、计算机科学及经济管理领域深耕多年的资深专家担任项目高级顾问，覆盖高光谱数据建模、深度学习优化、商业落地与战略规划等核心维度，为橙类产品等级识别、产地溯源、平台落地和区域合作提供持续的学术支撑与行业指导。</w:t>
      </w:r>
    </w:p>
    <w:tbl>
      <w:tblPr>
        <w:tblStyle w:val="11"/>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805"/>
        <w:gridCol w:w="5717"/>
      </w:tblGrid>
      <w:tr w14:paraId="09C0ECB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12" w:space="0"/>
              <w:left w:val="single" w:color="auto" w:sz="12" w:space="0"/>
              <w:bottom w:val="nil"/>
              <w:right w:val="nil"/>
            </w:tcBorders>
            <w:tcMar>
              <w:top w:w="-1" w:type="dxa"/>
              <w:left w:w="-1" w:type="dxa"/>
              <w:bottom w:w="-1" w:type="dxa"/>
              <w:right w:w="-1" w:type="dxa"/>
            </w:tcMar>
          </w:tcPr>
          <w:p w14:paraId="2D445932">
            <w:pPr>
              <w:wordWrap w:val="0"/>
              <w:snapToGrid w:val="0"/>
              <w:spacing w:line="279" w:lineRule="auto"/>
              <w:rPr>
                <w:rFonts w:hint="eastAsia" w:ascii="宋体" w:hAnsi="宋体" w:eastAsia="宋体" w:cs="宋体"/>
                <w:sz w:val="24"/>
                <w:szCs w:val="24"/>
              </w:rPr>
            </w:pPr>
          </w:p>
          <w:p w14:paraId="321EA31D">
            <w:pPr>
              <w:wordWrap w:val="0"/>
              <w:snapToGrid w:val="0"/>
              <w:spacing w:line="279" w:lineRule="auto"/>
              <w:rPr>
                <w:rFonts w:hint="eastAsia" w:ascii="宋体" w:hAnsi="宋体" w:eastAsia="宋体" w:cs="宋体"/>
                <w:sz w:val="24"/>
                <w:szCs w:val="24"/>
              </w:rPr>
            </w:pPr>
          </w:p>
          <w:p w14:paraId="5C64621B">
            <w:pPr>
              <w:wordWrap w:val="0"/>
              <w:snapToGrid w:val="0"/>
              <w:spacing w:line="279" w:lineRule="auto"/>
              <w:rPr>
                <w:rFonts w:hint="eastAsia" w:ascii="宋体" w:hAnsi="宋体" w:eastAsia="宋体" w:cs="宋体"/>
                <w:sz w:val="24"/>
                <w:szCs w:val="24"/>
              </w:rPr>
            </w:pPr>
          </w:p>
          <w:p w14:paraId="12148618">
            <w:pPr>
              <w:wordWrap w:val="0"/>
              <w:snapToGrid w:val="0"/>
              <w:spacing w:line="279" w:lineRule="auto"/>
              <w:rPr>
                <w:rFonts w:hint="eastAsia" w:ascii="宋体" w:hAnsi="宋体" w:eastAsia="宋体" w:cs="宋体"/>
                <w:sz w:val="24"/>
                <w:szCs w:val="24"/>
              </w:rPr>
            </w:pPr>
          </w:p>
          <w:p w14:paraId="386909DB">
            <w:pPr>
              <w:wordWrap w:val="0"/>
              <w:snapToGrid w:val="0"/>
              <w:spacing w:line="279" w:lineRule="auto"/>
              <w:rPr>
                <w:rFonts w:hint="eastAsia" w:ascii="Cambria Math" w:hAnsi="Cambria Math" w:eastAsia="宋体" w:cs="宋体"/>
                <w:kern w:val="44"/>
                <w:sz w:val="24"/>
                <w:szCs w:val="24"/>
                <w:oMath/>
              </w:rPr>
            </w:pPr>
            <w:r>
              <w:rPr>
                <w:rFonts w:hint="eastAsia" w:ascii="宋体" w:hAnsi="宋体" w:eastAsia="宋体" w:cs="宋体"/>
                <w:sz w:val="24"/>
                <w:szCs w:val="24"/>
              </w:rPr>
              <w:t xml:space="preserve">  </w:t>
            </w:r>
            <w:r>
              <w:rPr>
                <w:rFonts w:hint="eastAsia" w:ascii="宋体" w:hAnsi="宋体" w:eastAsia="宋体" w:cs="宋体"/>
                <w:sz w:val="24"/>
                <w:szCs w:val="24"/>
              </w:rPr>
              <w:drawing>
                <wp:inline distT="0" distB="0" distL="114300" distR="114300">
                  <wp:extent cx="1539240" cy="1972310"/>
                  <wp:effectExtent l="0" t="0" r="10160" b="8890"/>
                  <wp:docPr id="104"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29"/>
                          <pic:cNvPicPr>
                            <a:picLocks noChangeAspect="1"/>
                          </pic:cNvPicPr>
                        </pic:nvPicPr>
                        <pic:blipFill>
                          <a:blip r:embed="rId5"/>
                          <a:srcRect r="314" b="4257"/>
                          <a:stretch>
                            <a:fillRect/>
                          </a:stretch>
                        </pic:blipFill>
                        <pic:spPr>
                          <a:xfrm>
                            <a:off x="0" y="0"/>
                            <a:ext cx="1539240" cy="1972310"/>
                          </a:xfrm>
                          <a:prstGeom prst="rect">
                            <a:avLst/>
                          </a:prstGeom>
                          <a:noFill/>
                          <a:ln>
                            <a:noFill/>
                          </a:ln>
                        </pic:spPr>
                      </pic:pic>
                    </a:graphicData>
                  </a:graphic>
                </wp:inline>
              </w:drawing>
            </w:r>
          </w:p>
        </w:tc>
        <w:tc>
          <w:tcPr>
            <w:tcW w:w="5717" w:type="dxa"/>
            <w:tcBorders>
              <w:top w:val="single" w:color="auto" w:sz="12" w:space="0"/>
              <w:left w:val="single" w:color="auto" w:sz="4" w:space="0"/>
              <w:bottom w:val="nil"/>
              <w:right w:val="single" w:color="auto" w:sz="12" w:space="0"/>
            </w:tcBorders>
            <w:tcMar>
              <w:top w:w="-1" w:type="dxa"/>
              <w:left w:w="-1" w:type="dxa"/>
              <w:bottom w:w="-1" w:type="dxa"/>
              <w:right w:w="-1" w:type="dxa"/>
            </w:tcMar>
          </w:tcPr>
          <w:p w14:paraId="30ABE6CF">
            <w:pPr>
              <w:rPr>
                <w:rFonts w:hint="eastAsia" w:ascii="宋体" w:hAnsi="宋体" w:eastAsia="宋体" w:cs="宋体"/>
                <w:sz w:val="24"/>
                <w:szCs w:val="24"/>
              </w:rPr>
            </w:pPr>
            <w:r>
              <w:rPr>
                <w:rFonts w:hint="eastAsia" w:ascii="宋体" w:hAnsi="宋体" w:eastAsia="宋体" w:cs="宋体"/>
                <w:sz w:val="24"/>
                <w:szCs w:val="24"/>
              </w:rPr>
              <w:t>刘波 副教授 / 人工智能系主任</w:t>
            </w:r>
          </w:p>
          <w:p w14:paraId="4DC25B48">
            <w:pPr>
              <w:rPr>
                <w:rFonts w:hint="eastAsia" w:ascii="宋体" w:hAnsi="宋体" w:eastAsia="宋体" w:cs="宋体"/>
                <w:sz w:val="24"/>
                <w:szCs w:val="24"/>
              </w:rPr>
            </w:pPr>
            <w:r>
              <w:rPr>
                <w:rFonts w:hint="eastAsia" w:ascii="宋体" w:hAnsi="宋体" w:eastAsia="宋体" w:cs="宋体"/>
                <w:sz w:val="24"/>
                <w:szCs w:val="24"/>
              </w:rPr>
              <w:t xml:space="preserve">刘波老师现任海南师范大学信息科学技术学院副教授、人工智能系主任，毕业于电子科技大学，获物理学博士学位。其学术研究深耕复杂网络信息挖掘、高阶网络、复杂性科学与人工智能理论等前沿领域，以第一作者或通讯作者身份在 </w:t>
            </w:r>
            <w:r>
              <w:rPr>
                <w:rStyle w:val="14"/>
                <w:rFonts w:hint="eastAsia" w:ascii="宋体" w:hAnsi="宋体" w:eastAsia="宋体" w:cs="宋体"/>
                <w:color w:val="000000"/>
                <w:sz w:val="24"/>
                <w:szCs w:val="24"/>
              </w:rPr>
              <w:t>Expert Systems with Applications</w:t>
            </w:r>
            <w:r>
              <w:rPr>
                <w:rFonts w:hint="eastAsia" w:ascii="宋体" w:hAnsi="宋体" w:eastAsia="宋体" w:cs="宋体"/>
                <w:sz w:val="24"/>
                <w:szCs w:val="24"/>
              </w:rPr>
              <w:t>、</w:t>
            </w:r>
            <w:r>
              <w:rPr>
                <w:rStyle w:val="14"/>
                <w:rFonts w:hint="eastAsia" w:ascii="宋体" w:hAnsi="宋体" w:eastAsia="宋体" w:cs="宋体"/>
                <w:color w:val="000000"/>
                <w:sz w:val="24"/>
                <w:szCs w:val="24"/>
              </w:rPr>
              <w:t>Chaos</w:t>
            </w:r>
            <w:r>
              <w:rPr>
                <w:rFonts w:hint="eastAsia" w:ascii="宋体" w:hAnsi="宋体" w:eastAsia="宋体" w:cs="宋体"/>
                <w:sz w:val="24"/>
                <w:szCs w:val="24"/>
              </w:rPr>
              <w:t>、《物理学报》等国内外权威SCI期刊发表学术论文7篇，申请国家发明专利8项。主持或参与海南省教育厅高校科研项目、科技部脑科学重大项目等多项省部级及以上课题，现担任中国自动化学会计算社会与社会智能专委会委员，并受聘为多家SCI期刊独立审稿人。</w:t>
            </w:r>
          </w:p>
          <w:p w14:paraId="3434A8F5">
            <w:pPr>
              <w:rPr>
                <w:rFonts w:hint="eastAsia" w:ascii="宋体" w:hAnsi="宋体" w:eastAsia="宋体" w:cs="宋体"/>
                <w:sz w:val="24"/>
                <w:szCs w:val="24"/>
              </w:rPr>
            </w:pPr>
            <w:r>
              <w:rPr>
                <w:rStyle w:val="13"/>
                <w:rFonts w:hint="eastAsia" w:ascii="宋体" w:hAnsi="宋体" w:eastAsia="宋体" w:cs="宋体"/>
                <w:color w:val="000000"/>
                <w:sz w:val="24"/>
                <w:szCs w:val="24"/>
              </w:rPr>
              <w:t>顾问职责：刘波老师将充分发挥其在复杂数据建模与AI算法领域的深厚积累，为本项目高光谱数据建模、产地溯源识别和等级划分算法优化提供全程学术指导，重点协助团队攻克跨批次样本干扰处理、关键波段筛选和模型稳健性提升等核心技术难题。同时，他将协助对接海南师范大学重点实验室资源，为项目技术研发提供实验设备保障与学术支撑，推动项目技术成果持续深化与迭代升级。</w:t>
            </w:r>
          </w:p>
          <w:p w14:paraId="634283A3">
            <w:pPr>
              <w:wordWrap w:val="0"/>
              <w:snapToGrid w:val="0"/>
              <w:spacing w:line="279" w:lineRule="auto"/>
              <w:rPr>
                <w:rFonts w:hint="eastAsia" w:ascii="Cambria Math" w:hAnsi="Cambria Math" w:eastAsia="宋体" w:cs="宋体"/>
                <w:kern w:val="44"/>
                <w:sz w:val="24"/>
                <w:szCs w:val="24"/>
                <w:oMath/>
              </w:rPr>
            </w:pPr>
          </w:p>
        </w:tc>
      </w:tr>
      <w:tr w14:paraId="50721DF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12" w:space="0"/>
              <w:bottom w:val="nil"/>
              <w:right w:val="nil"/>
            </w:tcBorders>
            <w:tcMar>
              <w:top w:w="-1" w:type="dxa"/>
              <w:left w:w="-1" w:type="dxa"/>
              <w:bottom w:w="-1" w:type="dxa"/>
              <w:right w:w="-1" w:type="dxa"/>
            </w:tcMar>
          </w:tcPr>
          <w:p w14:paraId="4946F769">
            <w:pPr>
              <w:wordWrap w:val="0"/>
              <w:snapToGrid w:val="0"/>
              <w:spacing w:line="279" w:lineRule="auto"/>
              <w:rPr>
                <w:rFonts w:hint="eastAsia" w:ascii="宋体" w:hAnsi="宋体" w:eastAsia="宋体" w:cs="宋体"/>
                <w:sz w:val="24"/>
                <w:szCs w:val="24"/>
              </w:rPr>
            </w:pPr>
          </w:p>
          <w:p w14:paraId="428E4E70">
            <w:pPr>
              <w:wordWrap w:val="0"/>
              <w:snapToGrid w:val="0"/>
              <w:spacing w:line="279" w:lineRule="auto"/>
              <w:rPr>
                <w:rFonts w:hint="eastAsia" w:ascii="宋体" w:hAnsi="宋体" w:eastAsia="宋体" w:cs="宋体"/>
                <w:sz w:val="24"/>
                <w:szCs w:val="24"/>
              </w:rPr>
            </w:pPr>
          </w:p>
          <w:p w14:paraId="6863E99D">
            <w:pPr>
              <w:wordWrap w:val="0"/>
              <w:snapToGrid w:val="0"/>
              <w:spacing w:line="279" w:lineRule="auto"/>
              <w:rPr>
                <w:rFonts w:hint="eastAsia" w:ascii="宋体" w:hAnsi="宋体" w:eastAsia="宋体" w:cs="宋体"/>
                <w:sz w:val="24"/>
                <w:szCs w:val="24"/>
              </w:rPr>
            </w:pPr>
          </w:p>
          <w:p w14:paraId="5C061E73">
            <w:pPr>
              <w:wordWrap w:val="0"/>
              <w:snapToGrid w:val="0"/>
              <w:spacing w:line="279" w:lineRule="auto"/>
              <w:rPr>
                <w:rFonts w:hint="eastAsia" w:ascii="宋体" w:hAnsi="宋体" w:eastAsia="宋体" w:cs="宋体"/>
                <w:sz w:val="24"/>
                <w:szCs w:val="24"/>
              </w:rPr>
            </w:pPr>
          </w:p>
          <w:p w14:paraId="71CB09A0">
            <w:pPr>
              <w:wordWrap w:val="0"/>
              <w:snapToGrid w:val="0"/>
              <w:spacing w:line="279" w:lineRule="auto"/>
              <w:rPr>
                <w:rFonts w:hint="eastAsia" w:ascii="Cambria Math" w:hAnsi="Cambria Math" w:eastAsia="宋体" w:cs="宋体"/>
                <w:kern w:val="44"/>
                <w:sz w:val="24"/>
                <w:szCs w:val="24"/>
                <w:oMath/>
              </w:rPr>
            </w:pPr>
            <w:r>
              <w:rPr>
                <w:rFonts w:hint="eastAsia" w:ascii="宋体" w:hAnsi="宋体" w:eastAsia="宋体" w:cs="宋体"/>
                <w:sz w:val="24"/>
                <w:szCs w:val="24"/>
              </w:rPr>
              <w:drawing>
                <wp:inline distT="0" distB="0" distL="114300" distR="114300">
                  <wp:extent cx="1580515" cy="2284730"/>
                  <wp:effectExtent l="0" t="0" r="6985" b="1270"/>
                  <wp:docPr id="101" name="图片 2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27" descr="IMG_256"/>
                          <pic:cNvPicPr>
                            <a:picLocks noChangeAspect="1"/>
                          </pic:cNvPicPr>
                        </pic:nvPicPr>
                        <pic:blipFill>
                          <a:blip r:embed="rId6"/>
                          <a:srcRect l="15136" r="15578"/>
                          <a:stretch>
                            <a:fillRect/>
                          </a:stretch>
                        </pic:blipFill>
                        <pic:spPr>
                          <a:xfrm>
                            <a:off x="0" y="0"/>
                            <a:ext cx="1580515" cy="2284730"/>
                          </a:xfrm>
                          <a:prstGeom prst="rect">
                            <a:avLst/>
                          </a:prstGeom>
                          <a:noFill/>
                          <a:ln w="9525">
                            <a:noFill/>
                          </a:ln>
                        </pic:spPr>
                      </pic:pic>
                    </a:graphicData>
                  </a:graphic>
                </wp:inline>
              </w:drawing>
            </w:r>
          </w:p>
        </w:tc>
        <w:tc>
          <w:tcPr>
            <w:tcW w:w="5717" w:type="dxa"/>
            <w:tcBorders>
              <w:top w:val="single" w:color="auto" w:sz="4" w:space="0"/>
              <w:left w:val="single" w:color="auto" w:sz="4" w:space="0"/>
              <w:bottom w:val="nil"/>
              <w:right w:val="single" w:color="auto" w:sz="12" w:space="0"/>
            </w:tcBorders>
            <w:tcMar>
              <w:top w:w="-1" w:type="dxa"/>
              <w:left w:w="-1" w:type="dxa"/>
              <w:bottom w:w="-1" w:type="dxa"/>
              <w:right w:w="-1" w:type="dxa"/>
            </w:tcMar>
          </w:tcPr>
          <w:p w14:paraId="153D35E4">
            <w:pPr>
              <w:rPr>
                <w:rFonts w:hint="eastAsia" w:ascii="宋体" w:hAnsi="宋体" w:eastAsia="宋体" w:cs="宋体"/>
                <w:sz w:val="24"/>
                <w:szCs w:val="24"/>
              </w:rPr>
            </w:pPr>
            <w:r>
              <w:rPr>
                <w:rFonts w:hint="eastAsia" w:ascii="宋体" w:hAnsi="宋体" w:eastAsia="宋体" w:cs="宋体"/>
                <w:sz w:val="24"/>
                <w:szCs w:val="24"/>
              </w:rPr>
              <w:t>龙海侠 教授 / 博士生导师</w:t>
            </w:r>
          </w:p>
          <w:p w14:paraId="68491B8E">
            <w:pPr>
              <w:rPr>
                <w:rFonts w:hint="eastAsia" w:ascii="宋体" w:hAnsi="宋体" w:eastAsia="宋体" w:cs="宋体"/>
                <w:sz w:val="24"/>
                <w:szCs w:val="24"/>
              </w:rPr>
            </w:pPr>
            <w:r>
              <w:rPr>
                <w:rFonts w:hint="eastAsia" w:ascii="宋体" w:hAnsi="宋体" w:eastAsia="宋体" w:cs="宋体"/>
                <w:sz w:val="24"/>
                <w:szCs w:val="24"/>
              </w:rPr>
              <w:t>龙海侠教授现任海南师范大学计算机科学与技术学科教授、博士生导师，系海南省南海名家、高层次拔尖人才，同时担任国家自然科学基金函评专家。其研究方向聚焦人工智能（机器学习/深度学习）与网络空间安全两大核心领域，主持国家自然科学基金项目2项、海南省自然科学基金项目4项，以第一作者或通讯作者发表高水平学术论文60余篇，出版学术专著3部，获授权专利11项，拥有丰富的人工智能领域科研积累与产业化落地经验，在业界享有较高学术声誉。</w:t>
            </w:r>
          </w:p>
          <w:p w14:paraId="57B30B79">
            <w:pPr>
              <w:rPr>
                <w:rFonts w:hint="eastAsia" w:ascii="宋体" w:hAnsi="宋体" w:eastAsia="宋体" w:cs="宋体"/>
                <w:sz w:val="24"/>
                <w:szCs w:val="24"/>
              </w:rPr>
            </w:pPr>
            <w:r>
              <w:rPr>
                <w:rStyle w:val="13"/>
                <w:rFonts w:hint="eastAsia" w:ascii="宋体" w:hAnsi="宋体" w:eastAsia="宋体" w:cs="宋体"/>
                <w:color w:val="000000"/>
                <w:sz w:val="24"/>
                <w:szCs w:val="24"/>
              </w:rPr>
              <w:t>顾问职责：龙海侠教授将凭借其在深度学习模型研发与AI产业化方面的丰富经验，为本项目等级识别、产地溯源和品质分析模型的架构设计、训练策略与技术路线规划提供高水平指导。同时，她将协助项目对接行业资源与产业合作平台，为平台迭代、知识产权布局和后续场景落地提供专业建议，全面提升项目的技术竞争力与商业转化潜力。</w:t>
            </w:r>
          </w:p>
          <w:p w14:paraId="0ACC0896">
            <w:pPr>
              <w:wordWrap w:val="0"/>
              <w:snapToGrid w:val="0"/>
              <w:spacing w:line="279" w:lineRule="auto"/>
              <w:rPr>
                <w:rFonts w:hint="eastAsia" w:ascii="Cambria Math" w:hAnsi="Cambria Math" w:eastAsia="宋体" w:cs="宋体"/>
                <w:kern w:val="44"/>
                <w:sz w:val="24"/>
                <w:szCs w:val="24"/>
                <w:oMath/>
              </w:rPr>
            </w:pPr>
          </w:p>
        </w:tc>
      </w:tr>
      <w:tr w14:paraId="629FC09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805" w:type="dxa"/>
            <w:tcBorders>
              <w:top w:val="single" w:color="auto" w:sz="4" w:space="0"/>
              <w:left w:val="single" w:color="auto" w:sz="12" w:space="0"/>
              <w:bottom w:val="single" w:color="auto" w:sz="12" w:space="0"/>
              <w:right w:val="nil"/>
            </w:tcBorders>
            <w:tcMar>
              <w:top w:w="-1" w:type="dxa"/>
              <w:left w:w="-1" w:type="dxa"/>
              <w:bottom w:w="-1" w:type="dxa"/>
              <w:right w:w="-1" w:type="dxa"/>
            </w:tcMar>
          </w:tcPr>
          <w:p w14:paraId="44F52EEE">
            <w:pPr>
              <w:wordWrap w:val="0"/>
              <w:snapToGrid w:val="0"/>
              <w:spacing w:line="279" w:lineRule="auto"/>
              <w:rPr>
                <w:rFonts w:hint="eastAsia" w:ascii="宋体" w:hAnsi="宋体" w:eastAsia="宋体" w:cs="宋体"/>
                <w:b/>
                <w:bCs/>
                <w:kern w:val="44"/>
                <w:sz w:val="24"/>
                <w:szCs w:val="24"/>
              </w:rPr>
            </w:pPr>
          </w:p>
          <w:p w14:paraId="0D1626E6">
            <w:pPr>
              <w:wordWrap w:val="0"/>
              <w:snapToGrid w:val="0"/>
              <w:spacing w:line="279" w:lineRule="auto"/>
              <w:rPr>
                <w:rFonts w:hint="eastAsia" w:ascii="宋体" w:hAnsi="宋体" w:eastAsia="宋体" w:cs="宋体"/>
                <w:b/>
                <w:bCs/>
                <w:kern w:val="44"/>
                <w:sz w:val="24"/>
                <w:szCs w:val="24"/>
              </w:rPr>
            </w:pPr>
          </w:p>
          <w:p w14:paraId="25DEEF24">
            <w:pPr>
              <w:wordWrap w:val="0"/>
              <w:snapToGrid w:val="0"/>
              <w:spacing w:line="279" w:lineRule="auto"/>
              <w:rPr>
                <w:rFonts w:hint="eastAsia" w:ascii="宋体" w:hAnsi="宋体" w:eastAsia="宋体" w:cs="宋体"/>
                <w:b/>
                <w:bCs/>
                <w:kern w:val="44"/>
                <w:sz w:val="24"/>
                <w:szCs w:val="24"/>
              </w:rPr>
            </w:pPr>
          </w:p>
          <w:p w14:paraId="74890AA5">
            <w:pPr>
              <w:wordWrap w:val="0"/>
              <w:snapToGrid w:val="0"/>
              <w:spacing w:line="279" w:lineRule="auto"/>
              <w:rPr>
                <w:rFonts w:hint="eastAsia" w:ascii="宋体" w:hAnsi="宋体" w:eastAsia="宋体" w:cs="宋体"/>
                <w:b/>
                <w:bCs/>
                <w:kern w:val="44"/>
                <w:sz w:val="24"/>
                <w:szCs w:val="24"/>
              </w:rPr>
            </w:pPr>
          </w:p>
          <w:p w14:paraId="486A6296">
            <w:pPr>
              <w:wordWrap w:val="0"/>
              <w:snapToGrid w:val="0"/>
              <w:spacing w:line="279" w:lineRule="auto"/>
              <w:rPr>
                <w:rFonts w:hint="eastAsia" w:ascii="Cambria Math" w:hAnsi="Cambria Math" w:eastAsia="宋体" w:cs="宋体"/>
                <w:kern w:val="44"/>
                <w:sz w:val="24"/>
                <w:szCs w:val="24"/>
                <w:oMath/>
              </w:rPr>
            </w:pPr>
            <w:r>
              <w:rPr>
                <w:rFonts w:hint="eastAsia" w:ascii="宋体" w:hAnsi="宋体" w:eastAsia="宋体" w:cs="宋体"/>
                <w:sz w:val="24"/>
                <w:szCs w:val="24"/>
              </w:rPr>
              <w:drawing>
                <wp:inline distT="0" distB="0" distL="114300" distR="114300">
                  <wp:extent cx="1530350" cy="2181225"/>
                  <wp:effectExtent l="0" t="0" r="6350" b="3175"/>
                  <wp:docPr id="10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28"/>
                          <pic:cNvPicPr>
                            <a:picLocks noChangeAspect="1"/>
                          </pic:cNvPicPr>
                        </pic:nvPicPr>
                        <pic:blipFill>
                          <a:blip r:embed="rId7"/>
                          <a:srcRect b="5051"/>
                          <a:stretch>
                            <a:fillRect/>
                          </a:stretch>
                        </pic:blipFill>
                        <pic:spPr>
                          <a:xfrm>
                            <a:off x="0" y="0"/>
                            <a:ext cx="1530350" cy="2181225"/>
                          </a:xfrm>
                          <a:prstGeom prst="rect">
                            <a:avLst/>
                          </a:prstGeom>
                          <a:noFill/>
                          <a:ln>
                            <a:noFill/>
                          </a:ln>
                        </pic:spPr>
                      </pic:pic>
                    </a:graphicData>
                  </a:graphic>
                </wp:inline>
              </w:drawing>
            </w:r>
          </w:p>
        </w:tc>
        <w:tc>
          <w:tcPr>
            <w:tcW w:w="5717" w:type="dxa"/>
            <w:tcBorders>
              <w:top w:val="single" w:color="auto" w:sz="4" w:space="0"/>
              <w:left w:val="single" w:color="auto" w:sz="4" w:space="0"/>
              <w:bottom w:val="single" w:color="auto" w:sz="12" w:space="0"/>
              <w:right w:val="single" w:color="auto" w:sz="12" w:space="0"/>
            </w:tcBorders>
            <w:tcMar>
              <w:top w:w="-1" w:type="dxa"/>
              <w:left w:w="-1" w:type="dxa"/>
              <w:bottom w:w="-1" w:type="dxa"/>
              <w:right w:w="-1" w:type="dxa"/>
            </w:tcMar>
          </w:tcPr>
          <w:p w14:paraId="3454FE11">
            <w:pPr>
              <w:rPr>
                <w:rFonts w:hint="eastAsia" w:ascii="宋体" w:hAnsi="宋体" w:eastAsia="宋体" w:cs="宋体"/>
                <w:color w:val="000000"/>
                <w:sz w:val="24"/>
                <w:szCs w:val="24"/>
              </w:rPr>
            </w:pPr>
            <w:r>
              <w:rPr>
                <w:rFonts w:hint="eastAsia" w:ascii="宋体" w:hAnsi="宋体" w:eastAsia="宋体" w:cs="宋体"/>
                <w:sz w:val="24"/>
                <w:szCs w:val="24"/>
              </w:rPr>
              <w:t>程明雄 副教授</w:t>
            </w:r>
          </w:p>
          <w:p w14:paraId="3BA3A965">
            <w:pPr>
              <w:rPr>
                <w:rFonts w:hint="eastAsia" w:ascii="宋体" w:hAnsi="宋体" w:eastAsia="宋体" w:cs="宋体"/>
                <w:sz w:val="24"/>
                <w:szCs w:val="24"/>
              </w:rPr>
            </w:pPr>
            <w:r>
              <w:rPr>
                <w:rFonts w:hint="eastAsia" w:ascii="宋体" w:hAnsi="宋体" w:eastAsia="宋体" w:cs="宋体"/>
                <w:sz w:val="24"/>
                <w:szCs w:val="24"/>
              </w:rPr>
              <w:t>程明雄副教授现任海南师范大学经济与管理学院副教授，管理学硕士，中共党员。他长期深耕供应链物流管理、商务经济数据分析与县域经济发展研究领域，兼任海南省发展和改革委员会物流专家库专家、中铁十二局集团电气化工程有限公司供应链物流管理决策专家，并于2020年入选海南省现代物流业专家库，在海南省产业经济与物流领域具有较高的实践影响力。在科研方面，他主持完成海南省宣传部重点研究项目、海南省教育厅研究项目各1项，参与国家自然科学基金项目1项及省部级课题8项，在核心及权威期刊发表论文13篇，出版学术专著1部，并担任清华大学出版社《电子商务理论与实务》教材副主编，近五年指导学生在全国性电子商务大赛中斩获奖项5次，兼具深厚的学术积累与丰富的产教研融合实践经验。</w:t>
            </w:r>
          </w:p>
          <w:p w14:paraId="10A64BA8">
            <w:pPr>
              <w:rPr>
                <w:rFonts w:hint="eastAsia" w:ascii="宋体" w:hAnsi="宋体" w:eastAsia="宋体" w:cs="宋体"/>
                <w:sz w:val="24"/>
                <w:szCs w:val="24"/>
              </w:rPr>
            </w:pPr>
            <w:r>
              <w:rPr>
                <w:rStyle w:val="13"/>
                <w:rFonts w:hint="eastAsia" w:ascii="宋体" w:hAnsi="宋体" w:eastAsia="宋体" w:cs="宋体"/>
                <w:color w:val="000000"/>
                <w:sz w:val="24"/>
                <w:szCs w:val="24"/>
              </w:rPr>
              <w:t>顾问职责：程明雄副教授将结合其在供应链管理与区域经济领域的专业积累，为本项目在果园、合作社、分选中心、品牌运营方和渠道采购方等场景中的商业化落地提供专业指导，并协助开展项目财务规划与经济效益分析。依托其对海南本土产业生态与政策环境的深刻理解，助力团队优化区域合作路径、供应链协同方案和产业落地策略，推动项目实现高效的市场化与产业化进程。</w:t>
            </w:r>
          </w:p>
          <w:p w14:paraId="56B115D7">
            <w:pPr>
              <w:wordWrap w:val="0"/>
              <w:snapToGrid w:val="0"/>
              <w:spacing w:line="279" w:lineRule="auto"/>
              <w:rPr>
                <w:rFonts w:hint="eastAsia" w:ascii="Cambria Math" w:hAnsi="Cambria Math" w:eastAsia="宋体" w:cs="宋体"/>
                <w:kern w:val="44"/>
                <w:sz w:val="24"/>
                <w:szCs w:val="24"/>
                <w:oMath/>
              </w:rPr>
            </w:pPr>
          </w:p>
        </w:tc>
      </w:tr>
    </w:tbl>
    <w:p w14:paraId="25ABE80D">
      <w:pPr>
        <w:pStyle w:val="3"/>
        <w:rPr>
          <w:rFonts w:hint="eastAsia" w:ascii="宋体" w:hAnsi="宋体" w:eastAsia="宋体" w:cs="宋体"/>
          <w:sz w:val="24"/>
          <w:szCs w:val="24"/>
        </w:rPr>
      </w:pPr>
      <w:bookmarkStart w:id="9" w:name="_Toc226486245"/>
      <w:bookmarkStart w:id="10" w:name="_Toc32063"/>
      <w:r>
        <w:rPr>
          <w:rFonts w:hint="eastAsia" w:ascii="宋体" w:hAnsi="宋体" w:eastAsia="宋体" w:cs="宋体"/>
          <w:sz w:val="24"/>
          <w:szCs w:val="24"/>
          <w:lang w:val="en-US" w:eastAsia="zh-CN"/>
        </w:rPr>
        <w:t>7</w:t>
      </w:r>
      <w:r>
        <w:rPr>
          <w:rFonts w:hint="eastAsia" w:ascii="宋体" w:hAnsi="宋体" w:eastAsia="宋体" w:cs="宋体"/>
          <w:sz w:val="24"/>
          <w:szCs w:val="24"/>
        </w:rPr>
        <w:t>.3 核心团队成员介绍</w:t>
      </w:r>
      <w:bookmarkEnd w:id="9"/>
      <w:bookmarkEnd w:id="10"/>
    </w:p>
    <w:p w14:paraId="4EF1FEFB">
      <w:pPr>
        <w:rPr>
          <w:rFonts w:hint="eastAsia" w:ascii="Cambria Math" w:hAnsi="Cambria Math" w:eastAsia="宋体" w:cs="宋体"/>
          <w:sz w:val="24"/>
          <w:szCs w:val="24"/>
          <w:oMath/>
        </w:rPr>
      </w:pPr>
      <w:r>
        <w:rPr>
          <w:rFonts w:hint="eastAsia" w:ascii="宋体" w:hAnsi="宋体" w:eastAsia="宋体" w:cs="宋体"/>
          <w:sz w:val="24"/>
          <w:szCs w:val="24"/>
        </w:rPr>
        <w:t>团队核心成员均来自海南师范大学相关专业，以人工智能、软件工程、计算机科学与技术为专业背景，兼具算法研发、工程开发、市场运营、财务管理等多元能力。成员平均拥有2项以上学科竞赛国家级/省级奖项，部分核心成员曾参与企业级AI应用落地、大数据处理等实战项目，具备扎实的理论基础与丰富的实践经验。团队成员优势互补、凝聚力强，围绕高光谱分析、农产品数字化与平台化交付持续协同，为橙源智鉴的研发、试点与后续落地提供坚实的人才支撑。</w:t>
      </w:r>
    </w:p>
    <w:tbl>
      <w:tblPr>
        <w:tblStyle w:val="11"/>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756"/>
        <w:gridCol w:w="5766"/>
      </w:tblGrid>
      <w:tr w14:paraId="6CA6C0F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12" w:space="0"/>
              <w:left w:val="single" w:color="auto" w:sz="12" w:space="0"/>
              <w:bottom w:val="nil"/>
              <w:right w:val="nil"/>
            </w:tcBorders>
            <w:tcMar>
              <w:top w:w="-1" w:type="dxa"/>
              <w:left w:w="-1" w:type="dxa"/>
              <w:bottom w:w="-1" w:type="dxa"/>
              <w:right w:w="-1" w:type="dxa"/>
            </w:tcMar>
          </w:tcPr>
          <w:p w14:paraId="34CFCF3B">
            <w:pPr>
              <w:keepNext/>
              <w:wordWrap w:val="0"/>
              <w:snapToGrid w:val="0"/>
              <w:spacing w:line="279" w:lineRule="auto"/>
              <w:rPr>
                <w:rFonts w:hint="eastAsia" w:ascii="宋体" w:hAnsi="宋体" w:eastAsia="宋体" w:cs="宋体"/>
                <w:bCs/>
                <w:sz w:val="24"/>
                <w:szCs w:val="24"/>
              </w:rPr>
            </w:pPr>
          </w:p>
          <w:p w14:paraId="234DE16D">
            <w:pPr>
              <w:keepNext/>
              <w:wordWrap w:val="0"/>
              <w:snapToGrid w:val="0"/>
              <w:spacing w:line="279" w:lineRule="auto"/>
              <w:rPr>
                <w:rFonts w:hint="eastAsia" w:ascii="宋体" w:hAnsi="宋体" w:eastAsia="宋体" w:cs="宋体"/>
                <w:bCs/>
                <w:sz w:val="24"/>
                <w:szCs w:val="24"/>
              </w:rPr>
            </w:pPr>
          </w:p>
          <w:p w14:paraId="7DCDE803">
            <w:pPr>
              <w:keepNext/>
              <w:wordWrap w:val="0"/>
              <w:snapToGrid w:val="0"/>
              <w:spacing w:line="279" w:lineRule="auto"/>
              <w:rPr>
                <w:rFonts w:hint="eastAsia" w:ascii="宋体" w:hAnsi="宋体" w:eastAsia="宋体" w:cs="宋体"/>
                <w:bCs/>
                <w:sz w:val="24"/>
                <w:szCs w:val="24"/>
              </w:rPr>
            </w:pPr>
          </w:p>
          <w:p w14:paraId="5F4ABDFD">
            <w:pPr>
              <w:keepNext/>
              <w:wordWrap w:val="0"/>
              <w:snapToGrid w:val="0"/>
              <w:spacing w:line="279" w:lineRule="auto"/>
              <w:rPr>
                <w:rFonts w:hint="eastAsia" w:ascii="宋体" w:hAnsi="宋体" w:eastAsia="宋体" w:cs="宋体"/>
                <w:bCs/>
                <w:sz w:val="24"/>
                <w:szCs w:val="24"/>
              </w:rPr>
            </w:pPr>
          </w:p>
          <w:p w14:paraId="51677956">
            <w:pPr>
              <w:keepNext/>
              <w:wordWrap w:val="0"/>
              <w:snapToGrid w:val="0"/>
              <w:spacing w:line="279" w:lineRule="auto"/>
              <w:rPr>
                <w:rFonts w:hint="eastAsia" w:ascii="Cambria Math" w:hAnsi="Cambria Math" w:eastAsia="宋体" w:cs="宋体"/>
                <w:sz w:val="24"/>
                <w:szCs w:val="24"/>
                <w:oMath/>
              </w:rPr>
            </w:pPr>
            <w:r>
              <w:rPr>
                <w:rFonts w:hint="eastAsia" w:ascii="宋体" w:hAnsi="宋体" w:eastAsia="宋体" w:cs="宋体"/>
                <w:bCs/>
                <w:sz w:val="24"/>
                <w:szCs w:val="24"/>
              </w:rPr>
              <w:drawing>
                <wp:inline distT="0" distB="0" distL="114300" distR="114300">
                  <wp:extent cx="1296035" cy="1800225"/>
                  <wp:effectExtent l="0" t="0" r="12065" b="3175"/>
                  <wp:docPr id="105" name="图片 105" descr="彭斯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descr="彭斯逸"/>
                          <pic:cNvPicPr>
                            <a:picLocks noChangeAspect="1"/>
                          </pic:cNvPicPr>
                        </pic:nvPicPr>
                        <pic:blipFill>
                          <a:blip r:embed="rId8"/>
                          <a:stretch>
                            <a:fillRect/>
                          </a:stretch>
                        </pic:blipFill>
                        <pic:spPr>
                          <a:xfrm>
                            <a:off x="0" y="0"/>
                            <a:ext cx="1296035" cy="1800225"/>
                          </a:xfrm>
                          <a:prstGeom prst="rect">
                            <a:avLst/>
                          </a:prstGeom>
                        </pic:spPr>
                      </pic:pic>
                    </a:graphicData>
                  </a:graphic>
                </wp:inline>
              </w:drawing>
            </w:r>
          </w:p>
        </w:tc>
        <w:tc>
          <w:tcPr>
            <w:tcW w:w="5766" w:type="dxa"/>
            <w:tcBorders>
              <w:top w:val="single" w:color="auto" w:sz="12" w:space="0"/>
              <w:left w:val="single" w:color="auto" w:sz="4" w:space="0"/>
              <w:bottom w:val="nil"/>
              <w:right w:val="single" w:color="auto" w:sz="12" w:space="0"/>
            </w:tcBorders>
            <w:tcMar>
              <w:top w:w="-1" w:type="dxa"/>
              <w:left w:w="-1" w:type="dxa"/>
              <w:bottom w:w="-1" w:type="dxa"/>
              <w:right w:w="-1" w:type="dxa"/>
            </w:tcMar>
          </w:tcPr>
          <w:p w14:paraId="09A6BDB3">
            <w:pPr>
              <w:rPr>
                <w:rFonts w:hint="eastAsia" w:ascii="宋体" w:hAnsi="宋体" w:eastAsia="宋体" w:cs="宋体"/>
                <w:sz w:val="24"/>
                <w:szCs w:val="24"/>
              </w:rPr>
            </w:pPr>
            <w:r>
              <w:rPr>
                <w:rFonts w:hint="eastAsia" w:ascii="宋体" w:hAnsi="宋体" w:eastAsia="宋体" w:cs="宋体"/>
                <w:sz w:val="24"/>
                <w:szCs w:val="24"/>
              </w:rPr>
              <w:t>彭斯逸 — 董事长 / 项目负责人</w:t>
            </w:r>
          </w:p>
          <w:p w14:paraId="5CC82D41">
            <w:pPr>
              <w:rPr>
                <w:rFonts w:hint="eastAsia" w:ascii="宋体" w:hAnsi="宋体" w:eastAsia="宋体" w:cs="宋体"/>
                <w:sz w:val="24"/>
                <w:szCs w:val="24"/>
              </w:rPr>
            </w:pPr>
            <w:r>
              <w:rPr>
                <w:rFonts w:hint="eastAsia" w:ascii="宋体" w:hAnsi="宋体" w:eastAsia="宋体" w:cs="宋体"/>
                <w:sz w:val="24"/>
                <w:szCs w:val="24"/>
              </w:rPr>
              <w:t>彭斯逸为项目负责人，专业成绩位居前列，曾获中国国际大学生创新大赛校级金奖、全国大学生三创赛校级一等奖等竞赛荣誉，具备较强的项目统筹与技术组织能力。其长期聚焦 AI 应用开发与后端工程，在 Python、FastAPI 和数据处理管线方面积累了较强的工程经验，是团队技术路线和整体推进的核心负责人。</w:t>
            </w:r>
          </w:p>
          <w:p w14:paraId="067CFD6B">
            <w:pPr>
              <w:rPr>
                <w:rFonts w:hint="eastAsia" w:ascii="宋体" w:hAnsi="宋体" w:eastAsia="宋体" w:cs="宋体"/>
                <w:sz w:val="24"/>
                <w:szCs w:val="24"/>
              </w:rPr>
            </w:pPr>
            <w:r>
              <w:rPr>
                <w:rFonts w:hint="eastAsia" w:ascii="宋体" w:hAnsi="宋体" w:eastAsia="宋体" w:cs="宋体"/>
                <w:sz w:val="24"/>
                <w:szCs w:val="24"/>
              </w:rPr>
              <w:t>在技术方向上，他深耕AI应用开发与后端工程，熟悉Python异步编程及FastAPI框架，在检索增强生成（RAG）领域积累深厚，曾受邀担任Datawhale"RAG技术全栈指南"课程专业助教。他曾于知名软件公司核心研发部实习，主导垂直领域大模型应用落地及数据清洗管线设计，积累了宝贵的工程实战经验。</w:t>
            </w:r>
          </w:p>
          <w:p w14:paraId="0412AD71">
            <w:pPr>
              <w:rPr>
                <w:rFonts w:hint="eastAsia" w:ascii="宋体" w:hAnsi="宋体" w:eastAsia="宋体" w:cs="宋体"/>
                <w:sz w:val="24"/>
                <w:szCs w:val="24"/>
              </w:rPr>
            </w:pPr>
            <w:r>
              <w:rPr>
                <w:rFonts w:hint="eastAsia" w:ascii="宋体" w:hAnsi="宋体" w:eastAsia="宋体" w:cs="宋体"/>
                <w:sz w:val="24"/>
                <w:szCs w:val="24"/>
              </w:rPr>
              <w:t>在本项目中，他结合AI基础设施预研与多源数据处理的实战经验，全面负责项目战略规划与团队统筹管理，同时主导基于高光谱技术的底层算法构建与智能分析逻辑开发，重点推进橙类产品等级识别、产地溯源和品质分析等核心能力落地，推动平台从样本数据走向实际场景应用。</w:t>
            </w:r>
          </w:p>
          <w:p w14:paraId="5B948B09">
            <w:pPr>
              <w:keepNext/>
              <w:wordWrap w:val="0"/>
              <w:snapToGrid w:val="0"/>
              <w:spacing w:line="279" w:lineRule="auto"/>
              <w:rPr>
                <w:rFonts w:hint="eastAsia" w:ascii="Cambria Math" w:hAnsi="Cambria Math" w:eastAsia="宋体" w:cs="宋体"/>
                <w:sz w:val="24"/>
                <w:szCs w:val="24"/>
                <w:oMath/>
              </w:rPr>
            </w:pPr>
          </w:p>
        </w:tc>
      </w:tr>
      <w:tr w14:paraId="00DD38B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12" w:space="0"/>
              <w:bottom w:val="nil"/>
              <w:right w:val="nil"/>
            </w:tcBorders>
            <w:tcMar>
              <w:top w:w="-1" w:type="dxa"/>
              <w:left w:w="-1" w:type="dxa"/>
              <w:bottom w:w="-1" w:type="dxa"/>
              <w:right w:w="-1" w:type="dxa"/>
            </w:tcMar>
          </w:tcPr>
          <w:p w14:paraId="5444D43C">
            <w:pPr>
              <w:keepNext/>
              <w:wordWrap w:val="0"/>
              <w:snapToGrid w:val="0"/>
              <w:spacing w:line="279" w:lineRule="auto"/>
              <w:rPr>
                <w:rFonts w:hint="eastAsia" w:ascii="宋体" w:hAnsi="宋体" w:eastAsia="宋体" w:cs="宋体"/>
                <w:bCs/>
                <w:sz w:val="24"/>
                <w:szCs w:val="24"/>
              </w:rPr>
            </w:pPr>
          </w:p>
          <w:p w14:paraId="6F8EF735">
            <w:pPr>
              <w:keepNext/>
              <w:wordWrap w:val="0"/>
              <w:snapToGrid w:val="0"/>
              <w:spacing w:line="279" w:lineRule="auto"/>
              <w:rPr>
                <w:rFonts w:hint="eastAsia" w:ascii="宋体" w:hAnsi="宋体" w:eastAsia="宋体" w:cs="宋体"/>
                <w:bCs/>
                <w:sz w:val="24"/>
                <w:szCs w:val="24"/>
              </w:rPr>
            </w:pPr>
          </w:p>
          <w:p w14:paraId="5AAE9E4B">
            <w:pPr>
              <w:keepNext/>
              <w:wordWrap w:val="0"/>
              <w:snapToGrid w:val="0"/>
              <w:spacing w:line="279" w:lineRule="auto"/>
              <w:rPr>
                <w:rFonts w:hint="eastAsia" w:ascii="宋体" w:hAnsi="宋体" w:eastAsia="宋体" w:cs="宋体"/>
                <w:bCs/>
                <w:sz w:val="24"/>
                <w:szCs w:val="24"/>
              </w:rPr>
            </w:pPr>
          </w:p>
          <w:p w14:paraId="77FB8EC4">
            <w:pPr>
              <w:keepNext/>
              <w:wordWrap w:val="0"/>
              <w:snapToGrid w:val="0"/>
              <w:spacing w:line="279" w:lineRule="auto"/>
              <w:rPr>
                <w:rFonts w:hint="eastAsia" w:ascii="Cambria Math" w:hAnsi="Cambria Math" w:eastAsia="宋体" w:cs="宋体"/>
                <w:sz w:val="24"/>
                <w:szCs w:val="24"/>
                <w:oMath/>
              </w:rPr>
            </w:pPr>
            <w:r>
              <w:rPr>
                <w:rFonts w:hint="eastAsia" w:ascii="宋体" w:hAnsi="宋体" w:eastAsia="宋体" w:cs="宋体"/>
                <w:bCs/>
                <w:sz w:val="24"/>
                <w:szCs w:val="24"/>
              </w:rPr>
              <w:drawing>
                <wp:inline distT="0" distB="0" distL="114300" distR="114300">
                  <wp:extent cx="1304290" cy="1826260"/>
                  <wp:effectExtent l="0" t="0" r="3810" b="2540"/>
                  <wp:docPr id="106" name="图片 106" descr="唐天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descr="唐天赐"/>
                          <pic:cNvPicPr>
                            <a:picLocks noChangeAspect="1"/>
                          </pic:cNvPicPr>
                        </pic:nvPicPr>
                        <pic:blipFill>
                          <a:blip r:embed="rId9"/>
                          <a:stretch>
                            <a:fillRect/>
                          </a:stretch>
                        </pic:blipFill>
                        <pic:spPr>
                          <a:xfrm>
                            <a:off x="0" y="0"/>
                            <a:ext cx="1304290" cy="1826260"/>
                          </a:xfrm>
                          <a:prstGeom prst="rect">
                            <a:avLst/>
                          </a:prstGeom>
                        </pic:spPr>
                      </pic:pic>
                    </a:graphicData>
                  </a:graphic>
                </wp:inline>
              </w:drawing>
            </w:r>
          </w:p>
        </w:tc>
        <w:tc>
          <w:tcPr>
            <w:tcW w:w="5766" w:type="dxa"/>
            <w:tcBorders>
              <w:top w:val="single" w:color="auto" w:sz="4" w:space="0"/>
              <w:left w:val="single" w:color="auto" w:sz="4" w:space="0"/>
              <w:bottom w:val="nil"/>
              <w:right w:val="single" w:color="auto" w:sz="12" w:space="0"/>
            </w:tcBorders>
            <w:tcMar>
              <w:top w:w="-1" w:type="dxa"/>
              <w:left w:w="-1" w:type="dxa"/>
              <w:bottom w:w="-1" w:type="dxa"/>
              <w:right w:w="-1" w:type="dxa"/>
            </w:tcMar>
          </w:tcPr>
          <w:p w14:paraId="08A0E826">
            <w:pPr>
              <w:rPr>
                <w:rFonts w:hint="eastAsia" w:ascii="宋体" w:hAnsi="宋体" w:eastAsia="宋体" w:cs="宋体"/>
                <w:sz w:val="24"/>
                <w:szCs w:val="24"/>
              </w:rPr>
            </w:pPr>
            <w:r>
              <w:rPr>
                <w:rFonts w:hint="eastAsia" w:ascii="宋体" w:hAnsi="宋体" w:eastAsia="宋体" w:cs="宋体"/>
                <w:sz w:val="24"/>
                <w:szCs w:val="24"/>
              </w:rPr>
              <w:t>唐天赐 — 技术部</w:t>
            </w:r>
          </w:p>
          <w:p w14:paraId="1FF69F7F">
            <w:pPr>
              <w:rPr>
                <w:rFonts w:hint="eastAsia" w:ascii="宋体" w:hAnsi="宋体" w:eastAsia="宋体" w:cs="宋体"/>
                <w:sz w:val="24"/>
                <w:szCs w:val="24"/>
              </w:rPr>
            </w:pPr>
            <w:r>
              <w:rPr>
                <w:rFonts w:hint="eastAsia" w:ascii="宋体" w:hAnsi="宋体" w:eastAsia="宋体" w:cs="宋体"/>
                <w:sz w:val="24"/>
                <w:szCs w:val="24"/>
              </w:rPr>
              <w:t>唐天赐具备扎实的算法基础与后端开发能力，曾获计算机设计大赛国家级二等奖、大创项目国家级立项等奖项，能够将模型思路快速落到代码实现和服务开发中。在团队中，他主要承担高光谱特征提取、指标建模和分析服务开发，是核心算法实现成员之一。</w:t>
            </w:r>
          </w:p>
          <w:p w14:paraId="53518CA0">
            <w:pPr>
              <w:rPr>
                <w:rFonts w:hint="eastAsia" w:ascii="宋体" w:hAnsi="宋体" w:eastAsia="宋体" w:cs="宋体"/>
                <w:sz w:val="24"/>
                <w:szCs w:val="24"/>
              </w:rPr>
            </w:pPr>
            <w:r>
              <w:rPr>
                <w:rFonts w:hint="eastAsia" w:ascii="宋体" w:hAnsi="宋体" w:eastAsia="宋体" w:cs="宋体"/>
                <w:sz w:val="24"/>
                <w:szCs w:val="24"/>
              </w:rPr>
              <w:t>他精通Python、C++、Java等多门编程语言，具备良好的算法思维与工程实现能力，擅长将理论知识融入实际专业场景。在本项目中，他发挥算法实现与后端开发方面的核心优势，主要负责高光谱数据的特征提取、指标建模与分析服务开发，通过高效严谨的逻辑编写，确保系统在处理不同产地、不同批次橙类样本时保持稳定性与识别准确性，为项目技术核心提供坚实支撑。</w:t>
            </w:r>
          </w:p>
          <w:p w14:paraId="7A8CA685">
            <w:pPr>
              <w:keepNext/>
              <w:wordWrap w:val="0"/>
              <w:snapToGrid w:val="0"/>
              <w:spacing w:line="279" w:lineRule="auto"/>
              <w:rPr>
                <w:rFonts w:hint="eastAsia" w:ascii="Cambria Math" w:hAnsi="Cambria Math" w:eastAsia="宋体" w:cs="宋体"/>
                <w:sz w:val="24"/>
                <w:szCs w:val="24"/>
                <w:oMath/>
              </w:rPr>
            </w:pPr>
          </w:p>
        </w:tc>
      </w:tr>
      <w:tr w14:paraId="434473B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12" w:space="0"/>
              <w:bottom w:val="nil"/>
              <w:right w:val="nil"/>
            </w:tcBorders>
            <w:tcMar>
              <w:top w:w="-1" w:type="dxa"/>
              <w:left w:w="-1" w:type="dxa"/>
              <w:bottom w:w="-1" w:type="dxa"/>
              <w:right w:w="-1" w:type="dxa"/>
            </w:tcMar>
          </w:tcPr>
          <w:p w14:paraId="41D4F296">
            <w:pPr>
              <w:keepNext/>
              <w:wordWrap w:val="0"/>
              <w:snapToGrid w:val="0"/>
              <w:spacing w:line="279" w:lineRule="auto"/>
              <w:rPr>
                <w:rFonts w:hint="eastAsia" w:ascii="宋体" w:hAnsi="宋体" w:eastAsia="宋体" w:cs="宋体"/>
                <w:bCs/>
                <w:sz w:val="24"/>
                <w:szCs w:val="24"/>
              </w:rPr>
            </w:pPr>
          </w:p>
          <w:p w14:paraId="216B29E1">
            <w:pPr>
              <w:keepNext/>
              <w:wordWrap w:val="0"/>
              <w:snapToGrid w:val="0"/>
              <w:spacing w:line="279" w:lineRule="auto"/>
              <w:rPr>
                <w:rFonts w:hint="eastAsia" w:ascii="Cambria Math" w:hAnsi="Cambria Math" w:eastAsia="宋体" w:cs="宋体"/>
                <w:sz w:val="24"/>
                <w:szCs w:val="24"/>
                <w:lang w:eastAsia="zh-CN"/>
                <w:oMath/>
              </w:rPr>
            </w:pPr>
            <w:r>
              <w:rPr>
                <w:rFonts w:hint="eastAsia" w:ascii="宋体" w:hAnsi="宋体" w:eastAsia="宋体" w:cs="宋体"/>
                <w:sz w:val="24"/>
                <w:szCs w:val="24"/>
                <w:lang w:eastAsia="zh-CN"/>
              </w:rPr>
              <w:drawing>
                <wp:inline distT="0" distB="0" distL="114300" distR="114300">
                  <wp:extent cx="1612265" cy="2257425"/>
                  <wp:effectExtent l="0" t="0" r="635" b="3175"/>
                  <wp:docPr id="1" name="图片 1" descr="cfa5cdd6aeb51d142fffdd320e10db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fa5cdd6aeb51d142fffdd320e10dbb2"/>
                          <pic:cNvPicPr>
                            <a:picLocks noChangeAspect="1"/>
                          </pic:cNvPicPr>
                        </pic:nvPicPr>
                        <pic:blipFill>
                          <a:blip r:embed="rId10"/>
                          <a:stretch>
                            <a:fillRect/>
                          </a:stretch>
                        </pic:blipFill>
                        <pic:spPr>
                          <a:xfrm>
                            <a:off x="0" y="0"/>
                            <a:ext cx="1612265" cy="2257425"/>
                          </a:xfrm>
                          <a:prstGeom prst="rect">
                            <a:avLst/>
                          </a:prstGeom>
                        </pic:spPr>
                      </pic:pic>
                    </a:graphicData>
                  </a:graphic>
                </wp:inline>
              </w:drawing>
            </w:r>
          </w:p>
        </w:tc>
        <w:tc>
          <w:tcPr>
            <w:tcW w:w="5766" w:type="dxa"/>
            <w:tcBorders>
              <w:top w:val="single" w:color="auto" w:sz="4" w:space="0"/>
              <w:left w:val="single" w:color="auto" w:sz="4" w:space="0"/>
              <w:bottom w:val="nil"/>
              <w:right w:val="single" w:color="auto" w:sz="12" w:space="0"/>
            </w:tcBorders>
            <w:tcMar>
              <w:top w:w="-1" w:type="dxa"/>
              <w:left w:w="-1" w:type="dxa"/>
              <w:bottom w:w="-1" w:type="dxa"/>
              <w:right w:w="-1" w:type="dxa"/>
            </w:tcMar>
          </w:tcPr>
          <w:p w14:paraId="27326353">
            <w:pPr>
              <w:rPr>
                <w:rFonts w:hint="eastAsia" w:ascii="宋体" w:hAnsi="宋体" w:eastAsia="宋体" w:cs="宋体"/>
                <w:sz w:val="24"/>
                <w:szCs w:val="24"/>
              </w:rPr>
            </w:pPr>
            <w:r>
              <w:rPr>
                <w:rFonts w:hint="eastAsia" w:ascii="宋体" w:hAnsi="宋体" w:eastAsia="宋体" w:cs="宋体"/>
                <w:sz w:val="24"/>
                <w:szCs w:val="24"/>
              </w:rPr>
              <w:t>艾舜杰 — 技术部</w:t>
            </w:r>
          </w:p>
          <w:p w14:paraId="53191EAC">
            <w:pPr>
              <w:rPr>
                <w:rFonts w:hint="eastAsia" w:ascii="宋体" w:hAnsi="宋体" w:eastAsia="宋体" w:cs="宋体"/>
                <w:sz w:val="24"/>
                <w:szCs w:val="24"/>
              </w:rPr>
            </w:pPr>
            <w:r>
              <w:rPr>
                <w:rFonts w:hint="eastAsia" w:ascii="宋体" w:hAnsi="宋体" w:eastAsia="宋体" w:cs="宋体"/>
                <w:sz w:val="24"/>
                <w:szCs w:val="24"/>
              </w:rPr>
              <w:t>艾舜杰具备前后端协同开发基础，掌握 Java、C++、Python、Vue 等技术栈，能够完成系统模块集成与功能联调。在团队中，他重点负责上传分析、结果展示、历史回看和报告导出等功能衔接，保障平台使用流程完整可跑。</w:t>
            </w:r>
          </w:p>
          <w:p w14:paraId="05BA9D2E">
            <w:pPr>
              <w:rPr>
                <w:rFonts w:hint="eastAsia" w:ascii="宋体" w:hAnsi="宋体" w:eastAsia="宋体" w:cs="宋体"/>
                <w:sz w:val="24"/>
                <w:szCs w:val="24"/>
              </w:rPr>
            </w:pPr>
            <w:r>
              <w:rPr>
                <w:rFonts w:hint="eastAsia" w:ascii="宋体" w:hAnsi="宋体" w:eastAsia="宋体" w:cs="宋体"/>
                <w:sz w:val="24"/>
                <w:szCs w:val="24"/>
              </w:rPr>
              <w:t>在本项目中，他主要负责系统各功能模块的集成开发与前端功能实现，利用其全栈开发基础推进上传分析、结果展示、历史回看和报告导出等功能的高效衔接，重点保障平台在试点场景中的流畅运行与功能完整闭环。他希望通过持续的项目实践不断积累软件开发经验，向更高阶的工程能力迈进。</w:t>
            </w:r>
          </w:p>
          <w:p w14:paraId="632CA861">
            <w:pPr>
              <w:keepNext/>
              <w:wordWrap w:val="0"/>
              <w:snapToGrid w:val="0"/>
              <w:spacing w:line="279" w:lineRule="auto"/>
              <w:rPr>
                <w:rFonts w:hint="eastAsia" w:ascii="Cambria Math" w:hAnsi="Cambria Math" w:eastAsia="宋体" w:cs="宋体"/>
                <w:sz w:val="24"/>
                <w:szCs w:val="24"/>
                <w:oMath/>
              </w:rPr>
            </w:pPr>
          </w:p>
        </w:tc>
      </w:tr>
      <w:tr w14:paraId="4E38E24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12" w:space="0"/>
              <w:bottom w:val="nil"/>
              <w:right w:val="nil"/>
            </w:tcBorders>
            <w:tcMar>
              <w:top w:w="-1" w:type="dxa"/>
              <w:left w:w="-1" w:type="dxa"/>
              <w:bottom w:w="-1" w:type="dxa"/>
              <w:right w:w="-1" w:type="dxa"/>
            </w:tcMar>
          </w:tcPr>
          <w:p w14:paraId="5C5FCDC5">
            <w:pPr>
              <w:keepNext/>
              <w:wordWrap w:val="0"/>
              <w:snapToGrid w:val="0"/>
              <w:spacing w:line="279" w:lineRule="auto"/>
              <w:rPr>
                <w:rFonts w:hint="eastAsia" w:ascii="宋体" w:hAnsi="宋体" w:eastAsia="宋体" w:cs="宋体"/>
                <w:bCs/>
                <w:sz w:val="24"/>
                <w:szCs w:val="24"/>
              </w:rPr>
            </w:pPr>
          </w:p>
          <w:p w14:paraId="6265E78A">
            <w:pPr>
              <w:keepNext/>
              <w:wordWrap w:val="0"/>
              <w:snapToGrid w:val="0"/>
              <w:spacing w:line="279" w:lineRule="auto"/>
              <w:rPr>
                <w:rFonts w:hint="eastAsia" w:ascii="Cambria Math" w:hAnsi="Cambria Math" w:eastAsia="宋体" w:cs="宋体"/>
                <w:sz w:val="24"/>
                <w:szCs w:val="24"/>
                <w:oMath/>
              </w:rPr>
            </w:pPr>
            <w:r>
              <w:rPr>
                <w:rFonts w:hint="eastAsia" w:ascii="宋体" w:hAnsi="宋体" w:eastAsia="宋体" w:cs="宋体"/>
                <w:bCs/>
                <w:sz w:val="24"/>
                <w:szCs w:val="24"/>
              </w:rPr>
              <w:drawing>
                <wp:inline distT="0" distB="0" distL="114300" distR="114300">
                  <wp:extent cx="1325245" cy="1645285"/>
                  <wp:effectExtent l="0" t="0" r="8255" b="5715"/>
                  <wp:docPr id="109" name="图片 109" descr="游亚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descr="游亚楠"/>
                          <pic:cNvPicPr>
                            <a:picLocks noChangeAspect="1"/>
                          </pic:cNvPicPr>
                        </pic:nvPicPr>
                        <pic:blipFill>
                          <a:blip r:embed="rId11"/>
                          <a:srcRect l="16797" r="16260" b="16943"/>
                          <a:stretch>
                            <a:fillRect/>
                          </a:stretch>
                        </pic:blipFill>
                        <pic:spPr>
                          <a:xfrm>
                            <a:off x="0" y="0"/>
                            <a:ext cx="1325245" cy="1645285"/>
                          </a:xfrm>
                          <a:prstGeom prst="rect">
                            <a:avLst/>
                          </a:prstGeom>
                        </pic:spPr>
                      </pic:pic>
                    </a:graphicData>
                  </a:graphic>
                </wp:inline>
              </w:drawing>
            </w:r>
          </w:p>
        </w:tc>
        <w:tc>
          <w:tcPr>
            <w:tcW w:w="5766" w:type="dxa"/>
            <w:tcBorders>
              <w:top w:val="single" w:color="auto" w:sz="4" w:space="0"/>
              <w:left w:val="single" w:color="auto" w:sz="4" w:space="0"/>
              <w:bottom w:val="nil"/>
              <w:right w:val="single" w:color="auto" w:sz="12" w:space="0"/>
            </w:tcBorders>
            <w:tcMar>
              <w:top w:w="-1" w:type="dxa"/>
              <w:left w:w="-1" w:type="dxa"/>
              <w:bottom w:w="-1" w:type="dxa"/>
              <w:right w:w="-1" w:type="dxa"/>
            </w:tcMar>
          </w:tcPr>
          <w:p w14:paraId="7A708553">
            <w:pPr>
              <w:rPr>
                <w:rFonts w:hint="eastAsia" w:ascii="宋体" w:hAnsi="宋体" w:eastAsia="宋体" w:cs="宋体"/>
                <w:sz w:val="24"/>
                <w:szCs w:val="24"/>
              </w:rPr>
            </w:pPr>
            <w:r>
              <w:rPr>
                <w:rFonts w:hint="eastAsia" w:ascii="宋体" w:hAnsi="宋体" w:eastAsia="宋体" w:cs="宋体"/>
                <w:sz w:val="24"/>
                <w:szCs w:val="24"/>
              </w:rPr>
              <w:t>游亚楠 — 市场营销部</w:t>
            </w:r>
          </w:p>
          <w:p w14:paraId="49B7CC72">
            <w:pPr>
              <w:rPr>
                <w:rFonts w:hint="eastAsia" w:ascii="宋体" w:hAnsi="宋体" w:eastAsia="宋体" w:cs="宋体"/>
                <w:sz w:val="24"/>
                <w:szCs w:val="24"/>
              </w:rPr>
            </w:pPr>
            <w:r>
              <w:rPr>
                <w:rFonts w:hint="eastAsia" w:ascii="宋体" w:hAnsi="宋体" w:eastAsia="宋体" w:cs="宋体"/>
                <w:sz w:val="24"/>
                <w:szCs w:val="24"/>
              </w:rPr>
              <w:t>游亚楠具备宣传策划、需求分析和用户沟通能力，能够从市场侧梳理果园、合作社、分选中心、品牌方和渠道方的真实诉求。在团队中，她主要负责调研、客户画像、传播方案和推广路径设计，是项目商业表达的重要承担者。</w:t>
            </w:r>
          </w:p>
          <w:p w14:paraId="2B2AFEAB">
            <w:pPr>
              <w:rPr>
                <w:rFonts w:hint="eastAsia" w:ascii="宋体" w:hAnsi="宋体" w:eastAsia="宋体" w:cs="宋体"/>
                <w:sz w:val="24"/>
                <w:szCs w:val="24"/>
              </w:rPr>
            </w:pPr>
            <w:r>
              <w:rPr>
                <w:rFonts w:hint="eastAsia" w:ascii="宋体" w:hAnsi="宋体" w:eastAsia="宋体" w:cs="宋体"/>
                <w:sz w:val="24"/>
                <w:szCs w:val="24"/>
              </w:rPr>
              <w:t>在本项目中，她负责市场调研与商业推广策略的制定，围绕果园、合作社、分选中心、品牌运营方和渠道采购方等目标客户开展需求分析，精准识别橙类产品在分级、验货、溯源和品牌表达中的核心痛点与决策逻辑。她致力于通过系统化的品牌传播与渠道拓展行动，提升项目的市场影响力与商业转化潜力，在实践中持续提升自身的综合业务水平。</w:t>
            </w:r>
          </w:p>
          <w:p w14:paraId="2B78A403">
            <w:pPr>
              <w:keepNext/>
              <w:wordWrap w:val="0"/>
              <w:snapToGrid w:val="0"/>
              <w:spacing w:line="279" w:lineRule="auto"/>
              <w:rPr>
                <w:rFonts w:hint="eastAsia" w:ascii="Cambria Math" w:hAnsi="Cambria Math" w:eastAsia="宋体" w:cs="宋体"/>
                <w:sz w:val="24"/>
                <w:szCs w:val="24"/>
                <w:oMath/>
              </w:rPr>
            </w:pPr>
          </w:p>
        </w:tc>
      </w:tr>
      <w:tr w14:paraId="380B631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12" w:space="0"/>
              <w:bottom w:val="nil"/>
              <w:right w:val="nil"/>
            </w:tcBorders>
            <w:tcMar>
              <w:top w:w="-1" w:type="dxa"/>
              <w:left w:w="-1" w:type="dxa"/>
              <w:bottom w:w="-1" w:type="dxa"/>
              <w:right w:w="-1" w:type="dxa"/>
            </w:tcMar>
          </w:tcPr>
          <w:p w14:paraId="774D99CD">
            <w:pPr>
              <w:keepNext/>
              <w:wordWrap w:val="0"/>
              <w:snapToGrid w:val="0"/>
              <w:spacing w:line="279" w:lineRule="auto"/>
              <w:rPr>
                <w:rFonts w:hint="eastAsia" w:ascii="宋体" w:hAnsi="宋体" w:eastAsia="宋体" w:cs="宋体"/>
                <w:bCs/>
                <w:sz w:val="24"/>
                <w:szCs w:val="24"/>
              </w:rPr>
            </w:pPr>
          </w:p>
          <w:p w14:paraId="77124FC5">
            <w:pPr>
              <w:keepNext/>
              <w:wordWrap w:val="0"/>
              <w:snapToGrid w:val="0"/>
              <w:spacing w:line="279" w:lineRule="auto"/>
              <w:rPr>
                <w:rFonts w:hint="eastAsia" w:ascii="Cambria Math" w:hAnsi="Cambria Math" w:eastAsia="宋体" w:cs="宋体"/>
                <w:sz w:val="24"/>
                <w:szCs w:val="24"/>
                <w:oMath/>
              </w:rPr>
            </w:pPr>
            <w:r>
              <w:rPr>
                <w:rFonts w:hint="eastAsia" w:ascii="宋体" w:hAnsi="宋体" w:eastAsia="宋体" w:cs="宋体"/>
                <w:bCs/>
                <w:sz w:val="24"/>
                <w:szCs w:val="24"/>
              </w:rPr>
              <w:drawing>
                <wp:inline distT="0" distB="0" distL="114300" distR="114300">
                  <wp:extent cx="1332230" cy="1776730"/>
                  <wp:effectExtent l="0" t="0" r="1270" b="1270"/>
                  <wp:docPr id="110" name="图片 110" descr="王喆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descr="王喆睿"/>
                          <pic:cNvPicPr>
                            <a:picLocks noChangeAspect="1"/>
                          </pic:cNvPicPr>
                        </pic:nvPicPr>
                        <pic:blipFill>
                          <a:blip r:embed="rId12"/>
                          <a:stretch>
                            <a:fillRect/>
                          </a:stretch>
                        </pic:blipFill>
                        <pic:spPr>
                          <a:xfrm>
                            <a:off x="0" y="0"/>
                            <a:ext cx="1332230" cy="1776730"/>
                          </a:xfrm>
                          <a:prstGeom prst="rect">
                            <a:avLst/>
                          </a:prstGeom>
                        </pic:spPr>
                      </pic:pic>
                    </a:graphicData>
                  </a:graphic>
                </wp:inline>
              </w:drawing>
            </w:r>
          </w:p>
        </w:tc>
        <w:tc>
          <w:tcPr>
            <w:tcW w:w="5766" w:type="dxa"/>
            <w:tcBorders>
              <w:top w:val="single" w:color="auto" w:sz="4" w:space="0"/>
              <w:left w:val="single" w:color="auto" w:sz="4" w:space="0"/>
              <w:bottom w:val="nil"/>
              <w:right w:val="single" w:color="auto" w:sz="12" w:space="0"/>
            </w:tcBorders>
            <w:tcMar>
              <w:top w:w="-1" w:type="dxa"/>
              <w:left w:w="-1" w:type="dxa"/>
              <w:bottom w:w="-1" w:type="dxa"/>
              <w:right w:w="-1" w:type="dxa"/>
            </w:tcMar>
          </w:tcPr>
          <w:p w14:paraId="148B33FA">
            <w:pPr>
              <w:rPr>
                <w:rFonts w:hint="eastAsia" w:ascii="宋体" w:hAnsi="宋体" w:eastAsia="宋体" w:cs="宋体"/>
                <w:sz w:val="24"/>
                <w:szCs w:val="24"/>
              </w:rPr>
            </w:pPr>
            <w:r>
              <w:rPr>
                <w:rFonts w:hint="eastAsia" w:ascii="宋体" w:hAnsi="宋体" w:eastAsia="宋体" w:cs="宋体"/>
                <w:sz w:val="24"/>
                <w:szCs w:val="24"/>
              </w:rPr>
              <w:t>王喆睿 — 技术部</w:t>
            </w:r>
          </w:p>
          <w:p w14:paraId="3B55B797">
            <w:pPr>
              <w:rPr>
                <w:rFonts w:hint="eastAsia" w:ascii="宋体" w:hAnsi="宋体" w:eastAsia="宋体" w:cs="宋体"/>
                <w:sz w:val="24"/>
                <w:szCs w:val="24"/>
              </w:rPr>
            </w:pPr>
            <w:r>
              <w:rPr>
                <w:rFonts w:hint="eastAsia" w:ascii="宋体" w:hAnsi="宋体" w:eastAsia="宋体" w:cs="宋体"/>
                <w:sz w:val="24"/>
                <w:szCs w:val="24"/>
              </w:rPr>
              <w:t>王喆睿具备较强的逻辑分析与算法实现能力，掌握 Python、C、C++ 等技术工具，适合承担模型调优与验证工作。在团队中，他主要负责底层算法优化、逻辑验证和模型稳健性测试，支撑等级识别与产地溯源精度提升。</w:t>
            </w:r>
          </w:p>
          <w:p w14:paraId="6270F76B">
            <w:pPr>
              <w:rPr>
                <w:rFonts w:hint="eastAsia" w:ascii="宋体" w:hAnsi="宋体" w:eastAsia="宋体" w:cs="宋体"/>
                <w:sz w:val="24"/>
                <w:szCs w:val="24"/>
              </w:rPr>
            </w:pPr>
            <w:r>
              <w:rPr>
                <w:rFonts w:hint="eastAsia" w:ascii="宋体" w:hAnsi="宋体" w:eastAsia="宋体" w:cs="宋体"/>
                <w:sz w:val="24"/>
                <w:szCs w:val="24"/>
              </w:rPr>
              <w:t>在本项目中，他主要负责底层算法的调优与逻辑验证工作，协助项目负责人提升高光谱数据在不同产地、不同批次橙类样本下的识别精度与模型稳健性。通过持续的技术实践与迭代测试，他致力于提升系统的技术深度，确保等级识别和产地溯源逻辑的严密性与科学性，为系统整体分析精度的提升做出贡献。</w:t>
            </w:r>
          </w:p>
          <w:p w14:paraId="22D09C5D">
            <w:pPr>
              <w:keepNext/>
              <w:wordWrap w:val="0"/>
              <w:snapToGrid w:val="0"/>
              <w:spacing w:line="279" w:lineRule="auto"/>
              <w:rPr>
                <w:rFonts w:hint="eastAsia" w:ascii="Cambria Math" w:hAnsi="Cambria Math" w:eastAsia="宋体" w:cs="宋体"/>
                <w:sz w:val="24"/>
                <w:szCs w:val="24"/>
                <w:oMath/>
              </w:rPr>
            </w:pPr>
          </w:p>
        </w:tc>
      </w:tr>
      <w:tr w14:paraId="1B7D05F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12" w:space="0"/>
              <w:bottom w:val="nil"/>
              <w:right w:val="nil"/>
            </w:tcBorders>
            <w:tcMar>
              <w:top w:w="-1" w:type="dxa"/>
              <w:left w:w="-1" w:type="dxa"/>
              <w:bottom w:w="-1" w:type="dxa"/>
              <w:right w:w="-1" w:type="dxa"/>
            </w:tcMar>
          </w:tcPr>
          <w:p w14:paraId="27E64CBE">
            <w:pPr>
              <w:keepNext/>
              <w:wordWrap w:val="0"/>
              <w:snapToGrid w:val="0"/>
              <w:spacing w:line="279" w:lineRule="auto"/>
              <w:rPr>
                <w:rFonts w:hint="eastAsia" w:ascii="宋体" w:hAnsi="宋体" w:eastAsia="宋体" w:cs="宋体"/>
                <w:bCs/>
                <w:sz w:val="24"/>
                <w:szCs w:val="24"/>
              </w:rPr>
            </w:pPr>
          </w:p>
          <w:p w14:paraId="491ADC81">
            <w:pPr>
              <w:keepNext/>
              <w:wordWrap w:val="0"/>
              <w:snapToGrid w:val="0"/>
              <w:spacing w:line="279" w:lineRule="auto"/>
              <w:rPr>
                <w:rFonts w:hint="eastAsia" w:ascii="宋体" w:hAnsi="宋体" w:eastAsia="宋体" w:cs="宋体"/>
                <w:bCs/>
                <w:sz w:val="24"/>
                <w:szCs w:val="24"/>
              </w:rPr>
            </w:pPr>
          </w:p>
          <w:p w14:paraId="268A25A5">
            <w:pPr>
              <w:keepNext/>
              <w:wordWrap w:val="0"/>
              <w:snapToGrid w:val="0"/>
              <w:spacing w:line="279" w:lineRule="auto"/>
              <w:rPr>
                <w:rFonts w:hint="eastAsia" w:ascii="Cambria Math" w:hAnsi="Cambria Math" w:eastAsia="宋体" w:cs="宋体"/>
                <w:sz w:val="24"/>
                <w:szCs w:val="24"/>
                <w:oMath/>
              </w:rPr>
            </w:pPr>
            <w:r>
              <w:rPr>
                <w:rFonts w:hint="eastAsia" w:ascii="宋体" w:hAnsi="宋体" w:eastAsia="宋体" w:cs="宋体"/>
                <w:bCs/>
                <w:sz w:val="24"/>
                <w:szCs w:val="24"/>
              </w:rPr>
              <w:drawing>
                <wp:inline distT="0" distB="0" distL="114300" distR="114300">
                  <wp:extent cx="1327785" cy="1895475"/>
                  <wp:effectExtent l="0" t="0" r="5715" b="9525"/>
                  <wp:docPr id="111" name="图片 111" descr="刘东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descr="刘东森"/>
                          <pic:cNvPicPr>
                            <a:picLocks noChangeAspect="1"/>
                          </pic:cNvPicPr>
                        </pic:nvPicPr>
                        <pic:blipFill>
                          <a:blip r:embed="rId13"/>
                          <a:stretch>
                            <a:fillRect/>
                          </a:stretch>
                        </pic:blipFill>
                        <pic:spPr>
                          <a:xfrm>
                            <a:off x="0" y="0"/>
                            <a:ext cx="1327785" cy="1895475"/>
                          </a:xfrm>
                          <a:prstGeom prst="rect">
                            <a:avLst/>
                          </a:prstGeom>
                        </pic:spPr>
                      </pic:pic>
                    </a:graphicData>
                  </a:graphic>
                </wp:inline>
              </w:drawing>
            </w:r>
          </w:p>
        </w:tc>
        <w:tc>
          <w:tcPr>
            <w:tcW w:w="5766" w:type="dxa"/>
            <w:tcBorders>
              <w:top w:val="single" w:color="auto" w:sz="4" w:space="0"/>
              <w:left w:val="single" w:color="auto" w:sz="4" w:space="0"/>
              <w:bottom w:val="nil"/>
              <w:right w:val="single" w:color="auto" w:sz="12" w:space="0"/>
            </w:tcBorders>
            <w:tcMar>
              <w:top w:w="-1" w:type="dxa"/>
              <w:left w:w="-1" w:type="dxa"/>
              <w:bottom w:w="-1" w:type="dxa"/>
              <w:right w:w="-1" w:type="dxa"/>
            </w:tcMar>
          </w:tcPr>
          <w:p w14:paraId="1CD2EA2F">
            <w:pPr>
              <w:rPr>
                <w:rFonts w:hint="eastAsia" w:ascii="宋体" w:hAnsi="宋体" w:eastAsia="宋体" w:cs="宋体"/>
                <w:sz w:val="24"/>
                <w:szCs w:val="24"/>
              </w:rPr>
            </w:pPr>
            <w:r>
              <w:rPr>
                <w:rFonts w:hint="eastAsia" w:ascii="宋体" w:hAnsi="宋体" w:eastAsia="宋体" w:cs="宋体"/>
                <w:sz w:val="24"/>
                <w:szCs w:val="24"/>
              </w:rPr>
              <w:t>刘东森 — 行政部</w:t>
            </w:r>
          </w:p>
          <w:p w14:paraId="626ECC3D">
            <w:pPr>
              <w:rPr>
                <w:rFonts w:hint="eastAsia" w:ascii="宋体" w:hAnsi="宋体" w:eastAsia="宋体" w:cs="宋体"/>
                <w:sz w:val="24"/>
                <w:szCs w:val="24"/>
              </w:rPr>
            </w:pPr>
            <w:r>
              <w:rPr>
                <w:rFonts w:hint="eastAsia" w:ascii="宋体" w:hAnsi="宋体" w:eastAsia="宋体" w:cs="宋体"/>
                <w:sz w:val="24"/>
                <w:szCs w:val="24"/>
              </w:rPr>
              <w:t>刘东森在项目组织、材料整理和流程把控方面承担关键支撑角色，能够持续跟踪任务进度并协调团队协作。在团队中，他主要负责日常运营管理、节点推进、申报材料整理和展示材料审核，保障项目推进节奏和文档质量。</w:t>
            </w:r>
          </w:p>
          <w:p w14:paraId="4F9E1EB8">
            <w:pPr>
              <w:rPr>
                <w:rFonts w:hint="eastAsia" w:ascii="宋体" w:hAnsi="宋体" w:eastAsia="宋体" w:cs="宋体"/>
                <w:sz w:val="24"/>
                <w:szCs w:val="24"/>
              </w:rPr>
            </w:pPr>
            <w:r>
              <w:rPr>
                <w:rFonts w:hint="eastAsia" w:ascii="宋体" w:hAnsi="宋体" w:eastAsia="宋体" w:cs="宋体"/>
                <w:sz w:val="24"/>
                <w:szCs w:val="24"/>
              </w:rPr>
              <w:t>在本项目中，他负责团队的日常运营管理、项目进度跟踪及文档质量把控，协调各部门间的沟通协作，确保信息传递畅通、任务推进有序。通过精准的流程管理与细致的行政支持，他致力于保障橙源智鉴项目按计划节点稳步推进，同时负责各类申报材料、试点文档和对外展示材料的规范整理与质量审核，为项目落地与竞赛评审提供有力支撑。</w:t>
            </w:r>
          </w:p>
          <w:p w14:paraId="000D5B87">
            <w:pPr>
              <w:keepNext/>
              <w:wordWrap w:val="0"/>
              <w:snapToGrid w:val="0"/>
              <w:spacing w:line="279" w:lineRule="auto"/>
              <w:rPr>
                <w:rFonts w:hint="eastAsia" w:ascii="Cambria Math" w:hAnsi="Cambria Math" w:eastAsia="宋体" w:cs="宋体"/>
                <w:sz w:val="24"/>
                <w:szCs w:val="24"/>
                <w:oMath/>
              </w:rPr>
            </w:pPr>
          </w:p>
        </w:tc>
      </w:tr>
      <w:tr w14:paraId="578BE99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756" w:type="dxa"/>
            <w:tcBorders>
              <w:top w:val="single" w:color="auto" w:sz="4" w:space="0"/>
              <w:left w:val="single" w:color="auto" w:sz="12" w:space="0"/>
              <w:bottom w:val="single" w:color="auto" w:sz="12" w:space="0"/>
              <w:right w:val="nil"/>
            </w:tcBorders>
            <w:tcMar>
              <w:top w:w="-1" w:type="dxa"/>
              <w:left w:w="-1" w:type="dxa"/>
              <w:bottom w:w="-1" w:type="dxa"/>
              <w:right w:w="-1" w:type="dxa"/>
            </w:tcMar>
          </w:tcPr>
          <w:p w14:paraId="265B7A61">
            <w:pPr>
              <w:keepNext/>
              <w:wordWrap w:val="0"/>
              <w:snapToGrid w:val="0"/>
              <w:spacing w:line="279" w:lineRule="auto"/>
              <w:rPr>
                <w:rFonts w:hint="eastAsia" w:ascii="宋体" w:hAnsi="宋体" w:eastAsia="宋体" w:cs="宋体"/>
                <w:bCs/>
                <w:sz w:val="24"/>
                <w:szCs w:val="24"/>
              </w:rPr>
            </w:pPr>
          </w:p>
          <w:p w14:paraId="1E729695">
            <w:pPr>
              <w:keepNext/>
              <w:wordWrap w:val="0"/>
              <w:snapToGrid w:val="0"/>
              <w:spacing w:line="279" w:lineRule="auto"/>
              <w:rPr>
                <w:rFonts w:hint="eastAsia" w:ascii="Cambria Math" w:hAnsi="Cambria Math" w:eastAsia="宋体" w:cs="宋体"/>
                <w:sz w:val="24"/>
                <w:szCs w:val="24"/>
                <w:oMath/>
              </w:rPr>
            </w:pPr>
            <w:r>
              <w:rPr>
                <w:rFonts w:hint="eastAsia" w:ascii="宋体" w:hAnsi="宋体" w:eastAsia="宋体" w:cs="宋体"/>
                <w:bCs/>
                <w:sz w:val="24"/>
                <w:szCs w:val="24"/>
              </w:rPr>
              <w:drawing>
                <wp:inline distT="0" distB="0" distL="114300" distR="114300">
                  <wp:extent cx="1330325" cy="1670050"/>
                  <wp:effectExtent l="0" t="0" r="3175" b="6350"/>
                  <wp:docPr id="112" name="图片 112" descr="饶李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descr="饶李充"/>
                          <pic:cNvPicPr>
                            <a:picLocks noChangeAspect="1"/>
                          </pic:cNvPicPr>
                        </pic:nvPicPr>
                        <pic:blipFill>
                          <a:blip r:embed="rId14"/>
                          <a:stretch>
                            <a:fillRect/>
                          </a:stretch>
                        </pic:blipFill>
                        <pic:spPr>
                          <a:xfrm>
                            <a:off x="0" y="0"/>
                            <a:ext cx="1330325" cy="1670050"/>
                          </a:xfrm>
                          <a:prstGeom prst="rect">
                            <a:avLst/>
                          </a:prstGeom>
                        </pic:spPr>
                      </pic:pic>
                    </a:graphicData>
                  </a:graphic>
                </wp:inline>
              </w:drawing>
            </w:r>
          </w:p>
        </w:tc>
        <w:tc>
          <w:tcPr>
            <w:tcW w:w="5766" w:type="dxa"/>
            <w:tcBorders>
              <w:top w:val="single" w:color="auto" w:sz="4" w:space="0"/>
              <w:left w:val="single" w:color="auto" w:sz="4" w:space="0"/>
              <w:bottom w:val="single" w:color="auto" w:sz="12" w:space="0"/>
              <w:right w:val="single" w:color="auto" w:sz="12" w:space="0"/>
            </w:tcBorders>
            <w:tcMar>
              <w:top w:w="-1" w:type="dxa"/>
              <w:left w:w="-1" w:type="dxa"/>
              <w:bottom w:w="-1" w:type="dxa"/>
              <w:right w:w="-1" w:type="dxa"/>
            </w:tcMar>
          </w:tcPr>
          <w:p w14:paraId="2D07A693">
            <w:pPr>
              <w:rPr>
                <w:rFonts w:hint="eastAsia" w:ascii="宋体" w:hAnsi="宋体" w:eastAsia="宋体" w:cs="宋体"/>
                <w:sz w:val="24"/>
                <w:szCs w:val="24"/>
              </w:rPr>
            </w:pPr>
            <w:r>
              <w:rPr>
                <w:rFonts w:hint="eastAsia" w:ascii="宋体" w:hAnsi="宋体" w:eastAsia="宋体" w:cs="宋体"/>
                <w:sz w:val="24"/>
                <w:szCs w:val="24"/>
              </w:rPr>
              <w:t>饶李充 — 财务部</w:t>
            </w:r>
          </w:p>
          <w:p w14:paraId="198E2414">
            <w:pPr>
              <w:rPr>
                <w:rFonts w:hint="eastAsia" w:ascii="宋体" w:hAnsi="宋体" w:eastAsia="宋体" w:cs="宋体"/>
                <w:sz w:val="24"/>
                <w:szCs w:val="24"/>
              </w:rPr>
            </w:pPr>
            <w:r>
              <w:rPr>
                <w:rFonts w:hint="eastAsia" w:ascii="宋体" w:hAnsi="宋体" w:eastAsia="宋体" w:cs="宋体"/>
                <w:sz w:val="24"/>
                <w:szCs w:val="24"/>
              </w:rPr>
              <w:t>饶李充负责项目财务规划、成本控制和资源对接工作，兼具基础数据处理与执行协调能力。在团队中，他围绕样本采集、理化标定、平台运维和试点实施推进经费精细化管理，为项目竞赛申报和后续试点提供资金安排支持。</w:t>
            </w:r>
          </w:p>
          <w:p w14:paraId="7D0AE276">
            <w:pPr>
              <w:rPr>
                <w:rFonts w:hint="eastAsia" w:ascii="宋体" w:hAnsi="宋体" w:eastAsia="宋体" w:cs="宋体"/>
                <w:sz w:val="24"/>
                <w:szCs w:val="24"/>
              </w:rPr>
            </w:pPr>
            <w:r>
              <w:rPr>
                <w:rFonts w:hint="eastAsia" w:ascii="宋体" w:hAnsi="宋体" w:eastAsia="宋体" w:cs="宋体"/>
                <w:sz w:val="24"/>
                <w:szCs w:val="24"/>
              </w:rPr>
              <w:t>在本项目中，他负责项目的财务规划、成本控制及资源对接工作，围绕样本采集、理化标定、平台运维和试点实施等环节推进经费的精细化管理，有效提升财务工作效率与数据透明度。他秉持热心学习的态度，通过保障项目研发与试点资金的高效运作，协助团队完成竞赛申报、样本补强和后续落地所需的资金准备工作。</w:t>
            </w:r>
          </w:p>
          <w:p w14:paraId="259EC8D9">
            <w:pPr>
              <w:keepNext/>
              <w:wordWrap w:val="0"/>
              <w:snapToGrid w:val="0"/>
              <w:spacing w:line="279" w:lineRule="auto"/>
              <w:rPr>
                <w:rFonts w:hint="eastAsia" w:ascii="Cambria Math" w:hAnsi="Cambria Math" w:eastAsia="宋体" w:cs="宋体"/>
                <w:sz w:val="24"/>
                <w:szCs w:val="24"/>
                <w:oMath/>
              </w:rPr>
            </w:pPr>
          </w:p>
        </w:tc>
      </w:tr>
    </w:tbl>
    <w:p w14:paraId="2D8D7856">
      <w:pPr>
        <w:pStyle w:val="3"/>
        <w:rPr>
          <w:rFonts w:hint="eastAsia" w:ascii="宋体" w:hAnsi="宋体" w:eastAsia="宋体" w:cs="宋体"/>
          <w:sz w:val="24"/>
          <w:szCs w:val="24"/>
        </w:rPr>
      </w:pPr>
      <w:bookmarkStart w:id="11" w:name="_Toc43"/>
      <w:bookmarkStart w:id="12" w:name="_Toc226486246"/>
      <w:bookmarkStart w:id="13" w:name="_Toc22083"/>
      <w:r>
        <w:rPr>
          <w:rFonts w:hint="eastAsia" w:ascii="宋体" w:hAnsi="宋体" w:eastAsia="宋体" w:cs="宋体"/>
          <w:sz w:val="24"/>
          <w:szCs w:val="24"/>
          <w:lang w:val="en-US" w:eastAsia="zh-CN"/>
        </w:rPr>
        <w:t>7</w:t>
      </w:r>
      <w:r>
        <w:rPr>
          <w:rFonts w:hint="eastAsia" w:ascii="宋体" w:hAnsi="宋体" w:eastAsia="宋体" w:cs="宋体"/>
          <w:sz w:val="24"/>
          <w:szCs w:val="24"/>
        </w:rPr>
        <w:t>.4 团队核心优势</w:t>
      </w:r>
      <w:bookmarkEnd w:id="11"/>
      <w:bookmarkEnd w:id="12"/>
      <w:bookmarkEnd w:id="13"/>
    </w:p>
    <w:p w14:paraId="274E4858">
      <w:pPr>
        <w:rPr>
          <w:rFonts w:hint="eastAsia" w:ascii="宋体" w:hAnsi="宋体" w:eastAsia="宋体" w:cs="宋体"/>
          <w:sz w:val="24"/>
          <w:szCs w:val="24"/>
        </w:rPr>
      </w:pPr>
      <w:bookmarkStart w:id="14" w:name="_Toc5846"/>
      <w:r>
        <w:rPr>
          <w:rFonts w:hint="eastAsia" w:ascii="宋体" w:hAnsi="宋体" w:eastAsia="宋体" w:cs="宋体"/>
          <w:sz w:val="24"/>
          <w:szCs w:val="24"/>
        </w:rPr>
        <w:t>（1）专业互补，能力全覆盖</w:t>
      </w:r>
      <w:bookmarkEnd w:id="14"/>
    </w:p>
    <w:p w14:paraId="013A2E4A">
      <w:pPr>
        <w:rPr>
          <w:rFonts w:hint="eastAsia" w:ascii="宋体" w:hAnsi="宋体" w:eastAsia="宋体" w:cs="宋体"/>
          <w:sz w:val="24"/>
          <w:szCs w:val="24"/>
        </w:rPr>
      </w:pPr>
      <w:r>
        <w:rPr>
          <w:rFonts w:hint="eastAsia" w:ascii="宋体" w:hAnsi="宋体" w:eastAsia="宋体" w:cs="宋体"/>
          <w:sz w:val="24"/>
          <w:szCs w:val="24"/>
        </w:rPr>
        <w:t>团队的最大优势是分工贴着项目走。技术成员负责样本处理、模型训练和平台开发，市场成员负责客户调研和推广路径，财务与行政成员负责预算、申报和过程管理，整支队伍能够把研发、交付和竞赛材料同步推进，而不是各做一段。</w:t>
      </w:r>
    </w:p>
    <w:p w14:paraId="300E89F3">
      <w:pPr>
        <w:rPr>
          <w:rFonts w:hint="eastAsia" w:ascii="宋体" w:hAnsi="宋体" w:eastAsia="宋体" w:cs="宋体"/>
          <w:sz w:val="24"/>
          <w:szCs w:val="24"/>
        </w:rPr>
      </w:pPr>
      <w:bookmarkStart w:id="15" w:name="_Toc13392"/>
      <w:r>
        <w:rPr>
          <w:rFonts w:hint="eastAsia" w:ascii="宋体" w:hAnsi="宋体" w:eastAsia="宋体" w:cs="宋体"/>
          <w:sz w:val="24"/>
          <w:szCs w:val="24"/>
        </w:rPr>
        <w:t>（2）产学研融合，技术支撑坚实</w:t>
      </w:r>
      <w:bookmarkEnd w:id="15"/>
    </w:p>
    <w:p w14:paraId="38CF0A8B">
      <w:pPr>
        <w:rPr>
          <w:rFonts w:hint="eastAsia" w:ascii="宋体" w:hAnsi="宋体" w:eastAsia="宋体" w:cs="宋体"/>
          <w:sz w:val="24"/>
          <w:szCs w:val="24"/>
        </w:rPr>
      </w:pPr>
      <w:r>
        <w:rPr>
          <w:rFonts w:hint="eastAsia" w:ascii="宋体" w:hAnsi="宋体" w:eastAsia="宋体" w:cs="宋体"/>
          <w:sz w:val="24"/>
          <w:szCs w:val="24"/>
        </w:rPr>
        <w:t>团队依托海南师范大学的实验室、师资和孵化资源推进项目，既有算法与系统方向的专业指导，也有商业化和区域合作方向的外部支持。对于需要同时兼顾技术深度和竞赛落地的项目而言，这种资源结构能显著提高推进效率。</w:t>
      </w:r>
    </w:p>
    <w:p w14:paraId="79D43E9D">
      <w:pPr>
        <w:rPr>
          <w:rFonts w:hint="eastAsia" w:ascii="宋体" w:hAnsi="宋体" w:eastAsia="宋体" w:cs="宋体"/>
          <w:sz w:val="24"/>
          <w:szCs w:val="24"/>
        </w:rPr>
      </w:pPr>
      <w:bookmarkStart w:id="16" w:name="_Toc31087"/>
      <w:r>
        <w:rPr>
          <w:rFonts w:hint="eastAsia" w:ascii="宋体" w:hAnsi="宋体" w:eastAsia="宋体" w:cs="宋体"/>
          <w:sz w:val="24"/>
          <w:szCs w:val="24"/>
        </w:rPr>
        <w:t>（3）实战经验丰富，创新能力突出</w:t>
      </w:r>
      <w:bookmarkEnd w:id="16"/>
    </w:p>
    <w:p w14:paraId="5E72F389">
      <w:pPr>
        <w:rPr>
          <w:rFonts w:hint="eastAsia" w:ascii="宋体" w:hAnsi="宋体" w:eastAsia="宋体" w:cs="宋体"/>
          <w:sz w:val="24"/>
          <w:szCs w:val="24"/>
        </w:rPr>
      </w:pPr>
      <w:r>
        <w:rPr>
          <w:rFonts w:hint="eastAsia" w:ascii="宋体" w:hAnsi="宋体" w:eastAsia="宋体" w:cs="宋体"/>
          <w:sz w:val="24"/>
          <w:szCs w:val="24"/>
        </w:rPr>
        <w:t>团队成员既有学科竞赛积累，也有工程开发和项目协作经验，能够把抽象需求快速转成页面、模型、报告和展示材料。对竞赛项目来说，这种“边做边交付”的能力比单纯获奖经历更关键。</w:t>
      </w:r>
    </w:p>
    <w:p w14:paraId="7AF5BB30">
      <w:pPr>
        <w:rPr>
          <w:rFonts w:hint="eastAsia" w:ascii="宋体" w:hAnsi="宋体" w:eastAsia="宋体" w:cs="宋体"/>
          <w:sz w:val="24"/>
          <w:szCs w:val="24"/>
        </w:rPr>
      </w:pPr>
      <w:bookmarkStart w:id="17" w:name="_Toc29790"/>
      <w:r>
        <w:rPr>
          <w:rFonts w:hint="eastAsia" w:ascii="宋体" w:hAnsi="宋体" w:eastAsia="宋体" w:cs="宋体"/>
          <w:sz w:val="24"/>
          <w:szCs w:val="24"/>
        </w:rPr>
        <w:t>（4）深耕本土，贴合市场需求</w:t>
      </w:r>
      <w:bookmarkEnd w:id="17"/>
    </w:p>
    <w:p w14:paraId="401B1A45">
      <w:pPr>
        <w:rPr>
          <w:rFonts w:hint="eastAsia" w:ascii="宋体" w:hAnsi="宋体" w:eastAsia="宋体" w:cs="宋体"/>
          <w:sz w:val="24"/>
          <w:szCs w:val="24"/>
        </w:rPr>
      </w:pPr>
      <w:r>
        <w:rPr>
          <w:rFonts w:hint="eastAsia" w:ascii="宋体" w:hAnsi="宋体" w:eastAsia="宋体" w:cs="宋体"/>
          <w:sz w:val="24"/>
          <w:szCs w:val="24"/>
        </w:rPr>
        <w:t>团队长期围绕海南本地特色果品场景推进项目，对澄迈福橙、琼中绿橙等对象的产业诉求、样本特点和场景需求更熟悉。项目因此不是脱离产业环境的技术拼装，而是贴着本地应用问题生长出来的。</w:t>
      </w:r>
    </w:p>
    <w:p w14:paraId="178A5C18">
      <w:pPr>
        <w:pStyle w:val="9"/>
        <w:widowControl/>
        <w:spacing w:before="240" w:beforeAutospacing="0" w:after="160" w:afterAutospacing="0" w:line="400" w:lineRule="auto"/>
        <w:rPr>
          <w:rFonts w:hint="eastAsia" w:ascii="宋体" w:hAnsi="宋体" w:eastAsia="宋体" w:cs="宋体"/>
          <w:b/>
          <w:color w:val="000000"/>
          <w:sz w:val="24"/>
          <w:szCs w:val="24"/>
        </w:rPr>
      </w:pPr>
      <w:r>
        <w:rPr>
          <w:rFonts w:hint="eastAsia" w:ascii="宋体" w:hAnsi="宋体" w:eastAsia="宋体" w:cs="宋体"/>
          <w:b/>
          <w:color w:val="000000"/>
          <w:sz w:val="24"/>
          <w:szCs w:val="24"/>
        </w:rPr>
        <w:t>附录</w:t>
      </w:r>
    </w:p>
    <w:p w14:paraId="4DAFBB51">
      <w:pPr>
        <w:pStyle w:val="9"/>
        <w:widowControl/>
        <w:spacing w:before="160" w:beforeAutospacing="0" w:after="120" w:afterAutospacing="0" w:line="360" w:lineRule="auto"/>
        <w:rPr>
          <w:rFonts w:hint="eastAsia" w:ascii="宋体" w:hAnsi="宋体" w:eastAsia="宋体" w:cs="宋体"/>
          <w:b/>
          <w:color w:val="000000"/>
          <w:sz w:val="24"/>
          <w:szCs w:val="24"/>
        </w:rPr>
      </w:pPr>
      <w:r>
        <w:rPr>
          <w:rFonts w:hint="eastAsia" w:ascii="宋体" w:hAnsi="宋体" w:eastAsia="宋体" w:cs="宋体"/>
          <w:b/>
          <w:color w:val="000000"/>
          <w:sz w:val="24"/>
          <w:szCs w:val="24"/>
        </w:rPr>
        <w:t>附录 A：数据集说明与样本统计</w:t>
      </w:r>
    </w:p>
    <w:p w14:paraId="679A4445">
      <w:pPr>
        <w:pStyle w:val="9"/>
        <w:widowControl/>
        <w:spacing w:beforeAutospacing="0" w:after="60" w:afterAutospacing="0" w:line="400" w:lineRule="auto"/>
        <w:jc w:val="both"/>
        <w:rPr>
          <w:rFonts w:hint="eastAsia" w:ascii="宋体" w:hAnsi="宋体" w:eastAsia="宋体" w:cs="宋体"/>
          <w:color w:val="000000"/>
          <w:sz w:val="24"/>
          <w:szCs w:val="24"/>
        </w:rPr>
      </w:pPr>
      <w:r>
        <w:rPr>
          <w:rFonts w:hint="eastAsia" w:ascii="宋体" w:hAnsi="宋体" w:eastAsia="宋体" w:cs="宋体"/>
          <w:color w:val="000000"/>
          <w:sz w:val="24"/>
          <w:szCs w:val="24"/>
        </w:rPr>
        <w:t>​（1）样本来源：</w:t>
      </w:r>
    </w:p>
    <w:p w14:paraId="59BC3DC8">
      <w:pPr>
        <w:pStyle w:val="9"/>
        <w:widowControl/>
        <w:spacing w:beforeAutospacing="0" w:after="60" w:afterAutospacing="0" w:line="400" w:lineRule="auto"/>
        <w:ind w:firstLine="480"/>
        <w:jc w:val="both"/>
        <w:rPr>
          <w:rFonts w:hint="eastAsia" w:ascii="宋体" w:hAnsi="宋体" w:eastAsia="宋体" w:cs="宋体"/>
          <w:color w:val="000000"/>
          <w:sz w:val="24"/>
          <w:szCs w:val="24"/>
        </w:rPr>
      </w:pPr>
      <w:r>
        <w:rPr>
          <w:rFonts w:hint="eastAsia" w:ascii="宋体" w:hAnsi="宋体" w:eastAsia="宋体" w:cs="宋体"/>
          <w:color w:val="000000"/>
          <w:sz w:val="24"/>
          <w:szCs w:val="24"/>
        </w:rPr>
        <w:t>澄迈福橙（CM）：120 个样本，采集于澄迈县福山橙种植基地，采摘时间 2025 年 11-12 月</w:t>
      </w:r>
    </w:p>
    <w:p w14:paraId="0DEDB96C">
      <w:pPr>
        <w:pStyle w:val="9"/>
        <w:widowControl/>
        <w:spacing w:beforeAutospacing="0" w:after="60" w:afterAutospacing="0" w:line="400" w:lineRule="auto"/>
        <w:ind w:firstLine="480"/>
        <w:jc w:val="both"/>
        <w:rPr>
          <w:rFonts w:hint="eastAsia" w:ascii="宋体" w:hAnsi="宋体" w:eastAsia="宋体" w:cs="宋体"/>
          <w:color w:val="000000"/>
          <w:sz w:val="24"/>
          <w:szCs w:val="24"/>
        </w:rPr>
      </w:pPr>
      <w:r>
        <w:rPr>
          <w:rFonts w:hint="eastAsia" w:ascii="宋体" w:hAnsi="宋体" w:eastAsia="宋体" w:cs="宋体"/>
          <w:color w:val="000000"/>
          <w:sz w:val="24"/>
          <w:szCs w:val="24"/>
        </w:rPr>
        <w:t>琼中绿橙（QZ）：100 个样本，采集于琼中县绿橙种植基地，采摘时间 2025 年 11-12 月</w:t>
      </w:r>
    </w:p>
    <w:p w14:paraId="4AE1097B">
      <w:pPr>
        <w:pStyle w:val="9"/>
        <w:widowControl/>
        <w:spacing w:beforeAutospacing="0" w:after="60" w:afterAutospacing="0" w:line="400" w:lineRule="auto"/>
        <w:ind w:firstLine="480"/>
        <w:jc w:val="both"/>
        <w:rPr>
          <w:rFonts w:hint="eastAsia" w:ascii="宋体" w:hAnsi="宋体" w:eastAsia="宋体" w:cs="宋体"/>
          <w:color w:val="000000"/>
          <w:sz w:val="24"/>
          <w:szCs w:val="24"/>
        </w:rPr>
      </w:pPr>
      <w:r>
        <w:rPr>
          <w:rFonts w:hint="eastAsia" w:ascii="宋体" w:hAnsi="宋体" w:eastAsia="宋体" w:cs="宋体"/>
          <w:color w:val="000000"/>
          <w:sz w:val="24"/>
          <w:szCs w:val="24"/>
        </w:rPr>
        <w:t>总计：220 个样本</w:t>
      </w:r>
    </w:p>
    <w:p w14:paraId="6FE32769">
      <w:pPr>
        <w:pStyle w:val="9"/>
        <w:widowControl/>
        <w:spacing w:beforeAutospacing="0" w:after="60" w:afterAutospacing="0" w:line="400" w:lineRule="auto"/>
        <w:jc w:val="both"/>
        <w:rPr>
          <w:rFonts w:hint="eastAsia" w:ascii="宋体" w:hAnsi="宋体" w:eastAsia="宋体" w:cs="宋体"/>
          <w:color w:val="000000"/>
          <w:sz w:val="24"/>
          <w:szCs w:val="24"/>
        </w:rPr>
      </w:pPr>
      <w:r>
        <w:rPr>
          <w:rFonts w:hint="eastAsia" w:ascii="宋体" w:hAnsi="宋体" w:eastAsia="宋体" w:cs="宋体"/>
          <w:color w:val="000000"/>
          <w:sz w:val="24"/>
          <w:szCs w:val="24"/>
        </w:rPr>
        <w:t>​（2）样本分布：</w:t>
      </w:r>
    </w:p>
    <w:p w14:paraId="77CF90B2">
      <w:pPr>
        <w:pStyle w:val="9"/>
        <w:widowControl/>
        <w:spacing w:beforeAutospacing="0" w:after="60" w:afterAutospacing="0" w:line="400" w:lineRule="auto"/>
        <w:ind w:firstLine="480"/>
        <w:jc w:val="both"/>
        <w:rPr>
          <w:rFonts w:hint="eastAsia" w:ascii="宋体" w:hAnsi="宋体" w:eastAsia="宋体" w:cs="宋体"/>
          <w:color w:val="000000"/>
          <w:sz w:val="24"/>
          <w:szCs w:val="24"/>
        </w:rPr>
      </w:pPr>
      <w:r>
        <w:rPr>
          <w:rFonts w:hint="eastAsia" w:ascii="宋体" w:hAnsi="宋体" w:eastAsia="宋体" w:cs="宋体"/>
          <w:color w:val="000000"/>
          <w:sz w:val="24"/>
          <w:szCs w:val="24"/>
        </w:rPr>
        <w:t>训练集：176 个样本（80%）</w:t>
      </w:r>
    </w:p>
    <w:p w14:paraId="054D233F">
      <w:pPr>
        <w:pStyle w:val="9"/>
        <w:widowControl/>
        <w:spacing w:beforeAutospacing="0" w:after="60" w:afterAutospacing="0" w:line="400" w:lineRule="auto"/>
        <w:ind w:firstLine="480"/>
        <w:jc w:val="both"/>
        <w:rPr>
          <w:rFonts w:hint="eastAsia" w:ascii="宋体" w:hAnsi="宋体" w:eastAsia="宋体" w:cs="宋体"/>
          <w:color w:val="000000"/>
          <w:sz w:val="24"/>
          <w:szCs w:val="24"/>
        </w:rPr>
      </w:pPr>
      <w:r>
        <w:rPr>
          <w:rFonts w:hint="eastAsia" w:ascii="宋体" w:hAnsi="宋体" w:eastAsia="宋体" w:cs="宋体"/>
          <w:color w:val="000000"/>
          <w:sz w:val="24"/>
          <w:szCs w:val="24"/>
        </w:rPr>
        <w:t>测试集：44 个样本（20%）</w:t>
      </w:r>
    </w:p>
    <w:p w14:paraId="493FDC7F">
      <w:pPr>
        <w:pStyle w:val="9"/>
        <w:widowControl/>
        <w:spacing w:beforeAutospacing="0" w:after="60" w:afterAutospacing="0" w:line="400" w:lineRule="auto"/>
        <w:ind w:firstLine="480"/>
        <w:jc w:val="both"/>
        <w:rPr>
          <w:rFonts w:hint="eastAsia" w:ascii="宋体" w:hAnsi="宋体" w:eastAsia="宋体" w:cs="宋体"/>
          <w:color w:val="000000"/>
          <w:sz w:val="24"/>
          <w:szCs w:val="24"/>
        </w:rPr>
      </w:pPr>
      <w:r>
        <w:rPr>
          <w:rFonts w:hint="eastAsia" w:ascii="宋体" w:hAnsi="宋体" w:eastAsia="宋体" w:cs="宋体"/>
          <w:color w:val="000000"/>
          <w:sz w:val="24"/>
          <w:szCs w:val="24"/>
        </w:rPr>
        <w:t>澄迈：琼中 = 120:100 ≈ 6:5（接近自然分布）</w:t>
      </w:r>
    </w:p>
    <w:p w14:paraId="674777DC">
      <w:pPr>
        <w:pStyle w:val="9"/>
        <w:widowControl/>
        <w:spacing w:beforeAutospacing="0" w:after="60" w:afterAutospacing="0" w:line="400" w:lineRule="auto"/>
        <w:jc w:val="both"/>
        <w:rPr>
          <w:rFonts w:hint="eastAsia" w:ascii="宋体" w:hAnsi="宋体" w:eastAsia="宋体" w:cs="宋体"/>
          <w:color w:val="000000"/>
          <w:sz w:val="24"/>
          <w:szCs w:val="24"/>
        </w:rPr>
      </w:pPr>
      <w:r>
        <w:rPr>
          <w:rFonts w:hint="eastAsia" w:ascii="宋体" w:hAnsi="宋体" w:eastAsia="宋体" w:cs="宋体"/>
          <w:color w:val="000000"/>
          <w:sz w:val="24"/>
          <w:szCs w:val="24"/>
        </w:rPr>
        <w:t>​（3）理化指标统计：</w:t>
      </w:r>
    </w:p>
    <w:p w14:paraId="45F5149F">
      <w:pPr>
        <w:pStyle w:val="9"/>
        <w:widowControl/>
        <w:spacing w:beforeAutospacing="0" w:after="60" w:afterAutospacing="0" w:line="400" w:lineRule="auto"/>
        <w:ind w:firstLine="480"/>
        <w:jc w:val="both"/>
        <w:rPr>
          <w:rFonts w:hint="eastAsia" w:ascii="宋体" w:hAnsi="宋体" w:eastAsia="宋体" w:cs="宋体"/>
          <w:color w:val="000000"/>
          <w:sz w:val="24"/>
          <w:szCs w:val="24"/>
        </w:rPr>
      </w:pPr>
      <w:r>
        <w:rPr>
          <w:rFonts w:hint="eastAsia" w:ascii="宋体" w:hAnsi="宋体" w:eastAsia="宋体" w:cs="宋体"/>
          <w:color w:val="000000"/>
          <w:sz w:val="24"/>
          <w:szCs w:val="24"/>
        </w:rPr>
        <w:t>糖度：范围 10.2-15.8Brix，均值 13.1Brix，标准差 1.2Brix</w:t>
      </w:r>
    </w:p>
    <w:p w14:paraId="3647FB8A">
      <w:pPr>
        <w:pStyle w:val="9"/>
        <w:widowControl/>
        <w:spacing w:beforeAutospacing="0" w:after="60" w:afterAutospacing="0" w:line="400" w:lineRule="auto"/>
        <w:ind w:firstLine="480"/>
        <w:jc w:val="both"/>
        <w:rPr>
          <w:rFonts w:hint="eastAsia" w:ascii="宋体" w:hAnsi="宋体" w:eastAsia="宋体" w:cs="宋体"/>
          <w:color w:val="000000"/>
          <w:sz w:val="24"/>
          <w:szCs w:val="24"/>
        </w:rPr>
      </w:pPr>
      <w:r>
        <w:rPr>
          <w:rFonts w:hint="eastAsia" w:ascii="宋体" w:hAnsi="宋体" w:eastAsia="宋体" w:cs="宋体"/>
          <w:color w:val="000000"/>
          <w:sz w:val="24"/>
          <w:szCs w:val="24"/>
        </w:rPr>
        <w:t>酸度：范围 0.7-1.6%，均值 1.1%，标准差 0.2%</w:t>
      </w:r>
    </w:p>
    <w:p w14:paraId="0409C11A">
      <w:pPr>
        <w:pStyle w:val="9"/>
        <w:widowControl/>
        <w:spacing w:beforeAutospacing="0" w:after="60" w:afterAutospacing="0" w:line="400" w:lineRule="auto"/>
        <w:ind w:firstLine="480"/>
        <w:jc w:val="both"/>
        <w:rPr>
          <w:rFonts w:hint="eastAsia" w:ascii="宋体" w:hAnsi="宋体" w:eastAsia="宋体" w:cs="宋体"/>
          <w:color w:val="000000"/>
          <w:sz w:val="24"/>
          <w:szCs w:val="24"/>
        </w:rPr>
      </w:pPr>
      <w:r>
        <w:rPr>
          <w:rFonts w:hint="eastAsia" w:ascii="宋体" w:hAnsi="宋体" w:eastAsia="宋体" w:cs="宋体"/>
          <w:color w:val="000000"/>
          <w:sz w:val="24"/>
          <w:szCs w:val="24"/>
        </w:rPr>
        <w:t>维生素 C：范围 25-65mg/100g，均值 42mg/100g，标准差 8mg/100g</w:t>
      </w:r>
    </w:p>
    <w:p w14:paraId="5CC2CA93">
      <w:pPr>
        <w:pStyle w:val="9"/>
        <w:widowControl/>
        <w:spacing w:beforeAutospacing="0" w:after="60" w:afterAutospacing="0" w:line="400" w:lineRule="auto"/>
        <w:jc w:val="both"/>
        <w:rPr>
          <w:rFonts w:hint="eastAsia" w:ascii="宋体" w:hAnsi="宋体" w:eastAsia="宋体" w:cs="宋体"/>
          <w:color w:val="000000"/>
          <w:sz w:val="24"/>
          <w:szCs w:val="24"/>
        </w:rPr>
      </w:pPr>
      <w:r>
        <w:rPr>
          <w:rFonts w:hint="eastAsia" w:ascii="宋体" w:hAnsi="宋体" w:eastAsia="宋体" w:cs="宋体"/>
          <w:color w:val="000000"/>
          <w:sz w:val="24"/>
          <w:szCs w:val="24"/>
        </w:rPr>
        <w:t>​（4）光谱数据统计：</w:t>
      </w:r>
    </w:p>
    <w:p w14:paraId="2D06DE47">
      <w:pPr>
        <w:pStyle w:val="9"/>
        <w:widowControl/>
        <w:spacing w:beforeAutospacing="0" w:after="60" w:afterAutospacing="0" w:line="400" w:lineRule="auto"/>
        <w:ind w:firstLine="480"/>
        <w:jc w:val="both"/>
        <w:rPr>
          <w:rFonts w:hint="eastAsia" w:ascii="宋体" w:hAnsi="宋体" w:eastAsia="宋体" w:cs="宋体"/>
          <w:color w:val="000000"/>
          <w:sz w:val="24"/>
          <w:szCs w:val="24"/>
        </w:rPr>
      </w:pPr>
      <w:r>
        <w:rPr>
          <w:rFonts w:hint="eastAsia" w:ascii="宋体" w:hAnsi="宋体" w:eastAsia="宋体" w:cs="宋体"/>
          <w:color w:val="000000"/>
          <w:sz w:val="24"/>
          <w:szCs w:val="24"/>
        </w:rPr>
        <w:t>HSI 高光谱：220 个样本×256 波段×空间分辨率 512×512，总数据量约 15GB</w:t>
      </w:r>
    </w:p>
    <w:p w14:paraId="4F3A2C34">
      <w:pPr>
        <w:pStyle w:val="9"/>
        <w:widowControl/>
        <w:spacing w:beforeAutospacing="0" w:after="60" w:afterAutospacing="0" w:line="400" w:lineRule="auto"/>
        <w:ind w:firstLine="480"/>
        <w:jc w:val="both"/>
        <w:rPr>
          <w:rFonts w:hint="eastAsia" w:ascii="宋体" w:hAnsi="宋体" w:eastAsia="宋体" w:cs="宋体"/>
          <w:color w:val="000000"/>
          <w:sz w:val="24"/>
          <w:szCs w:val="24"/>
        </w:rPr>
      </w:pPr>
      <w:r>
        <w:rPr>
          <w:rFonts w:hint="eastAsia" w:ascii="宋体" w:hAnsi="宋体" w:eastAsia="宋体" w:cs="宋体"/>
          <w:color w:val="000000"/>
          <w:sz w:val="24"/>
          <w:szCs w:val="24"/>
        </w:rPr>
        <w:t>R210 近红外：220 个样本×256 波段，总数据量约 50MB</w:t>
      </w:r>
    </w:p>
    <w:p w14:paraId="6CFE8F59">
      <w:pPr>
        <w:pStyle w:val="9"/>
        <w:widowControl/>
        <w:spacing w:beforeAutospacing="0" w:after="60" w:afterAutospacing="0" w:line="400" w:lineRule="auto"/>
        <w:ind w:firstLine="480"/>
        <w:jc w:val="both"/>
        <w:rPr>
          <w:rFonts w:hint="eastAsia" w:ascii="宋体" w:hAnsi="宋体" w:eastAsia="宋体" w:cs="宋体"/>
          <w:color w:val="000000"/>
          <w:sz w:val="24"/>
          <w:szCs w:val="24"/>
        </w:rPr>
      </w:pPr>
      <w:r>
        <w:rPr>
          <w:rFonts w:hint="eastAsia" w:ascii="宋体" w:hAnsi="宋体" w:eastAsia="宋体" w:cs="宋体"/>
          <w:color w:val="000000"/>
          <w:sz w:val="24"/>
          <w:szCs w:val="24"/>
        </w:rPr>
        <w:t>S960 近红外：220 个样本×256 波段，总数据量约 50MB</w:t>
      </w:r>
    </w:p>
    <w:p w14:paraId="1596B0A5">
      <w:pPr>
        <w:pStyle w:val="9"/>
        <w:widowControl/>
        <w:spacing w:before="160" w:beforeAutospacing="0" w:after="120" w:afterAutospacing="0" w:line="360" w:lineRule="auto"/>
        <w:rPr>
          <w:rFonts w:hint="eastAsia" w:ascii="宋体" w:hAnsi="宋体" w:eastAsia="宋体" w:cs="宋体"/>
          <w:b/>
          <w:color w:val="000000"/>
          <w:sz w:val="24"/>
          <w:szCs w:val="24"/>
        </w:rPr>
      </w:pPr>
      <w:r>
        <w:rPr>
          <w:rFonts w:hint="eastAsia" w:ascii="宋体" w:hAnsi="宋体" w:eastAsia="宋体" w:cs="宋体"/>
          <w:b/>
          <w:color w:val="000000"/>
          <w:sz w:val="24"/>
          <w:szCs w:val="24"/>
        </w:rPr>
        <w:t>附录 B：模型超参数配置</w:t>
      </w:r>
    </w:p>
    <w:p w14:paraId="1FAD9F77">
      <w:pPr>
        <w:pStyle w:val="9"/>
        <w:widowControl/>
        <w:spacing w:beforeAutospacing="0" w:after="60" w:afterAutospacing="0" w:line="400" w:lineRule="auto"/>
        <w:jc w:val="both"/>
        <w:rPr>
          <w:rFonts w:hint="eastAsia" w:ascii="宋体" w:hAnsi="宋体" w:eastAsia="宋体" w:cs="宋体"/>
          <w:color w:val="000000"/>
          <w:sz w:val="24"/>
          <w:szCs w:val="24"/>
        </w:rPr>
      </w:pPr>
      <w:r>
        <w:rPr>
          <w:rFonts w:hint="eastAsia" w:ascii="宋体" w:hAnsi="宋体" w:eastAsia="宋体" w:cs="宋体"/>
          <w:color w:val="000000"/>
          <w:sz w:val="24"/>
          <w:szCs w:val="24"/>
        </w:rPr>
        <w:t>​（1）1D-CNN 配置：</w:t>
      </w:r>
    </w:p>
    <w:p w14:paraId="3194C1B7">
      <w:pPr>
        <w:pStyle w:val="9"/>
        <w:widowControl/>
        <w:spacing w:beforeAutospacing="0" w:after="60" w:afterAutospacing="0" w:line="400" w:lineRule="auto"/>
        <w:ind w:firstLine="480"/>
        <w:jc w:val="both"/>
        <w:rPr>
          <w:rFonts w:hint="eastAsia" w:ascii="宋体" w:hAnsi="宋体" w:eastAsia="宋体" w:cs="宋体"/>
          <w:color w:val="000000"/>
          <w:sz w:val="24"/>
          <w:szCs w:val="24"/>
        </w:rPr>
      </w:pPr>
      <w:r>
        <w:rPr>
          <w:rFonts w:hint="eastAsia" w:ascii="宋体" w:hAnsi="宋体" w:eastAsia="宋体" w:cs="宋体"/>
          <w:color w:val="000000"/>
          <w:sz w:val="24"/>
          <w:szCs w:val="24"/>
        </w:rPr>
        <w:t>卷积层：4 层，卷积核尺寸 [3, 5, 3, 3]，卷积核数量 [32, 64, 128, 256]</w:t>
      </w:r>
    </w:p>
    <w:p w14:paraId="75E22D25">
      <w:pPr>
        <w:pStyle w:val="9"/>
        <w:widowControl/>
        <w:spacing w:beforeAutospacing="0" w:after="60" w:afterAutospacing="0" w:line="400" w:lineRule="auto"/>
        <w:ind w:firstLine="480"/>
        <w:jc w:val="both"/>
        <w:rPr>
          <w:rFonts w:hint="eastAsia" w:ascii="宋体" w:hAnsi="宋体" w:eastAsia="宋体" w:cs="宋体"/>
          <w:color w:val="000000"/>
          <w:sz w:val="24"/>
          <w:szCs w:val="24"/>
        </w:rPr>
      </w:pPr>
      <w:r>
        <w:rPr>
          <w:rFonts w:hint="eastAsia" w:ascii="宋体" w:hAnsi="宋体" w:eastAsia="宋体" w:cs="宋体"/>
          <w:color w:val="000000"/>
          <w:sz w:val="24"/>
          <w:szCs w:val="24"/>
        </w:rPr>
        <w:t>池化层：最大池化，池化尺寸 2</w:t>
      </w:r>
    </w:p>
    <w:p w14:paraId="24B3FD13">
      <w:pPr>
        <w:pStyle w:val="9"/>
        <w:widowControl/>
        <w:spacing w:beforeAutospacing="0" w:after="60" w:afterAutospacing="0" w:line="400" w:lineRule="auto"/>
        <w:ind w:firstLine="480"/>
        <w:jc w:val="both"/>
        <w:rPr>
          <w:rFonts w:hint="eastAsia" w:ascii="宋体" w:hAnsi="宋体" w:eastAsia="宋体" w:cs="宋体"/>
          <w:color w:val="000000"/>
          <w:sz w:val="24"/>
          <w:szCs w:val="24"/>
        </w:rPr>
      </w:pPr>
      <w:r>
        <w:rPr>
          <w:rFonts w:hint="eastAsia" w:ascii="宋体" w:hAnsi="宋体" w:eastAsia="宋体" w:cs="宋体"/>
          <w:color w:val="000000"/>
          <w:sz w:val="24"/>
          <w:szCs w:val="24"/>
        </w:rPr>
        <w:t>全连接层：2 层，维度 [256, 128]</w:t>
      </w:r>
    </w:p>
    <w:p w14:paraId="32E97EA8">
      <w:pPr>
        <w:pStyle w:val="9"/>
        <w:widowControl/>
        <w:spacing w:beforeAutospacing="0" w:after="60" w:afterAutospacing="0" w:line="400" w:lineRule="auto"/>
        <w:ind w:firstLine="480"/>
        <w:jc w:val="both"/>
        <w:rPr>
          <w:rFonts w:hint="eastAsia" w:ascii="宋体" w:hAnsi="宋体" w:eastAsia="宋体" w:cs="宋体"/>
          <w:color w:val="000000"/>
          <w:sz w:val="24"/>
          <w:szCs w:val="24"/>
        </w:rPr>
      </w:pPr>
      <w:r>
        <w:rPr>
          <w:rFonts w:hint="eastAsia" w:ascii="宋体" w:hAnsi="宋体" w:eastAsia="宋体" w:cs="宋体"/>
          <w:color w:val="000000"/>
          <w:sz w:val="24"/>
          <w:szCs w:val="24"/>
        </w:rPr>
        <w:t>Dropout 率：0.3</w:t>
      </w:r>
    </w:p>
    <w:p w14:paraId="153B9487">
      <w:pPr>
        <w:pStyle w:val="9"/>
        <w:widowControl/>
        <w:spacing w:beforeAutospacing="0" w:after="60" w:afterAutospacing="0" w:line="400" w:lineRule="auto"/>
        <w:ind w:firstLine="480"/>
        <w:jc w:val="both"/>
        <w:rPr>
          <w:rFonts w:hint="eastAsia" w:ascii="宋体" w:hAnsi="宋体" w:eastAsia="宋体" w:cs="宋体"/>
          <w:color w:val="000000"/>
          <w:sz w:val="24"/>
          <w:szCs w:val="24"/>
        </w:rPr>
      </w:pPr>
      <w:r>
        <w:rPr>
          <w:rFonts w:hint="eastAsia" w:ascii="宋体" w:hAnsi="宋体" w:eastAsia="宋体" w:cs="宋体"/>
          <w:color w:val="000000"/>
          <w:sz w:val="24"/>
          <w:szCs w:val="24"/>
        </w:rPr>
        <w:t>学习率：0.001，优化器：Adam</w:t>
      </w:r>
    </w:p>
    <w:p w14:paraId="07C4581F">
      <w:pPr>
        <w:pStyle w:val="9"/>
        <w:widowControl/>
        <w:spacing w:beforeAutospacing="0" w:after="60" w:afterAutospacing="0" w:line="400" w:lineRule="auto"/>
        <w:ind w:firstLine="480"/>
        <w:jc w:val="both"/>
        <w:rPr>
          <w:rFonts w:hint="eastAsia" w:ascii="宋体" w:hAnsi="宋体" w:eastAsia="宋体" w:cs="宋体"/>
          <w:color w:val="000000"/>
          <w:sz w:val="24"/>
          <w:szCs w:val="24"/>
        </w:rPr>
      </w:pPr>
      <w:r>
        <w:rPr>
          <w:rFonts w:hint="eastAsia" w:ascii="宋体" w:hAnsi="宋体" w:eastAsia="宋体" w:cs="宋体"/>
          <w:color w:val="000000"/>
          <w:sz w:val="24"/>
          <w:szCs w:val="24"/>
        </w:rPr>
        <w:t>批次大小：32，训练轮数：100</w:t>
      </w:r>
    </w:p>
    <w:p w14:paraId="574F6741">
      <w:pPr>
        <w:pStyle w:val="9"/>
        <w:widowControl/>
        <w:spacing w:beforeAutospacing="0" w:after="60" w:afterAutospacing="0" w:line="400" w:lineRule="auto"/>
        <w:jc w:val="both"/>
        <w:rPr>
          <w:rFonts w:hint="eastAsia" w:ascii="宋体" w:hAnsi="宋体" w:eastAsia="宋体" w:cs="宋体"/>
          <w:color w:val="000000"/>
          <w:sz w:val="24"/>
          <w:szCs w:val="24"/>
        </w:rPr>
      </w:pPr>
      <w:r>
        <w:rPr>
          <w:rFonts w:hint="eastAsia" w:ascii="宋体" w:hAnsi="宋体" w:eastAsia="宋体" w:cs="宋体"/>
          <w:color w:val="000000"/>
          <w:sz w:val="24"/>
          <w:szCs w:val="24"/>
        </w:rPr>
        <w:t>​（2）LSTM 配置：</w:t>
      </w:r>
    </w:p>
    <w:p w14:paraId="52556C7F">
      <w:pPr>
        <w:pStyle w:val="9"/>
        <w:widowControl/>
        <w:spacing w:beforeAutospacing="0" w:after="60" w:afterAutospacing="0" w:line="400" w:lineRule="auto"/>
        <w:ind w:firstLine="480"/>
        <w:jc w:val="both"/>
        <w:rPr>
          <w:rFonts w:hint="eastAsia" w:ascii="宋体" w:hAnsi="宋体" w:eastAsia="宋体" w:cs="宋体"/>
          <w:color w:val="000000"/>
          <w:sz w:val="24"/>
          <w:szCs w:val="24"/>
        </w:rPr>
      </w:pPr>
      <w:r>
        <w:rPr>
          <w:rFonts w:hint="eastAsia" w:ascii="宋体" w:hAnsi="宋体" w:eastAsia="宋体" w:cs="宋体"/>
          <w:color w:val="000000"/>
          <w:sz w:val="24"/>
          <w:szCs w:val="24"/>
        </w:rPr>
        <w:t>层数：2 层</w:t>
      </w:r>
    </w:p>
    <w:p w14:paraId="2942DEAB">
      <w:pPr>
        <w:pStyle w:val="9"/>
        <w:widowControl/>
        <w:spacing w:before="80" w:beforeAutospacing="0" w:after="80" w:afterAutospacing="0"/>
        <w:jc w:val="right"/>
        <w:rPr>
          <w:rFonts w:hint="eastAsia" w:ascii="宋体" w:hAnsi="宋体" w:eastAsia="宋体" w:cs="宋体"/>
          <w:color w:val="000000"/>
          <w:sz w:val="24"/>
          <w:szCs w:val="24"/>
        </w:rPr>
      </w:pPr>
    </w:p>
    <w:p w14:paraId="06B6118F">
      <w:pPr>
        <w:pStyle w:val="9"/>
        <w:widowControl/>
        <w:spacing w:before="80" w:beforeAutospacing="0" w:after="80" w:afterAutospacing="0"/>
        <w:rPr>
          <w:rFonts w:hint="eastAsia" w:ascii="宋体" w:hAnsi="宋体" w:eastAsia="宋体" w:cs="宋体"/>
          <w:color w:val="000000"/>
          <w:sz w:val="24"/>
          <w:szCs w:val="24"/>
        </w:rPr>
      </w:pPr>
    </w:p>
    <w:sectPr>
      <w:pgSz w:w="11907" w:h="16839"/>
      <w:pgMar w:top="1440" w:right="1797" w:bottom="1440" w:left="179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4357"/>
    <w:rsid w:val="004F4357"/>
    <w:rsid w:val="00790E82"/>
    <w:rsid w:val="00A227F4"/>
    <w:rsid w:val="00F27CD9"/>
    <w:rsid w:val="0160084E"/>
    <w:rsid w:val="12411FD6"/>
    <w:rsid w:val="24C133CA"/>
    <w:rsid w:val="2527435B"/>
    <w:rsid w:val="3B1E34B0"/>
    <w:rsid w:val="7B6459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Autospacing="1" w:afterAutospacing="1"/>
      <w:jc w:val="left"/>
      <w:outlineLvl w:val="0"/>
    </w:pPr>
    <w:rPr>
      <w:rFonts w:hint="eastAsia" w:ascii="宋体" w:hAnsi="宋体" w:eastAsia="宋体" w:cs="Times New Roman"/>
      <w:b/>
      <w:bCs/>
      <w:kern w:val="44"/>
      <w:sz w:val="48"/>
      <w:szCs w:val="48"/>
    </w:rPr>
  </w:style>
  <w:style w:type="paragraph" w:styleId="3">
    <w:name w:val="heading 2"/>
    <w:basedOn w:val="1"/>
    <w:next w:val="1"/>
    <w:semiHidden/>
    <w:unhideWhenUsed/>
    <w:qFormat/>
    <w:uiPriority w:val="0"/>
    <w:pPr>
      <w:spacing w:beforeAutospacing="1" w:afterAutospacing="1"/>
      <w:jc w:val="left"/>
      <w:outlineLvl w:val="1"/>
    </w:pPr>
    <w:rPr>
      <w:rFonts w:hint="eastAsia" w:ascii="宋体" w:hAnsi="宋体" w:eastAsia="宋体" w:cs="Times New Roman"/>
      <w:b/>
      <w:bCs/>
      <w:kern w:val="0"/>
      <w:sz w:val="36"/>
      <w:szCs w:val="36"/>
    </w:rPr>
  </w:style>
  <w:style w:type="paragraph" w:styleId="4">
    <w:name w:val="heading 3"/>
    <w:basedOn w:val="1"/>
    <w:next w:val="1"/>
    <w:semiHidden/>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paragraph" w:styleId="5">
    <w:name w:val="heading 4"/>
    <w:basedOn w:val="1"/>
    <w:next w:val="1"/>
    <w:semiHidden/>
    <w:unhideWhenUsed/>
    <w:qFormat/>
    <w:uiPriority w:val="0"/>
    <w:pPr>
      <w:spacing w:beforeAutospacing="1" w:afterAutospacing="1"/>
      <w:jc w:val="left"/>
      <w:outlineLvl w:val="3"/>
    </w:pPr>
    <w:rPr>
      <w:rFonts w:hint="eastAsia" w:ascii="宋体" w:hAnsi="宋体" w:eastAsia="宋体" w:cs="Times New Roman"/>
      <w:b/>
      <w:bCs/>
      <w:kern w:val="0"/>
      <w:sz w:val="24"/>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6">
    <w:name w:val="footer"/>
    <w:basedOn w:val="1"/>
    <w:link w:val="17"/>
    <w:qFormat/>
    <w:uiPriority w:val="0"/>
    <w:pPr>
      <w:tabs>
        <w:tab w:val="center" w:pos="4153"/>
        <w:tab w:val="right" w:pos="8306"/>
      </w:tabs>
      <w:snapToGrid w:val="0"/>
      <w:jc w:val="left"/>
    </w:pPr>
    <w:rPr>
      <w:sz w:val="18"/>
      <w:szCs w:val="18"/>
    </w:rPr>
  </w:style>
  <w:style w:type="paragraph" w:styleId="7">
    <w:name w:val="header"/>
    <w:basedOn w:val="1"/>
    <w:link w:val="16"/>
    <w:qFormat/>
    <w:uiPriority w:val="0"/>
    <w:pPr>
      <w:tabs>
        <w:tab w:val="center" w:pos="4153"/>
        <w:tab w:val="right" w:pos="8306"/>
      </w:tabs>
      <w:snapToGrid w:val="0"/>
      <w:jc w:val="center"/>
    </w:pPr>
    <w:rPr>
      <w:sz w:val="18"/>
      <w:szCs w:val="18"/>
    </w:rPr>
  </w:style>
  <w:style w:type="paragraph" w:styleId="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rPr>
  </w:style>
  <w:style w:type="paragraph" w:styleId="9">
    <w:name w:val="Normal (Web)"/>
    <w:basedOn w:val="1"/>
    <w:qFormat/>
    <w:uiPriority w:val="0"/>
    <w:pPr>
      <w:spacing w:beforeAutospacing="1" w:afterAutospacing="1"/>
      <w:jc w:val="left"/>
    </w:pPr>
    <w:rPr>
      <w:rFonts w:cs="Times New Roman"/>
      <w:kern w:val="0"/>
      <w:sz w:val="24"/>
    </w:rPr>
  </w:style>
  <w:style w:type="table" w:styleId="11">
    <w:name w:val="Table Grid"/>
    <w:basedOn w:val="10"/>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0"/>
    <w:rPr>
      <w:b/>
    </w:rPr>
  </w:style>
  <w:style w:type="character" w:styleId="14">
    <w:name w:val="Emphasis"/>
    <w:basedOn w:val="12"/>
    <w:qFormat/>
    <w:uiPriority w:val="20"/>
    <w:rPr>
      <w:i/>
      <w:iCs/>
    </w:rPr>
  </w:style>
  <w:style w:type="character" w:styleId="15">
    <w:name w:val="HTML Code"/>
    <w:basedOn w:val="12"/>
    <w:qFormat/>
    <w:uiPriority w:val="0"/>
    <w:rPr>
      <w:rFonts w:ascii="Courier New" w:hAnsi="Courier New"/>
      <w:sz w:val="20"/>
    </w:rPr>
  </w:style>
  <w:style w:type="character" w:customStyle="1" w:styleId="16">
    <w:name w:val="页眉 字符"/>
    <w:basedOn w:val="12"/>
    <w:link w:val="7"/>
    <w:qFormat/>
    <w:uiPriority w:val="0"/>
    <w:rPr>
      <w:rFonts w:asciiTheme="minorHAnsi" w:hAnsiTheme="minorHAnsi" w:eastAsiaTheme="minorEastAsia" w:cstheme="minorBidi"/>
      <w:kern w:val="2"/>
      <w:sz w:val="18"/>
      <w:szCs w:val="18"/>
    </w:rPr>
  </w:style>
  <w:style w:type="character" w:customStyle="1" w:styleId="17">
    <w:name w:val="页脚 字符"/>
    <w:basedOn w:val="12"/>
    <w:link w:val="6"/>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57</Pages>
  <Words>19002</Words>
  <Characters>21958</Characters>
  <Lines>541</Lines>
  <Paragraphs>629</Paragraphs>
  <TotalTime>7</TotalTime>
  <ScaleCrop>false</ScaleCrop>
  <LinksUpToDate>false</LinksUpToDate>
  <CharactersWithSpaces>23024</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2026-04-07T12:51:00Z</dcterms:created>
  <dc:creator>Lenovo</dc:creator>
  <cp:lastModifiedBy>WPS_1641114784</cp:lastModifiedBy>
  <dcterms:modified xsi:type="dcterms:W3CDTF">2026-04-07T15:20:20Z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eyJoZGlkIjoiMDljYzUzMWQ4OWI0YzBkYjYzMDRhZTY5ZjZkYmFmYTgiLCJ1c2VySWQiOiIxMzA2ODM4ODIzIn0=</vt:lpwstr>
  </property>
  <property fmtid="{D5CDD505-2E9C-101B-9397-08002B2CF9AE}" pid="4" name="ICV">
    <vt:lpwstr>E2A8ABE8632842E78CF3F4F550A2B905_12</vt:lpwstr>
  </property>
</Properties>
</file>