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950622" w14:textId="77777777" w:rsidR="008D7827" w:rsidRDefault="00C62183">
      <w:pPr>
        <w:ind w:firstLine="0"/>
        <w:jc w:val="center"/>
      </w:pPr>
      <w:r>
        <w:rPr>
          <w:rFonts w:ascii="黑体" w:eastAsia="黑体" w:hAnsi="黑体"/>
          <w:sz w:val="36"/>
        </w:rPr>
        <w:t>橙源智鉴项目计划书</w:t>
      </w:r>
    </w:p>
    <w:p w14:paraId="7D194966" w14:textId="77777777" w:rsidR="008D7827" w:rsidRDefault="00C62183">
      <w:pPr>
        <w:ind w:firstLine="0"/>
        <w:jc w:val="center"/>
      </w:pPr>
      <w:r>
        <w:rPr>
          <w:rFonts w:ascii="仿宋_GB2312" w:hAnsi="仿宋_GB2312"/>
        </w:rPr>
        <w:t>版本：</w:t>
      </w:r>
      <w:r>
        <w:rPr>
          <w:rFonts w:ascii="仿宋_GB2312" w:hAnsi="仿宋_GB2312"/>
        </w:rPr>
        <w:t>V1.0</w:t>
      </w:r>
    </w:p>
    <w:p w14:paraId="4E21C26B" w14:textId="77777777" w:rsidR="008D7827" w:rsidRDefault="00C62183">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002C6029" w14:textId="77777777" w:rsidR="008D7827" w:rsidRDefault="008D7827">
      <w:pPr>
        <w:sectPr w:rsidR="008D7827">
          <w:footerReference w:type="default" r:id="rId8"/>
          <w:pgSz w:w="11906" w:h="16838"/>
          <w:pgMar w:top="1417" w:right="1417" w:bottom="1417" w:left="1417" w:header="850" w:footer="992" w:gutter="0"/>
          <w:cols w:space="720"/>
          <w:docGrid w:linePitch="360"/>
        </w:sectPr>
      </w:pPr>
    </w:p>
    <w:p w14:paraId="4171BDD7" w14:textId="77777777" w:rsidR="008D7827" w:rsidRDefault="00C62183">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438CBCBF" w14:textId="77777777" w:rsidR="008D7827" w:rsidRDefault="00C62183">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0931B2DF" w14:textId="77777777" w:rsidR="008D7827" w:rsidRDefault="00C62183">
      <w:pPr>
        <w:jc w:val="both"/>
      </w:pPr>
      <w:r>
        <w:rPr>
          <w:rFonts w:ascii="仿宋_GB2312" w:hAnsi="仿宋_GB2312"/>
        </w:rPr>
        <w:t xml:space="preserve">1.1 </w:t>
      </w:r>
      <w:r>
        <w:rPr>
          <w:rFonts w:ascii="仿宋_GB2312" w:hAnsi="仿宋_GB2312"/>
        </w:rPr>
        <w:t>项目背景</w:t>
      </w:r>
    </w:p>
    <w:p w14:paraId="52A7D36D" w14:textId="77777777" w:rsidR="008D7827" w:rsidRDefault="00C62183">
      <w:pPr>
        <w:jc w:val="both"/>
      </w:pPr>
      <w:r>
        <w:rPr>
          <w:rFonts w:ascii="仿宋_GB2312" w:hAnsi="仿宋_GB2312"/>
        </w:rPr>
        <w:t xml:space="preserve">1.2 </w:t>
      </w:r>
      <w:r>
        <w:rPr>
          <w:rFonts w:ascii="仿宋_GB2312" w:hAnsi="仿宋_GB2312"/>
        </w:rPr>
        <w:t>政策支持</w:t>
      </w:r>
    </w:p>
    <w:p w14:paraId="0B66E234" w14:textId="77777777" w:rsidR="008D7827" w:rsidRDefault="00C62183">
      <w:pPr>
        <w:jc w:val="both"/>
      </w:pPr>
      <w:r>
        <w:rPr>
          <w:rFonts w:ascii="仿宋_GB2312" w:hAnsi="仿宋_GB2312"/>
        </w:rPr>
        <w:t xml:space="preserve">1.3 </w:t>
      </w:r>
      <w:r>
        <w:rPr>
          <w:rFonts w:ascii="仿宋_GB2312" w:hAnsi="仿宋_GB2312"/>
        </w:rPr>
        <w:t>技术支撑</w:t>
      </w:r>
    </w:p>
    <w:p w14:paraId="0500A40F" w14:textId="77777777" w:rsidR="008D7827" w:rsidRDefault="00C62183">
      <w:pPr>
        <w:jc w:val="both"/>
      </w:pPr>
      <w:r>
        <w:rPr>
          <w:rFonts w:ascii="仿宋_GB2312" w:hAnsi="仿宋_GB2312"/>
        </w:rPr>
        <w:t xml:space="preserve">1.4 </w:t>
      </w:r>
      <w:r>
        <w:rPr>
          <w:rFonts w:ascii="仿宋_GB2312" w:hAnsi="仿宋_GB2312"/>
        </w:rPr>
        <w:t>项目基础与阶段目标</w:t>
      </w:r>
    </w:p>
    <w:p w14:paraId="04A28BA6" w14:textId="77777777" w:rsidR="008D7827" w:rsidRDefault="00C62183">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6AD41B9F" w14:textId="77777777" w:rsidR="008D7827" w:rsidRDefault="00C62183">
      <w:pPr>
        <w:jc w:val="both"/>
      </w:pPr>
      <w:r>
        <w:rPr>
          <w:rFonts w:ascii="仿宋_GB2312" w:hAnsi="仿宋_GB2312"/>
        </w:rPr>
        <w:t xml:space="preserve">2.1 </w:t>
      </w:r>
      <w:r>
        <w:rPr>
          <w:rFonts w:ascii="仿宋_GB2312" w:hAnsi="仿宋_GB2312"/>
        </w:rPr>
        <w:t>社会效益</w:t>
      </w:r>
    </w:p>
    <w:p w14:paraId="66348511" w14:textId="77777777" w:rsidR="008D7827" w:rsidRDefault="00C62183">
      <w:pPr>
        <w:jc w:val="both"/>
      </w:pPr>
      <w:r>
        <w:rPr>
          <w:rFonts w:ascii="仿宋_GB2312" w:hAnsi="仿宋_GB2312"/>
        </w:rPr>
        <w:t xml:space="preserve">2.2 </w:t>
      </w:r>
      <w:r>
        <w:rPr>
          <w:rFonts w:ascii="仿宋_GB2312" w:hAnsi="仿宋_GB2312"/>
        </w:rPr>
        <w:t>经济效益</w:t>
      </w:r>
    </w:p>
    <w:p w14:paraId="07E1C302" w14:textId="77777777" w:rsidR="008D7827" w:rsidRDefault="00C62183">
      <w:pPr>
        <w:jc w:val="both"/>
      </w:pPr>
      <w:r>
        <w:rPr>
          <w:rFonts w:ascii="仿宋_GB2312" w:hAnsi="仿宋_GB2312"/>
        </w:rPr>
        <w:t xml:space="preserve">2.3 </w:t>
      </w:r>
      <w:r>
        <w:rPr>
          <w:rFonts w:ascii="仿宋_GB2312" w:hAnsi="仿宋_GB2312"/>
        </w:rPr>
        <w:t>教育引领</w:t>
      </w:r>
    </w:p>
    <w:p w14:paraId="7B02D16E" w14:textId="77777777" w:rsidR="008D7827" w:rsidRDefault="00C62183">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36296186" w14:textId="77777777" w:rsidR="008D7827" w:rsidRDefault="00C62183">
      <w:pPr>
        <w:jc w:val="both"/>
      </w:pPr>
      <w:r>
        <w:rPr>
          <w:rFonts w:ascii="仿宋_GB2312" w:hAnsi="仿宋_GB2312"/>
        </w:rPr>
        <w:t xml:space="preserve">3.1 </w:t>
      </w:r>
      <w:r>
        <w:rPr>
          <w:rFonts w:ascii="仿宋_GB2312" w:hAnsi="仿宋_GB2312"/>
        </w:rPr>
        <w:t>市场可行性</w:t>
      </w:r>
    </w:p>
    <w:p w14:paraId="6C8F0F32" w14:textId="77777777" w:rsidR="008D7827" w:rsidRDefault="00C62183">
      <w:pPr>
        <w:jc w:val="both"/>
      </w:pPr>
      <w:r>
        <w:rPr>
          <w:rFonts w:ascii="仿宋_GB2312" w:hAnsi="仿宋_GB2312"/>
        </w:rPr>
        <w:t xml:space="preserve">3.2 </w:t>
      </w:r>
      <w:r>
        <w:rPr>
          <w:rFonts w:ascii="仿宋_GB2312" w:hAnsi="仿宋_GB2312"/>
        </w:rPr>
        <w:t>技术可行性</w:t>
      </w:r>
    </w:p>
    <w:p w14:paraId="4746CFE0" w14:textId="77777777" w:rsidR="008D7827" w:rsidRDefault="00C62183">
      <w:pPr>
        <w:jc w:val="both"/>
      </w:pPr>
      <w:r>
        <w:rPr>
          <w:rFonts w:ascii="仿宋_GB2312" w:hAnsi="仿宋_GB2312"/>
        </w:rPr>
        <w:t xml:space="preserve">3.3 </w:t>
      </w:r>
      <w:r>
        <w:rPr>
          <w:rFonts w:ascii="仿宋_GB2312" w:hAnsi="仿宋_GB2312"/>
        </w:rPr>
        <w:t>经济可行性</w:t>
      </w:r>
    </w:p>
    <w:p w14:paraId="02A18EA2" w14:textId="77777777" w:rsidR="008D7827" w:rsidRDefault="00C62183">
      <w:pPr>
        <w:jc w:val="both"/>
      </w:pPr>
      <w:r>
        <w:rPr>
          <w:rFonts w:ascii="仿宋_GB2312" w:hAnsi="仿宋_GB2312"/>
        </w:rPr>
        <w:t xml:space="preserve">3.4 </w:t>
      </w:r>
      <w:r>
        <w:rPr>
          <w:rFonts w:ascii="仿宋_GB2312" w:hAnsi="仿宋_GB2312"/>
        </w:rPr>
        <w:t>运营可行性</w:t>
      </w:r>
    </w:p>
    <w:p w14:paraId="0AE9908E" w14:textId="77777777" w:rsidR="008D7827" w:rsidRDefault="00C62183">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3D5B57CD" w14:textId="77777777" w:rsidR="008D7827" w:rsidRDefault="00C62183">
      <w:pPr>
        <w:jc w:val="both"/>
      </w:pPr>
      <w:r>
        <w:rPr>
          <w:rFonts w:ascii="仿宋_GB2312" w:hAnsi="仿宋_GB2312"/>
        </w:rPr>
        <w:t xml:space="preserve">4.1 </w:t>
      </w:r>
      <w:r>
        <w:rPr>
          <w:rFonts w:ascii="仿宋_GB2312" w:hAnsi="仿宋_GB2312"/>
        </w:rPr>
        <w:t>检测市场分析</w:t>
      </w:r>
    </w:p>
    <w:p w14:paraId="7444377D" w14:textId="77777777" w:rsidR="008D7827" w:rsidRDefault="00C62183">
      <w:pPr>
        <w:jc w:val="both"/>
      </w:pPr>
      <w:r>
        <w:rPr>
          <w:rFonts w:ascii="仿宋_GB2312" w:hAnsi="仿宋_GB2312"/>
        </w:rPr>
        <w:t xml:space="preserve">4.2 </w:t>
      </w:r>
      <w:r>
        <w:rPr>
          <w:rFonts w:ascii="仿宋_GB2312" w:hAnsi="仿宋_GB2312"/>
        </w:rPr>
        <w:t>行业痛点与需求结构</w:t>
      </w:r>
    </w:p>
    <w:p w14:paraId="7811BA22" w14:textId="77777777" w:rsidR="008D7827" w:rsidRDefault="00C62183">
      <w:pPr>
        <w:jc w:val="both"/>
      </w:pPr>
      <w:r>
        <w:rPr>
          <w:rFonts w:ascii="仿宋_GB2312" w:hAnsi="仿宋_GB2312"/>
        </w:rPr>
        <w:t xml:space="preserve">4.3 </w:t>
      </w:r>
      <w:r>
        <w:rPr>
          <w:rFonts w:ascii="仿宋_GB2312" w:hAnsi="仿宋_GB2312"/>
        </w:rPr>
        <w:t>用户分析</w:t>
      </w:r>
    </w:p>
    <w:p w14:paraId="5B1E90C7" w14:textId="77777777" w:rsidR="008D7827" w:rsidRDefault="00C62183">
      <w:pPr>
        <w:jc w:val="both"/>
      </w:pPr>
      <w:r>
        <w:rPr>
          <w:rFonts w:ascii="仿宋_GB2312" w:hAnsi="仿宋_GB2312"/>
        </w:rPr>
        <w:t xml:space="preserve">4.4 </w:t>
      </w:r>
      <w:r>
        <w:rPr>
          <w:rFonts w:ascii="仿宋_GB2312" w:hAnsi="仿宋_GB2312"/>
        </w:rPr>
        <w:t>竞争分析</w:t>
      </w:r>
    </w:p>
    <w:p w14:paraId="3EA507D2" w14:textId="77777777" w:rsidR="008D7827" w:rsidRDefault="00C62183">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5C29E1D9" w14:textId="77777777" w:rsidR="008D7827" w:rsidRDefault="00C62183">
      <w:pPr>
        <w:jc w:val="both"/>
      </w:pPr>
      <w:r>
        <w:rPr>
          <w:rFonts w:ascii="仿宋_GB2312" w:hAnsi="仿宋_GB2312"/>
        </w:rPr>
        <w:t xml:space="preserve">5.1 </w:t>
      </w:r>
      <w:r>
        <w:rPr>
          <w:rFonts w:ascii="仿宋_GB2312" w:hAnsi="仿宋_GB2312"/>
        </w:rPr>
        <w:t>总体技术路线</w:t>
      </w:r>
    </w:p>
    <w:p w14:paraId="4DCA2483" w14:textId="77777777" w:rsidR="008D7827" w:rsidRDefault="00C62183">
      <w:pPr>
        <w:jc w:val="both"/>
      </w:pPr>
      <w:r>
        <w:rPr>
          <w:rFonts w:ascii="仿宋_GB2312" w:hAnsi="仿宋_GB2312"/>
        </w:rPr>
        <w:t xml:space="preserve">5.2 </w:t>
      </w:r>
      <w:r>
        <w:rPr>
          <w:rFonts w:ascii="仿宋_GB2312" w:hAnsi="仿宋_GB2312"/>
        </w:rPr>
        <w:t>实验设计与标准化流程</w:t>
      </w:r>
    </w:p>
    <w:p w14:paraId="5EE797E5" w14:textId="77777777" w:rsidR="008D7827" w:rsidRDefault="00C62183">
      <w:pPr>
        <w:jc w:val="both"/>
      </w:pPr>
      <w:r>
        <w:rPr>
          <w:rFonts w:ascii="仿宋_GB2312" w:hAnsi="仿宋_GB2312"/>
        </w:rPr>
        <w:t xml:space="preserve">5.3 </w:t>
      </w:r>
      <w:r>
        <w:rPr>
          <w:rFonts w:ascii="仿宋_GB2312" w:hAnsi="仿宋_GB2312"/>
        </w:rPr>
        <w:t>核心算法与模型策略</w:t>
      </w:r>
    </w:p>
    <w:p w14:paraId="75BB1204" w14:textId="77777777" w:rsidR="008D7827" w:rsidRDefault="00C62183">
      <w:pPr>
        <w:jc w:val="both"/>
      </w:pPr>
      <w:r>
        <w:rPr>
          <w:rFonts w:ascii="仿宋_GB2312" w:hAnsi="仿宋_GB2312"/>
        </w:rPr>
        <w:t xml:space="preserve">5.4 </w:t>
      </w:r>
      <w:r>
        <w:rPr>
          <w:rFonts w:ascii="仿宋_GB2312" w:hAnsi="仿宋_GB2312"/>
        </w:rPr>
        <w:t>光谱机理与特征指纹</w:t>
      </w:r>
    </w:p>
    <w:p w14:paraId="24AF1DE3" w14:textId="77777777" w:rsidR="008D7827" w:rsidRDefault="00C62183">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6D1A5FCF" w14:textId="77777777" w:rsidR="008D7827" w:rsidRDefault="00C62183">
      <w:pPr>
        <w:jc w:val="both"/>
      </w:pPr>
      <w:r>
        <w:rPr>
          <w:rFonts w:ascii="仿宋_GB2312" w:hAnsi="仿宋_GB2312"/>
        </w:rPr>
        <w:t xml:space="preserve">6.1 </w:t>
      </w:r>
      <w:r>
        <w:rPr>
          <w:rFonts w:ascii="仿宋_GB2312" w:hAnsi="仿宋_GB2312"/>
        </w:rPr>
        <w:t>产品定位与交付形态</w:t>
      </w:r>
    </w:p>
    <w:p w14:paraId="27DA79F1" w14:textId="77777777" w:rsidR="008D7827" w:rsidRDefault="00C62183">
      <w:pPr>
        <w:jc w:val="both"/>
      </w:pPr>
      <w:r>
        <w:rPr>
          <w:rFonts w:ascii="仿宋_GB2312" w:hAnsi="仿宋_GB2312"/>
        </w:rPr>
        <w:lastRenderedPageBreak/>
        <w:t xml:space="preserve">6.2 </w:t>
      </w:r>
      <w:r>
        <w:rPr>
          <w:rFonts w:ascii="仿宋_GB2312" w:hAnsi="仿宋_GB2312"/>
        </w:rPr>
        <w:t>产品分层与收费思路</w:t>
      </w:r>
    </w:p>
    <w:p w14:paraId="0384E234" w14:textId="77777777" w:rsidR="008D7827" w:rsidRDefault="00C62183">
      <w:pPr>
        <w:jc w:val="both"/>
      </w:pPr>
      <w:r>
        <w:rPr>
          <w:rFonts w:ascii="仿宋_GB2312" w:hAnsi="仿宋_GB2312"/>
        </w:rPr>
        <w:t xml:space="preserve">6.3 </w:t>
      </w:r>
      <w:r>
        <w:rPr>
          <w:rFonts w:ascii="仿宋_GB2312" w:hAnsi="仿宋_GB2312"/>
        </w:rPr>
        <w:t>实施与交付策略</w:t>
      </w:r>
    </w:p>
    <w:p w14:paraId="1BE69B97" w14:textId="77777777" w:rsidR="008D7827" w:rsidRDefault="00C62183">
      <w:pPr>
        <w:jc w:val="both"/>
      </w:pPr>
      <w:r>
        <w:rPr>
          <w:rFonts w:ascii="仿宋_GB2312" w:hAnsi="仿宋_GB2312"/>
        </w:rPr>
        <w:t xml:space="preserve">6.4 </w:t>
      </w:r>
      <w:r>
        <w:rPr>
          <w:rFonts w:ascii="仿宋_GB2312" w:hAnsi="仿宋_GB2312"/>
        </w:rPr>
        <w:t>推广与销售模式</w:t>
      </w:r>
    </w:p>
    <w:p w14:paraId="78EBBA42" w14:textId="77777777" w:rsidR="008D7827" w:rsidRDefault="00C62183">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6555DFB" w14:textId="77777777" w:rsidR="008D7827" w:rsidRDefault="00C62183">
      <w:pPr>
        <w:jc w:val="both"/>
      </w:pPr>
      <w:r>
        <w:rPr>
          <w:rFonts w:ascii="仿宋_GB2312" w:hAnsi="仿宋_GB2312"/>
        </w:rPr>
        <w:t xml:space="preserve">7.1 </w:t>
      </w:r>
      <w:r>
        <w:rPr>
          <w:rFonts w:ascii="仿宋_GB2312" w:hAnsi="仿宋_GB2312"/>
        </w:rPr>
        <w:t>运营定位与目标</w:t>
      </w:r>
    </w:p>
    <w:p w14:paraId="14031E28" w14:textId="77777777" w:rsidR="008D7827" w:rsidRDefault="00C62183">
      <w:pPr>
        <w:jc w:val="both"/>
      </w:pPr>
      <w:r>
        <w:rPr>
          <w:rFonts w:ascii="仿宋_GB2312" w:hAnsi="仿宋_GB2312"/>
        </w:rPr>
        <w:t xml:space="preserve">7.2 </w:t>
      </w:r>
      <w:r>
        <w:rPr>
          <w:rFonts w:ascii="仿宋_GB2312" w:hAnsi="仿宋_GB2312"/>
        </w:rPr>
        <w:t>阶段运营安排</w:t>
      </w:r>
    </w:p>
    <w:p w14:paraId="56A8B24E" w14:textId="77777777" w:rsidR="008D7827" w:rsidRDefault="00C62183">
      <w:pPr>
        <w:jc w:val="both"/>
      </w:pPr>
      <w:r>
        <w:rPr>
          <w:rFonts w:ascii="仿宋_GB2312" w:hAnsi="仿宋_GB2312"/>
        </w:rPr>
        <w:t xml:space="preserve">7.3 </w:t>
      </w:r>
      <w:r>
        <w:rPr>
          <w:rFonts w:ascii="仿宋_GB2312" w:hAnsi="仿宋_GB2312"/>
        </w:rPr>
        <w:t>核心运营模块</w:t>
      </w:r>
    </w:p>
    <w:p w14:paraId="20CD4902" w14:textId="77777777" w:rsidR="008D7827" w:rsidRDefault="00C62183">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7E769010" w14:textId="77777777" w:rsidR="008D7827" w:rsidRDefault="00C62183">
      <w:pPr>
        <w:jc w:val="both"/>
      </w:pPr>
      <w:r>
        <w:rPr>
          <w:rFonts w:ascii="仿宋_GB2312" w:hAnsi="仿宋_GB2312"/>
        </w:rPr>
        <w:t xml:space="preserve">8.1 </w:t>
      </w:r>
      <w:r>
        <w:rPr>
          <w:rFonts w:ascii="仿宋_GB2312" w:hAnsi="仿宋_GB2312"/>
        </w:rPr>
        <w:t>团队组织架构</w:t>
      </w:r>
    </w:p>
    <w:p w14:paraId="2581BAD0" w14:textId="77777777" w:rsidR="008D7827" w:rsidRDefault="00C62183">
      <w:pPr>
        <w:jc w:val="both"/>
      </w:pPr>
      <w:r>
        <w:rPr>
          <w:rFonts w:ascii="仿宋_GB2312" w:hAnsi="仿宋_GB2312"/>
        </w:rPr>
        <w:t xml:space="preserve">8.2 </w:t>
      </w:r>
      <w:r>
        <w:rPr>
          <w:rFonts w:ascii="仿宋_GB2312" w:hAnsi="仿宋_GB2312"/>
        </w:rPr>
        <w:t>专家顾问团队</w:t>
      </w:r>
    </w:p>
    <w:p w14:paraId="7CE880EB" w14:textId="77777777" w:rsidR="008D7827" w:rsidRDefault="00C62183">
      <w:pPr>
        <w:jc w:val="both"/>
      </w:pPr>
      <w:r>
        <w:rPr>
          <w:rFonts w:ascii="仿宋_GB2312" w:hAnsi="仿宋_GB2312"/>
        </w:rPr>
        <w:t xml:space="preserve">8.3 </w:t>
      </w:r>
      <w:r>
        <w:rPr>
          <w:rFonts w:ascii="仿宋_GB2312" w:hAnsi="仿宋_GB2312"/>
        </w:rPr>
        <w:t>核心团队成员介绍</w:t>
      </w:r>
    </w:p>
    <w:p w14:paraId="7EA6C2E2" w14:textId="77777777" w:rsidR="008D7827" w:rsidRDefault="00C62183">
      <w:pPr>
        <w:jc w:val="both"/>
      </w:pPr>
      <w:r>
        <w:rPr>
          <w:rFonts w:ascii="仿宋_GB2312" w:hAnsi="仿宋_GB2312"/>
        </w:rPr>
        <w:t xml:space="preserve">8.4 </w:t>
      </w:r>
      <w:r>
        <w:rPr>
          <w:rFonts w:ascii="仿宋_GB2312" w:hAnsi="仿宋_GB2312"/>
        </w:rPr>
        <w:t>团队核心优势</w:t>
      </w:r>
    </w:p>
    <w:p w14:paraId="5E8F60B2" w14:textId="77777777" w:rsidR="008D7827" w:rsidRDefault="00C62183">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3D7D6B99" w14:textId="77777777" w:rsidR="008D7827" w:rsidRDefault="00C62183">
      <w:pPr>
        <w:jc w:val="both"/>
      </w:pPr>
      <w:r>
        <w:rPr>
          <w:rFonts w:ascii="仿宋_GB2312" w:hAnsi="仿宋_GB2312"/>
        </w:rPr>
        <w:t xml:space="preserve">9.1 </w:t>
      </w:r>
      <w:r>
        <w:rPr>
          <w:rFonts w:ascii="仿宋_GB2312" w:hAnsi="仿宋_GB2312"/>
        </w:rPr>
        <w:t>财务假设前提</w:t>
      </w:r>
    </w:p>
    <w:p w14:paraId="0F95ABBF" w14:textId="77777777" w:rsidR="008D7827" w:rsidRDefault="00C62183">
      <w:pPr>
        <w:jc w:val="both"/>
      </w:pPr>
      <w:r>
        <w:rPr>
          <w:rFonts w:ascii="仿宋_GB2312" w:hAnsi="仿宋_GB2312"/>
        </w:rPr>
        <w:t xml:space="preserve">9.2 </w:t>
      </w:r>
      <w:r>
        <w:rPr>
          <w:rFonts w:ascii="仿宋_GB2312" w:hAnsi="仿宋_GB2312"/>
        </w:rPr>
        <w:t>三情景核心假设对比</w:t>
      </w:r>
    </w:p>
    <w:p w14:paraId="7BEA65B9" w14:textId="77777777" w:rsidR="008D7827" w:rsidRDefault="00C62183">
      <w:pPr>
        <w:jc w:val="both"/>
      </w:pPr>
      <w:r>
        <w:rPr>
          <w:rFonts w:ascii="仿宋_GB2312" w:hAnsi="仿宋_GB2312"/>
        </w:rPr>
        <w:t xml:space="preserve">9.3 </w:t>
      </w:r>
      <w:r>
        <w:rPr>
          <w:rFonts w:ascii="仿宋_GB2312" w:hAnsi="仿宋_GB2312"/>
        </w:rPr>
        <w:t>五年损益预测</w:t>
      </w:r>
    </w:p>
    <w:p w14:paraId="6A4D51E8" w14:textId="77777777" w:rsidR="008D7827" w:rsidRDefault="00C62183">
      <w:pPr>
        <w:jc w:val="both"/>
      </w:pPr>
      <w:r>
        <w:rPr>
          <w:rFonts w:ascii="仿宋_GB2312" w:hAnsi="仿宋_GB2312"/>
        </w:rPr>
        <w:t xml:space="preserve">9.4 </w:t>
      </w:r>
      <w:r>
        <w:rPr>
          <w:rFonts w:ascii="仿宋_GB2312" w:hAnsi="仿宋_GB2312"/>
        </w:rPr>
        <w:t>五年现金流量预测</w:t>
      </w:r>
    </w:p>
    <w:p w14:paraId="334C1A1B" w14:textId="77777777" w:rsidR="008D7827" w:rsidRDefault="00C62183">
      <w:pPr>
        <w:jc w:val="both"/>
      </w:pPr>
      <w:r>
        <w:rPr>
          <w:rFonts w:ascii="仿宋_GB2312" w:hAnsi="仿宋_GB2312"/>
        </w:rPr>
        <w:t xml:space="preserve">9.5 </w:t>
      </w:r>
      <w:r>
        <w:rPr>
          <w:rFonts w:ascii="仿宋_GB2312" w:hAnsi="仿宋_GB2312"/>
        </w:rPr>
        <w:t>资产负债结构判断</w:t>
      </w:r>
    </w:p>
    <w:p w14:paraId="09925C12" w14:textId="77777777" w:rsidR="008D7827" w:rsidRDefault="00C62183">
      <w:pPr>
        <w:jc w:val="both"/>
      </w:pPr>
      <w:r>
        <w:rPr>
          <w:rFonts w:ascii="仿宋_GB2312" w:hAnsi="仿宋_GB2312"/>
        </w:rPr>
        <w:t xml:space="preserve">9.6 </w:t>
      </w:r>
      <w:r>
        <w:rPr>
          <w:rFonts w:ascii="仿宋_GB2312" w:hAnsi="仿宋_GB2312"/>
        </w:rPr>
        <w:t>三情景营收与盈利对比</w:t>
      </w:r>
    </w:p>
    <w:p w14:paraId="4EE2E559" w14:textId="77777777" w:rsidR="008D7827" w:rsidRDefault="00C62183">
      <w:pPr>
        <w:jc w:val="both"/>
      </w:pPr>
      <w:r>
        <w:rPr>
          <w:rFonts w:ascii="仿宋_GB2312" w:hAnsi="仿宋_GB2312"/>
        </w:rPr>
        <w:t xml:space="preserve">9.7 </w:t>
      </w:r>
      <w:r>
        <w:rPr>
          <w:rFonts w:ascii="仿宋_GB2312" w:hAnsi="仿宋_GB2312"/>
        </w:rPr>
        <w:t>盈亏平衡分析</w:t>
      </w:r>
    </w:p>
    <w:p w14:paraId="718553C2" w14:textId="77777777" w:rsidR="008D7827" w:rsidRDefault="00C62183">
      <w:pPr>
        <w:jc w:val="both"/>
      </w:pPr>
      <w:r>
        <w:rPr>
          <w:rFonts w:ascii="仿宋_GB2312" w:hAnsi="仿宋_GB2312"/>
        </w:rPr>
        <w:t xml:space="preserve">9.8 </w:t>
      </w:r>
      <w:r>
        <w:rPr>
          <w:rFonts w:ascii="仿宋_GB2312" w:hAnsi="仿宋_GB2312"/>
        </w:rPr>
        <w:t>敏感性分析</w:t>
      </w:r>
    </w:p>
    <w:p w14:paraId="22EB1DCF" w14:textId="77777777" w:rsidR="008D7827" w:rsidRDefault="00C62183">
      <w:pPr>
        <w:jc w:val="both"/>
      </w:pPr>
      <w:r>
        <w:rPr>
          <w:rFonts w:ascii="仿宋_GB2312" w:hAnsi="仿宋_GB2312"/>
        </w:rPr>
        <w:t xml:space="preserve">9.9 </w:t>
      </w:r>
      <w:r>
        <w:rPr>
          <w:rFonts w:ascii="仿宋_GB2312" w:hAnsi="仿宋_GB2312"/>
        </w:rPr>
        <w:t>关键财务比率趋势</w:t>
      </w:r>
    </w:p>
    <w:p w14:paraId="30E34A11" w14:textId="77777777" w:rsidR="008D7827" w:rsidRDefault="00C62183">
      <w:pPr>
        <w:jc w:val="both"/>
      </w:pPr>
      <w:r>
        <w:rPr>
          <w:rFonts w:ascii="仿宋_GB2312" w:hAnsi="仿宋_GB2312"/>
        </w:rPr>
        <w:t xml:space="preserve">9.10 </w:t>
      </w:r>
      <w:r>
        <w:rPr>
          <w:rFonts w:ascii="仿宋_GB2312" w:hAnsi="仿宋_GB2312"/>
        </w:rPr>
        <w:t>资本需求与融资规划</w:t>
      </w:r>
    </w:p>
    <w:p w14:paraId="1A9D4D0A" w14:textId="77777777" w:rsidR="008D7827" w:rsidRDefault="00C62183">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1FA12A76" w14:textId="77777777" w:rsidR="008D7827" w:rsidRDefault="00C62183">
      <w:pPr>
        <w:jc w:val="both"/>
      </w:pPr>
      <w:r>
        <w:rPr>
          <w:rFonts w:ascii="仿宋_GB2312" w:hAnsi="仿宋_GB2312"/>
        </w:rPr>
        <w:t xml:space="preserve">10.1 </w:t>
      </w:r>
      <w:r>
        <w:rPr>
          <w:rFonts w:ascii="仿宋_GB2312" w:hAnsi="仿宋_GB2312"/>
        </w:rPr>
        <w:t>分析假设条件声明</w:t>
      </w:r>
    </w:p>
    <w:p w14:paraId="04E6C2B1" w14:textId="77777777" w:rsidR="008D7827" w:rsidRDefault="00C62183">
      <w:pPr>
        <w:jc w:val="both"/>
      </w:pPr>
      <w:r>
        <w:rPr>
          <w:rFonts w:ascii="仿宋_GB2312" w:hAnsi="仿宋_GB2312"/>
        </w:rPr>
        <w:t xml:space="preserve">10.2 </w:t>
      </w:r>
      <w:r>
        <w:rPr>
          <w:rFonts w:ascii="仿宋_GB2312" w:hAnsi="仿宋_GB2312"/>
        </w:rPr>
        <w:t>财务风险维度分析</w:t>
      </w:r>
    </w:p>
    <w:p w14:paraId="23C7C144" w14:textId="77777777" w:rsidR="008D7827" w:rsidRDefault="00C62183">
      <w:pPr>
        <w:jc w:val="both"/>
      </w:pPr>
      <w:r>
        <w:rPr>
          <w:rFonts w:ascii="仿宋_GB2312" w:hAnsi="仿宋_GB2312"/>
        </w:rPr>
        <w:t xml:space="preserve">10.3 </w:t>
      </w:r>
      <w:r>
        <w:rPr>
          <w:rFonts w:ascii="仿宋_GB2312" w:hAnsi="仿宋_GB2312"/>
        </w:rPr>
        <w:t>市场风险维度分析</w:t>
      </w:r>
    </w:p>
    <w:p w14:paraId="414E13B0" w14:textId="77777777" w:rsidR="008D7827" w:rsidRDefault="00C62183">
      <w:pPr>
        <w:jc w:val="both"/>
      </w:pPr>
      <w:r>
        <w:rPr>
          <w:rFonts w:ascii="仿宋_GB2312" w:hAnsi="仿宋_GB2312"/>
        </w:rPr>
        <w:lastRenderedPageBreak/>
        <w:t xml:space="preserve">10.4 </w:t>
      </w:r>
      <w:r>
        <w:rPr>
          <w:rFonts w:ascii="仿宋_GB2312" w:hAnsi="仿宋_GB2312"/>
        </w:rPr>
        <w:t>运营风险维度分析</w:t>
      </w:r>
    </w:p>
    <w:p w14:paraId="6B561370" w14:textId="77777777" w:rsidR="008D7827" w:rsidRDefault="00C62183">
      <w:pPr>
        <w:jc w:val="both"/>
      </w:pPr>
      <w:r>
        <w:rPr>
          <w:rFonts w:ascii="仿宋_GB2312" w:hAnsi="仿宋_GB2312"/>
        </w:rPr>
        <w:t xml:space="preserve">10.5 </w:t>
      </w:r>
      <w:r>
        <w:rPr>
          <w:rFonts w:ascii="仿宋_GB2312" w:hAnsi="仿宋_GB2312"/>
        </w:rPr>
        <w:t>技术与合规风险维度分析</w:t>
      </w:r>
    </w:p>
    <w:p w14:paraId="60349AFC" w14:textId="77777777" w:rsidR="008D7827" w:rsidRDefault="00C62183">
      <w:pPr>
        <w:jc w:val="both"/>
      </w:pPr>
      <w:r>
        <w:rPr>
          <w:rFonts w:ascii="仿宋_GB2312" w:hAnsi="仿宋_GB2312"/>
        </w:rPr>
        <w:t xml:space="preserve">10.6 </w:t>
      </w:r>
      <w:r>
        <w:rPr>
          <w:rFonts w:ascii="仿宋_GB2312" w:hAnsi="仿宋_GB2312"/>
        </w:rPr>
        <w:t>风险量化评估矩阵</w:t>
      </w:r>
    </w:p>
    <w:p w14:paraId="5D2A9395" w14:textId="77777777" w:rsidR="008D7827" w:rsidRDefault="00C62183">
      <w:pPr>
        <w:jc w:val="both"/>
      </w:pPr>
      <w:r>
        <w:rPr>
          <w:rFonts w:ascii="仿宋_GB2312" w:hAnsi="仿宋_GB2312"/>
        </w:rPr>
        <w:t xml:space="preserve">10.7 </w:t>
      </w:r>
      <w:r>
        <w:rPr>
          <w:rFonts w:ascii="仿宋_GB2312" w:hAnsi="仿宋_GB2312"/>
        </w:rPr>
        <w:t>三情景风险演变路径</w:t>
      </w:r>
    </w:p>
    <w:p w14:paraId="456C9365" w14:textId="77777777" w:rsidR="008D7827" w:rsidRDefault="00C62183">
      <w:pPr>
        <w:jc w:val="both"/>
      </w:pPr>
      <w:r>
        <w:rPr>
          <w:rFonts w:ascii="仿宋_GB2312" w:hAnsi="仿宋_GB2312"/>
        </w:rPr>
        <w:t xml:space="preserve">10.8 </w:t>
      </w:r>
      <w:r>
        <w:rPr>
          <w:rFonts w:ascii="仿宋_GB2312" w:hAnsi="仿宋_GB2312"/>
        </w:rPr>
        <w:t>风险应对策略矩阵</w:t>
      </w:r>
    </w:p>
    <w:p w14:paraId="715F627B" w14:textId="77777777" w:rsidR="008D7827" w:rsidRDefault="00C62183">
      <w:pPr>
        <w:jc w:val="both"/>
      </w:pPr>
      <w:r>
        <w:rPr>
          <w:rFonts w:ascii="仿宋_GB2312" w:hAnsi="仿宋_GB2312"/>
        </w:rPr>
        <w:t xml:space="preserve">10.9 </w:t>
      </w:r>
      <w:r>
        <w:rPr>
          <w:rFonts w:ascii="仿宋_GB2312" w:hAnsi="仿宋_GB2312"/>
        </w:rPr>
        <w:t>关键风险指标监控建议</w:t>
      </w:r>
    </w:p>
    <w:p w14:paraId="7351EBE3" w14:textId="77777777" w:rsidR="008D7827" w:rsidRDefault="008D7827">
      <w:pPr>
        <w:sectPr w:rsidR="008D7827">
          <w:pgSz w:w="11906" w:h="16838"/>
          <w:pgMar w:top="1417" w:right="1417" w:bottom="1417" w:left="1417" w:header="850" w:footer="992" w:gutter="0"/>
          <w:cols w:space="720"/>
          <w:docGrid w:linePitch="360"/>
        </w:sectPr>
      </w:pPr>
    </w:p>
    <w:p w14:paraId="28D35030" w14:textId="77777777" w:rsidR="008D7827" w:rsidRDefault="00C62183">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随着区域品牌果品经营由规模竞争逐步转向品质竞争、品牌竞争和标准竞争，橙类产品在基地分级、渠道验货、品牌展示和区域管理中长期存在三类突出问题：其一，人工分级受经验差异影响明显，同批果品在不同主体之间容易出现等级判断不一致的情况；其二，产地信息缺乏稳定、可复核的数字化依据，品牌果在对外销售和渠道合作中往往难以形成有说服力的溯源证明；其三，批次检测结果分散在纸质记录、临时表格和口头说明之中，难以持续沉淀，无法转化为后续复检、复盘、品牌说明和区域样本管理的长期资产。在品牌果、电商果、礼盒果和渠道采购场景快速发展的背景下，上述问题已直接影响果品议价能力、渠道信任程度和品牌经营效率。针对这一现实需求，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智能分析平台，围绕橙类产品构建集数据文件上传、等级识别、产地溯源、品质分析和报告输出于一体的数字化解决方案。项目以高光谱成像、多任务建模和双端系统开发为核心技术支撑，面向样本文件接入、批次智能分析、异常样本提示、历史数据沉淀和标准化报告生成等关键环节进行整体设计，推动橙类品质管理由经验判断转向数据判读、由单次检测转向持续留档、由结果展示转向业务应用。当前项目已完成网站端与小程序端开发，支持</w:t>
      </w:r>
      <w:r>
        <w:rPr>
          <w:rFonts w:ascii="仿宋_GB2312" w:hAnsi="仿宋_GB2312"/>
        </w:rPr>
        <w:t xml:space="preserve"> HDR</w:t>
      </w:r>
      <w:r>
        <w:rPr>
          <w:rFonts w:ascii="仿宋_GB2312" w:hAnsi="仿宋_GB2312"/>
        </w:rPr>
        <w:t>、</w:t>
      </w:r>
      <w:r>
        <w:rPr>
          <w:rFonts w:ascii="仿宋_GB2312" w:hAnsi="仿宋_GB2312"/>
        </w:rPr>
        <w:t>R</w:t>
      </w:r>
      <w:r>
        <w:rPr>
          <w:rFonts w:ascii="仿宋_GB2312" w:hAnsi="仿宋_GB2312"/>
        </w:rPr>
        <w:t>AW</w:t>
      </w:r>
      <w:r>
        <w:rPr>
          <w:rFonts w:ascii="仿宋_GB2312" w:hAnsi="仿宋_GB2312"/>
        </w:rPr>
        <w:t>、</w:t>
      </w:r>
      <w:r>
        <w:rPr>
          <w:rFonts w:ascii="仿宋_GB2312" w:hAnsi="仿宋_GB2312"/>
        </w:rPr>
        <w:t xml:space="preserve">CSV </w:t>
      </w:r>
      <w:r>
        <w:rPr>
          <w:rFonts w:ascii="仿宋_GB2312" w:hAnsi="仿宋_GB2312"/>
        </w:rPr>
        <w:t>等文件接入，其中网站端可实现批量分析、模型解释、历史管理和报告导出，小程序端可实现移动上传、采样登记、结果查询和历史回看，形成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的完整业务链路。系统当前单次分析流程约</w:t>
      </w:r>
      <w:r>
        <w:rPr>
          <w:rFonts w:ascii="仿宋_GB2312" w:hAnsi="仿宋_GB2312"/>
        </w:rPr>
        <w:t xml:space="preserve"> 1.2 </w:t>
      </w:r>
      <w:r>
        <w:rPr>
          <w:rFonts w:ascii="仿宋_GB2312" w:hAnsi="仿宋_GB2312"/>
        </w:rPr>
        <w:t>秒，演示场景中产地识别置信度达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样本对比数据，已具备场景试点基础。围绕澄迈福橙、琼中绿橙等区域品牌果品，项目可服务基地分级、渠道验货、品牌展示、区域质量管理和品牌果数字化运营等应用场景，为样本标准统一、批次结果复核、品牌报告输出和区域样本库建设提供可复核、可追溯、可沉淀的数据支撑。项目后续可进一步延伸至区域样本库建设、品牌果数字化管理和果品质量服务平台建设，形成橙类智能分析服务体系。</w:t>
      </w:r>
    </w:p>
    <w:p w14:paraId="4DB80A7E" w14:textId="77777777" w:rsidR="008D7827" w:rsidRDefault="00C62183">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28776170" w14:textId="77777777" w:rsidR="008D7827" w:rsidRDefault="008D7827">
      <w:pPr>
        <w:sectPr w:rsidR="008D7827">
          <w:pgSz w:w="11906" w:h="16838"/>
          <w:pgMar w:top="1417" w:right="1417" w:bottom="1417" w:left="1417" w:header="850" w:footer="992" w:gutter="0"/>
          <w:cols w:space="720"/>
          <w:docGrid w:linePitch="360"/>
        </w:sectPr>
      </w:pPr>
    </w:p>
    <w:p w14:paraId="06E1BB1D" w14:textId="77777777" w:rsidR="008D7827" w:rsidRDefault="00C62183">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1CD40E92" w14:textId="77777777" w:rsidR="008D7827" w:rsidRDefault="00C62183">
      <w:pPr>
        <w:pStyle w:val="21"/>
        <w:ind w:firstLine="0"/>
      </w:pPr>
      <w:r>
        <w:rPr>
          <w:rFonts w:ascii="楷体_GB2312" w:eastAsia="楷体_GB2312" w:hAnsi="楷体_GB2312"/>
        </w:rPr>
        <w:t xml:space="preserve">1.1 </w:t>
      </w:r>
      <w:r>
        <w:rPr>
          <w:rFonts w:ascii="楷体_GB2312" w:eastAsia="楷体_GB2312" w:hAnsi="楷体_GB2312"/>
        </w:rPr>
        <w:t>项目背景</w:t>
      </w:r>
    </w:p>
    <w:p w14:paraId="0E3FB203" w14:textId="77777777" w:rsidR="008D7827" w:rsidRDefault="00C62183">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3C9CCEB1" w14:textId="77777777" w:rsidR="008D7827" w:rsidRDefault="00C62183">
      <w:pPr>
        <w:jc w:val="both"/>
      </w:pPr>
      <w:r>
        <w:rPr>
          <w:rFonts w:ascii="仿宋_GB2312" w:hAnsi="仿宋_GB2312"/>
        </w:rPr>
        <w:t>从行业规模看，这一问题具有长期性和普遍性。农业农村部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。在供给充足、价格承压的市场环境下，品质证明、等级分层和产地可信表达已成为品牌果经营中的关键能力。</w:t>
      </w:r>
    </w:p>
    <w:p w14:paraId="66B23F94" w14:textId="77777777" w:rsidR="008D7827" w:rsidRDefault="00C62183">
      <w:pPr>
        <w:jc w:val="both"/>
      </w:pPr>
      <w:r>
        <w:rPr>
          <w:rFonts w:ascii="仿宋_GB2312" w:hAnsi="仿宋_GB2312"/>
        </w:rPr>
        <w:t>从区域场景看，海南具备较好的应用基础。根据海南省统计局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。澄迈福橙、琼中绿橙等区域品牌果品既需要稳定分级，也需要清晰溯源和标准化对外说明，这为项目应用提供了明确的落点。</w:t>
      </w:r>
    </w:p>
    <w:p w14:paraId="5F3E0474" w14:textId="77777777" w:rsidR="008D7827" w:rsidRDefault="00C62183">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橙类产品在分级、验货、溯源和品牌表达中的实际业务需求。</w:t>
      </w:r>
    </w:p>
    <w:p w14:paraId="693DC15C" w14:textId="77777777" w:rsidR="008D7827" w:rsidRDefault="00C62183">
      <w:pPr>
        <w:pStyle w:val="21"/>
        <w:ind w:firstLine="0"/>
      </w:pPr>
      <w:r>
        <w:rPr>
          <w:rFonts w:ascii="楷体_GB2312" w:eastAsia="楷体_GB2312" w:hAnsi="楷体_GB2312"/>
        </w:rPr>
        <w:t xml:space="preserve">1.2 </w:t>
      </w:r>
      <w:r>
        <w:rPr>
          <w:rFonts w:ascii="楷体_GB2312" w:eastAsia="楷体_GB2312" w:hAnsi="楷体_GB2312"/>
        </w:rPr>
        <w:t>政策支持</w:t>
      </w:r>
    </w:p>
    <w:p w14:paraId="012FE3DB" w14:textId="77777777" w:rsidR="008D7827" w:rsidRDefault="00C62183">
      <w:pPr>
        <w:ind w:firstLine="0"/>
      </w:pPr>
      <w:r>
        <w:rPr>
          <w:rFonts w:ascii="仿宋_GB2312" w:hAnsi="仿宋_GB2312"/>
        </w:rPr>
        <w:t xml:space="preserve">1.2.1 </w:t>
      </w:r>
      <w:r>
        <w:rPr>
          <w:rFonts w:ascii="仿宋_GB2312" w:hAnsi="仿宋_GB2312"/>
        </w:rPr>
        <w:t>国家智慧农业与追溯政策支撑</w:t>
      </w:r>
    </w:p>
    <w:p w14:paraId="2544FE95" w14:textId="77777777" w:rsidR="008D7827" w:rsidRDefault="00C62183">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以上，重点推动农业全链条数字化、智能化升级。橙源智鉴对应数据采集、智能分析和结果交付环节，网站端、小程序端和标准报告能够承接这一应用链路。</w:t>
      </w:r>
    </w:p>
    <w:p w14:paraId="62E7728B" w14:textId="77777777" w:rsidR="008D7827" w:rsidRDefault="00C62183">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642230B9" w14:textId="77777777" w:rsidR="008D7827" w:rsidRDefault="00C62183">
      <w:pPr>
        <w:ind w:firstLine="0"/>
      </w:pPr>
      <w:r>
        <w:rPr>
          <w:rFonts w:ascii="仿宋_GB2312" w:hAnsi="仿宋_GB2312"/>
        </w:rPr>
        <w:t xml:space="preserve">1.2.2 </w:t>
      </w:r>
      <w:r>
        <w:rPr>
          <w:rFonts w:ascii="仿宋_GB2312" w:hAnsi="仿宋_GB2312"/>
        </w:rPr>
        <w:t>海南区域产业与人工智能场景支撑</w:t>
      </w:r>
    </w:p>
    <w:p w14:paraId="0EB412DC" w14:textId="77777777" w:rsidR="008D7827" w:rsidRDefault="00C62183">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应用推广，为项目提供了明确落点。项目面向海南特色橙类产品的分选、验货和品牌管理场景开展应用。</w:t>
      </w:r>
    </w:p>
    <w:p w14:paraId="2D4439BF" w14:textId="77777777" w:rsidR="008D7827" w:rsidRDefault="00C62183">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2D68143A" w14:textId="77777777" w:rsidR="008D7827" w:rsidRDefault="00C62183">
      <w:pPr>
        <w:pStyle w:val="21"/>
        <w:ind w:firstLine="0"/>
      </w:pPr>
      <w:r>
        <w:rPr>
          <w:rFonts w:ascii="楷体_GB2312" w:eastAsia="楷体_GB2312" w:hAnsi="楷体_GB2312"/>
        </w:rPr>
        <w:t xml:space="preserve">1.3 </w:t>
      </w:r>
      <w:r>
        <w:rPr>
          <w:rFonts w:ascii="楷体_GB2312" w:eastAsia="楷体_GB2312" w:hAnsi="楷体_GB2312"/>
        </w:rPr>
        <w:t>技术支撑</w:t>
      </w:r>
    </w:p>
    <w:p w14:paraId="0CDCC59F" w14:textId="77777777" w:rsidR="008D7827" w:rsidRDefault="00C62183">
      <w:pPr>
        <w:ind w:firstLine="0"/>
      </w:pPr>
      <w:r>
        <w:rPr>
          <w:rFonts w:ascii="仿宋_GB2312" w:hAnsi="仿宋_GB2312"/>
        </w:rPr>
        <w:t xml:space="preserve">1.3.1 </w:t>
      </w:r>
      <w:r>
        <w:rPr>
          <w:rFonts w:ascii="仿宋_GB2312" w:hAnsi="仿宋_GB2312"/>
        </w:rPr>
        <w:t>高光谱成像提供无损检测基础</w:t>
      </w:r>
    </w:p>
    <w:p w14:paraId="0C96225B" w14:textId="77777777" w:rsidR="008D7827" w:rsidRDefault="00C62183">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76B0BC5F" w14:textId="77777777" w:rsidR="008D7827" w:rsidRDefault="00C62183">
      <w:pPr>
        <w:ind w:firstLine="0"/>
      </w:pPr>
      <w:r>
        <w:rPr>
          <w:rFonts w:ascii="仿宋_GB2312" w:hAnsi="仿宋_GB2312"/>
        </w:rPr>
        <w:t xml:space="preserve">1.3.2 </w:t>
      </w:r>
      <w:r>
        <w:rPr>
          <w:rFonts w:ascii="仿宋_GB2312" w:hAnsi="仿宋_GB2312"/>
        </w:rPr>
        <w:t>智能模型支撑分类与预测双任务</w:t>
      </w:r>
    </w:p>
    <w:p w14:paraId="75377501" w14:textId="77777777" w:rsidR="008D7827" w:rsidRDefault="00C62183">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6B90A82A" w14:textId="77777777" w:rsidR="008D7827" w:rsidRDefault="00C62183">
      <w:pPr>
        <w:ind w:firstLine="0"/>
      </w:pPr>
      <w:r>
        <w:rPr>
          <w:rFonts w:ascii="仿宋_GB2312" w:hAnsi="仿宋_GB2312"/>
        </w:rPr>
        <w:t xml:space="preserve">1.3.3 </w:t>
      </w:r>
      <w:r>
        <w:rPr>
          <w:rFonts w:ascii="仿宋_GB2312" w:hAnsi="仿宋_GB2312"/>
        </w:rPr>
        <w:t>平台系统为技术落地提供载体</w:t>
      </w:r>
    </w:p>
    <w:p w14:paraId="27903664" w14:textId="77777777" w:rsidR="008D7827" w:rsidRDefault="00C62183">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628359CA" w14:textId="77777777" w:rsidR="008D7827" w:rsidRDefault="00C62183">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641894D0" w14:textId="77777777" w:rsidR="008D7827" w:rsidRDefault="00C62183">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个连续波段点位和澄迈福橙、琼中绿橙对比数据；三是报告、历史页和模型页已经把分析结果做成可展示、可追溯、可复盘的成品。下一步重点是继续补强样本规模、标签质量和跨批次稳定性。</w:t>
      </w:r>
    </w:p>
    <w:p w14:paraId="1E11E820" w14:textId="77777777" w:rsidR="008D7827" w:rsidRDefault="00C62183">
      <w:pPr>
        <w:pStyle w:val="a0"/>
        <w:ind w:firstLine="0"/>
        <w:jc w:val="both"/>
      </w:pPr>
      <w:r>
        <w:rPr>
          <w:rFonts w:ascii="仿宋_GB2312" w:hAnsi="仿宋_GB2312"/>
        </w:rPr>
        <w:lastRenderedPageBreak/>
        <w:t>阶段目标一：形成一套能被重复执行的样本采集、编号、理化标注与数据录入模板。</w:t>
      </w:r>
    </w:p>
    <w:p w14:paraId="3002D111" w14:textId="77777777" w:rsidR="008D7827" w:rsidRDefault="00C62183">
      <w:pPr>
        <w:pStyle w:val="a0"/>
        <w:ind w:firstLine="0"/>
        <w:jc w:val="both"/>
      </w:pPr>
      <w:r>
        <w:rPr>
          <w:rFonts w:ascii="仿宋_GB2312" w:hAnsi="仿宋_GB2312"/>
        </w:rPr>
        <w:t>阶段目标二：把等级识别、产地溯源、异常提醒和报告输出稳定集成到网站端与小程序端。</w:t>
      </w:r>
    </w:p>
    <w:p w14:paraId="771B50EA" w14:textId="77777777" w:rsidR="008D7827" w:rsidRDefault="00C62183">
      <w:pPr>
        <w:pStyle w:val="a0"/>
        <w:ind w:firstLine="0"/>
        <w:jc w:val="both"/>
      </w:pPr>
      <w:r>
        <w:rPr>
          <w:rFonts w:ascii="仿宋_GB2312" w:hAnsi="仿宋_GB2312"/>
        </w:rPr>
        <w:t>阶段目标三：形成批量上传分析、移动端查询、历史档案管理和报告导出的完整产品闭环。</w:t>
      </w:r>
    </w:p>
    <w:p w14:paraId="6DFC15BE" w14:textId="77777777" w:rsidR="008D7827" w:rsidRDefault="00C62183">
      <w:pPr>
        <w:pStyle w:val="a0"/>
        <w:ind w:firstLine="0"/>
        <w:jc w:val="both"/>
      </w:pPr>
      <w:r>
        <w:rPr>
          <w:rFonts w:ascii="仿宋_GB2312" w:hAnsi="仿宋_GB2312"/>
        </w:rPr>
        <w:t>阶段目标四：围绕澄迈福橙、琼中绿橙等对象形成可展示、可验证、可复制的应用案例。</w:t>
      </w:r>
    </w:p>
    <w:p w14:paraId="7ADB1A39" w14:textId="77777777" w:rsidR="008D7827" w:rsidRDefault="00C62183">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4289F4D1" w14:textId="77777777" w:rsidR="008D7827" w:rsidRDefault="008D7827">
      <w:pPr>
        <w:sectPr w:rsidR="008D7827">
          <w:pgSz w:w="11906" w:h="16838"/>
          <w:pgMar w:top="1417" w:right="1417" w:bottom="1417" w:left="1417" w:header="850" w:footer="992" w:gutter="0"/>
          <w:cols w:space="720"/>
          <w:docGrid w:linePitch="360"/>
        </w:sectPr>
      </w:pPr>
    </w:p>
    <w:p w14:paraId="4181D65C" w14:textId="77777777" w:rsidR="008D7827" w:rsidRDefault="00C62183">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2D09587F" w14:textId="77777777" w:rsidR="008D7827" w:rsidRDefault="00C62183">
      <w:pPr>
        <w:pStyle w:val="21"/>
        <w:ind w:firstLine="0"/>
      </w:pPr>
      <w:r>
        <w:rPr>
          <w:rFonts w:ascii="楷体_GB2312" w:eastAsia="楷体_GB2312" w:hAnsi="楷体_GB2312"/>
        </w:rPr>
        <w:t xml:space="preserve">2.1 </w:t>
      </w:r>
      <w:r>
        <w:rPr>
          <w:rFonts w:ascii="楷体_GB2312" w:eastAsia="楷体_GB2312" w:hAnsi="楷体_GB2312"/>
        </w:rPr>
        <w:t>社会效益</w:t>
      </w:r>
    </w:p>
    <w:p w14:paraId="5A94C824" w14:textId="77777777" w:rsidR="008D7827" w:rsidRDefault="00C62183">
      <w:pPr>
        <w:jc w:val="both"/>
      </w:pPr>
      <w:r>
        <w:rPr>
          <w:rFonts w:ascii="仿宋_GB2312" w:hAnsi="仿宋_GB2312"/>
        </w:rPr>
        <w:t>橙源智鉴的社会效益主要体现在果品质量管理方式的规范化上。项目将采样登记、文件上传、等级识别、结果留档和报告输出纳入统一流程，能够减少基地分级、渠道验货和结果登记中长期存在的口径差异问题。对于区域品牌果品而言，分级标准以批次结果、历史记录和报告模板的形式固定后，果品质量管理即可形成持续复核和统一执行的基础。</w:t>
      </w:r>
    </w:p>
    <w:p w14:paraId="18CEFC46" w14:textId="77777777" w:rsidR="008D7827" w:rsidRDefault="00C62183">
      <w:pPr>
        <w:jc w:val="both"/>
      </w:pPr>
      <w:r>
        <w:rPr>
          <w:rFonts w:ascii="仿宋_GB2312" w:hAnsi="仿宋_GB2312"/>
        </w:rPr>
        <w:t>项目同时改善了果品在流通环节中的信息表达方式。渠道方验货时可以查看批次级等级结论、产地信息和历史记录，品牌方在对外展示时可以调用图文化报告、结果页面和批次档案。对于礼盒果、电商果、节庆果等销售场景，这类结果材料可直接用于验货、展示和复核。</w:t>
      </w:r>
    </w:p>
    <w:p w14:paraId="57B0D22F" w14:textId="77777777" w:rsidR="008D7827" w:rsidRDefault="00C62183">
      <w:pPr>
        <w:jc w:val="both"/>
      </w:pPr>
      <w:r>
        <w:rPr>
          <w:rFonts w:ascii="仿宋_GB2312" w:hAnsi="仿宋_GB2312"/>
        </w:rPr>
        <w:t>项目的长期社会价值还在于数据沉淀。每次上传形成的样本文件、理化标签、分析结果、异常记录和报告版本都可继续用于复检、复盘、模型更新和区域样本库扩充。对地方特色果品产业而言，持续积累的批次档案和标准化结果不仅关系到一次销售，更关系到后续品牌档案建设、追溯体系完善和区域质量服务能力提升。</w:t>
      </w:r>
    </w:p>
    <w:p w14:paraId="357C3D3A" w14:textId="77777777" w:rsidR="008D7827" w:rsidRDefault="00C62183">
      <w:pPr>
        <w:pStyle w:val="21"/>
        <w:ind w:firstLine="0"/>
      </w:pPr>
      <w:r>
        <w:rPr>
          <w:rFonts w:ascii="楷体_GB2312" w:eastAsia="楷体_GB2312" w:hAnsi="楷体_GB2312"/>
        </w:rPr>
        <w:t xml:space="preserve">2.2 </w:t>
      </w:r>
      <w:r>
        <w:rPr>
          <w:rFonts w:ascii="楷体_GB2312" w:eastAsia="楷体_GB2312" w:hAnsi="楷体_GB2312"/>
        </w:rPr>
        <w:t>经济效益</w:t>
      </w:r>
    </w:p>
    <w:p w14:paraId="7A459FFA" w14:textId="77777777" w:rsidR="008D7827" w:rsidRDefault="00C62183">
      <w:pPr>
        <w:jc w:val="both"/>
      </w:pPr>
      <w:r>
        <w:rPr>
          <w:rFonts w:ascii="仿宋_GB2312" w:hAnsi="仿宋_GB2312"/>
        </w:rPr>
        <w:t>项目的经济效益主要体现在经营环节的提效和降损上。对于果园、合作社和分选中心而言，系统接入后能够缩短批次判断时间，减少重复抽检和错分级带来的损失，提高高等级果品的识别效率和分流效率。优质果能够更早进入匹配渠道，普通果能够避免高估后带来的退货和争议，经营主体在人工、时间和分选成本上的投入将得到优化。</w:t>
      </w:r>
    </w:p>
    <w:p w14:paraId="5C1725B7" w14:textId="77777777" w:rsidR="008D7827" w:rsidRDefault="00C62183">
      <w:pPr>
        <w:jc w:val="both"/>
      </w:pPr>
      <w:r>
        <w:rPr>
          <w:rFonts w:ascii="仿宋_GB2312" w:hAnsi="仿宋_GB2312"/>
        </w:rPr>
        <w:t>项目的另一项经济效益来自批次结果的持续使用价值。等级结果、产地结果和历史记录一旦能够按批次输出并进入报告体系，品牌方和渠道方在合作谈判中就不仅比较价格，还会比较稳定性、可追溯性和结果完整度。该类收益通常先表现为验货争议减少、退货率下降和复购率提升，随后逐步反映到礼盒果、品牌果和定制果的溢价空间之中。</w:t>
      </w:r>
    </w:p>
    <w:p w14:paraId="7F0ECCE5" w14:textId="77777777" w:rsidR="008D7827" w:rsidRDefault="00C62183">
      <w:pPr>
        <w:jc w:val="both"/>
      </w:pPr>
      <w:r>
        <w:rPr>
          <w:rFonts w:ascii="仿宋_GB2312" w:hAnsi="仿宋_GB2312"/>
        </w:rPr>
        <w:lastRenderedPageBreak/>
        <w:t>对项目本身而言，当前平台已经具备批次分析服务、年度账号服务和区域品牌定制服务的交付基础。新增合作一方面能够形成分析服务收入、订阅收入和定制收入，另一方面也会同步积累样本库、历史档案和报告模板，增强后续服务能力。项目的商业增长因此建立在现有产品和案例沉淀之上，具有较明确的持续转化基础。</w:t>
      </w:r>
    </w:p>
    <w:p w14:paraId="75D77136" w14:textId="77777777" w:rsidR="008D7827" w:rsidRDefault="00C62183">
      <w:pPr>
        <w:pStyle w:val="21"/>
        <w:ind w:firstLine="0"/>
      </w:pPr>
      <w:r>
        <w:rPr>
          <w:rFonts w:ascii="楷体_GB2312" w:eastAsia="楷体_GB2312" w:hAnsi="楷体_GB2312"/>
        </w:rPr>
        <w:t xml:space="preserve">2.3 </w:t>
      </w:r>
      <w:r>
        <w:rPr>
          <w:rFonts w:ascii="楷体_GB2312" w:eastAsia="楷体_GB2312" w:hAnsi="楷体_GB2312"/>
        </w:rPr>
        <w:t>教育引领</w:t>
      </w:r>
    </w:p>
    <w:p w14:paraId="651F26EA" w14:textId="77777777" w:rsidR="008D7827" w:rsidRDefault="00C62183">
      <w:pPr>
        <w:jc w:val="both"/>
      </w:pPr>
      <w:r>
        <w:rPr>
          <w:rFonts w:ascii="仿宋_GB2312" w:hAnsi="仿宋_GB2312"/>
        </w:rPr>
        <w:t>在教育引领方面，项目覆盖样本组织、理化标定、模型训练、接口开发、双端联调、报告生成和应用展示等完整流程，能够训练团队成员的数据处理能力、算法建模能力、产品开发能力和场景转化能力。该类复合型实践与智慧农业、人工智能应用开发和农业数字化服务等岗位的人才培养要求具有较高一致性。</w:t>
      </w:r>
    </w:p>
    <w:p w14:paraId="7724DA69" w14:textId="77777777" w:rsidR="008D7827" w:rsidRDefault="00C62183">
      <w:pPr>
        <w:jc w:val="both"/>
      </w:pPr>
      <w:r>
        <w:rPr>
          <w:rFonts w:ascii="仿宋_GB2312" w:hAnsi="仿宋_GB2312"/>
        </w:rPr>
        <w:t>围绕澄迈福橙、琼中绿橙等区域品牌形成稳定案例后，项目还能够为海南本地高校参与热带特色农业数字化建设提供可展示的样板。其价值不在于停留在实验室成果层面，而在于能够以网站端、小程序端和标准报告的形式进入真实应用场景，形成可复盘、可复制的实践基础。</w:t>
      </w:r>
    </w:p>
    <w:p w14:paraId="5BDBF491" w14:textId="77777777" w:rsidR="008D7827" w:rsidRDefault="00C62183">
      <w:pPr>
        <w:jc w:val="both"/>
      </w:pPr>
      <w:r>
        <w:rPr>
          <w:rFonts w:ascii="仿宋_GB2312" w:hAnsi="仿宋_GB2312"/>
        </w:rPr>
        <w:t>项目目前已完成网站端、小程序端和报告输出体系的协同构建，技术路线、产品形态和应用场景均已落实为可演示、可使用、可验证的成果。该成果形态可直接用于后续试点合作、项目申报和校地协同推进。</w:t>
      </w:r>
    </w:p>
    <w:p w14:paraId="2042336C" w14:textId="77777777" w:rsidR="008D7827" w:rsidRDefault="008D7827">
      <w:pPr>
        <w:sectPr w:rsidR="008D7827">
          <w:pgSz w:w="11906" w:h="16838"/>
          <w:pgMar w:top="1417" w:right="1417" w:bottom="1417" w:left="1417" w:header="850" w:footer="992" w:gutter="0"/>
          <w:cols w:space="720"/>
          <w:docGrid w:linePitch="360"/>
        </w:sectPr>
      </w:pPr>
    </w:p>
    <w:p w14:paraId="26BB7A6C" w14:textId="77777777" w:rsidR="008D7827" w:rsidRDefault="00C62183">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01543FF4" w14:textId="77777777" w:rsidR="008D7827" w:rsidRDefault="00C62183">
      <w:pPr>
        <w:pStyle w:val="21"/>
        <w:ind w:firstLine="0"/>
      </w:pPr>
      <w:r>
        <w:rPr>
          <w:rFonts w:ascii="楷体_GB2312" w:eastAsia="楷体_GB2312" w:hAnsi="楷体_GB2312"/>
        </w:rPr>
        <w:t xml:space="preserve">3.1 </w:t>
      </w:r>
      <w:r>
        <w:rPr>
          <w:rFonts w:ascii="楷体_GB2312" w:eastAsia="楷体_GB2312" w:hAnsi="楷体_GB2312"/>
        </w:rPr>
        <w:t>市场可行性</w:t>
      </w:r>
    </w:p>
    <w:p w14:paraId="18262865" w14:textId="77777777" w:rsidR="008D7827" w:rsidRDefault="00C62183">
      <w:pPr>
        <w:jc w:val="both"/>
      </w:pPr>
      <w:r>
        <w:rPr>
          <w:rFonts w:ascii="仿宋_GB2312" w:hAnsi="仿宋_GB2312"/>
        </w:rPr>
        <w:t>市场可行性建立在稳定存在的经营需求之上。对于品牌果、地理标志果和高价值果品来说，同一批货的分级准确性、产地说明和批次记录管理均属于长期存在的经营问题。系统只要能够稳定输出检测结果、历史记录和标准报告，即可进入果园、合作社、分选中心和品牌方的现有流程。</w:t>
      </w:r>
    </w:p>
    <w:p w14:paraId="0AE85960" w14:textId="77777777" w:rsidR="008D7827" w:rsidRDefault="00C62183">
      <w:pPr>
        <w:jc w:val="both"/>
      </w:pPr>
      <w:r>
        <w:rPr>
          <w:rFonts w:ascii="仿宋_GB2312" w:hAnsi="仿宋_GB2312"/>
        </w:rPr>
        <w:t>项目的切入对象较为聚焦。澄迈福橙、琼中绿橙等区域品牌果品同时具备品质分级需求、产地识别需求和数字化表达需求，适合作为首发场景进行验证。叠加智慧农业、农产品追溯和区域品牌经营等政策导向后，项目对应的是一组能够相互支撑的真实场景需求。</w:t>
      </w:r>
    </w:p>
    <w:p w14:paraId="0EB97D13" w14:textId="77777777" w:rsidR="008D7827" w:rsidRDefault="00C62183">
      <w:pPr>
        <w:pStyle w:val="21"/>
        <w:ind w:firstLine="0"/>
      </w:pPr>
      <w:r>
        <w:rPr>
          <w:rFonts w:ascii="楷体_GB2312" w:eastAsia="楷体_GB2312" w:hAnsi="楷体_GB2312"/>
        </w:rPr>
        <w:t xml:space="preserve">3.2 </w:t>
      </w:r>
      <w:r>
        <w:rPr>
          <w:rFonts w:ascii="楷体_GB2312" w:eastAsia="楷体_GB2312" w:hAnsi="楷体_GB2312"/>
        </w:rPr>
        <w:t>技术可行性</w:t>
      </w:r>
    </w:p>
    <w:p w14:paraId="7CFFFEC7" w14:textId="77777777" w:rsidR="008D7827" w:rsidRDefault="00C62183">
      <w:pPr>
        <w:jc w:val="both"/>
      </w:pPr>
      <w:r>
        <w:rPr>
          <w:rFonts w:ascii="仿宋_GB2312" w:hAnsi="仿宋_GB2312"/>
        </w:rPr>
        <w:t>技术可行性主要看两点：路线是否合理，成品是否已经搭起来。从路线看，项目采用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等指标预测，可解释模块负责说明判断依据，这条路线与项目任务是一一对应的。</w:t>
      </w:r>
    </w:p>
    <w:p w14:paraId="03DE1BAF" w14:textId="77777777" w:rsidR="008D7827" w:rsidRDefault="00C62183">
      <w:pPr>
        <w:jc w:val="both"/>
      </w:pPr>
      <w:r>
        <w:rPr>
          <w:rFonts w:ascii="仿宋_GB2312" w:hAnsi="仿宋_GB2312"/>
        </w:rPr>
        <w:t>从成品形态看，网站端已完成首页、大屏、分析页、模型页和历史页，小程序端已完成上传、登记、查询和回看，能够完整演示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个连续波段点位，并可展示澄迈福橙与琼中绿橙的对比分析。后续重点主要是扩样本、补季节和批次、提高标签精度、提升跨批次稳定性。</w:t>
      </w:r>
    </w:p>
    <w:p w14:paraId="7AD8BC59" w14:textId="77777777" w:rsidR="008D7827" w:rsidRDefault="00C62183">
      <w:pPr>
        <w:pStyle w:val="21"/>
        <w:ind w:firstLine="0"/>
      </w:pPr>
      <w:r>
        <w:rPr>
          <w:rFonts w:ascii="楷体_GB2312" w:eastAsia="楷体_GB2312" w:hAnsi="楷体_GB2312"/>
        </w:rPr>
        <w:t xml:space="preserve">3.3 </w:t>
      </w:r>
      <w:r>
        <w:rPr>
          <w:rFonts w:ascii="楷体_GB2312" w:eastAsia="楷体_GB2312" w:hAnsi="楷体_GB2312"/>
        </w:rPr>
        <w:t>经济可行性</w:t>
      </w:r>
    </w:p>
    <w:p w14:paraId="67BE8FE0" w14:textId="77777777" w:rsidR="008D7827" w:rsidRDefault="00C62183">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竞赛项目和高校团队分阶段推进。</w:t>
      </w:r>
    </w:p>
    <w:p w14:paraId="14A273CC" w14:textId="77777777" w:rsidR="008D7827" w:rsidRDefault="00C62183">
      <w:pPr>
        <w:jc w:val="both"/>
      </w:pPr>
      <w:r>
        <w:rPr>
          <w:rFonts w:ascii="仿宋_GB2312" w:hAnsi="仿宋_GB2312"/>
        </w:rPr>
        <w:t>收入端已与交付内容形成对应关系：批次文件分析服务对应分选和验货场景，年度账号服务对应长期使用客户，溯源报告和定制模型服务对应区域品牌和重点合作方。</w:t>
      </w:r>
      <w:r>
        <w:rPr>
          <w:rFonts w:ascii="仿宋_GB2312" w:hAnsi="仿宋_GB2312"/>
        </w:rPr>
        <w:lastRenderedPageBreak/>
        <w:t>商业化推进顺序可按照分析服务、年度订阅和区域共建依次展开，使现金流和交付能力保持同步增长。</w:t>
      </w:r>
    </w:p>
    <w:p w14:paraId="37411068" w14:textId="77777777" w:rsidR="008D7827" w:rsidRDefault="00C62183">
      <w:pPr>
        <w:pStyle w:val="21"/>
        <w:ind w:firstLine="0"/>
      </w:pPr>
      <w:r>
        <w:rPr>
          <w:rFonts w:ascii="楷体_GB2312" w:eastAsia="楷体_GB2312" w:hAnsi="楷体_GB2312"/>
        </w:rPr>
        <w:t xml:space="preserve">3.4 </w:t>
      </w:r>
      <w:r>
        <w:rPr>
          <w:rFonts w:ascii="楷体_GB2312" w:eastAsia="楷体_GB2312" w:hAnsi="楷体_GB2312"/>
        </w:rPr>
        <w:t>运营可行性</w:t>
      </w:r>
    </w:p>
    <w:p w14:paraId="561F4191" w14:textId="77777777" w:rsidR="008D7827" w:rsidRDefault="00C62183">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这使项目从竞赛文本走向场景试点具备现实条件。</w:t>
      </w:r>
    </w:p>
    <w:p w14:paraId="08234513" w14:textId="77777777" w:rsidR="008D7827" w:rsidRDefault="00C62183">
      <w:pPr>
        <w:jc w:val="both"/>
      </w:pPr>
      <w:r>
        <w:rPr>
          <w:rFonts w:ascii="仿宋_GB2312" w:hAnsi="仿宋_GB2312"/>
        </w:rPr>
        <w:t>项目推进路径可分为成品展示、试点验证、标准沉淀和区域复制四个阶段。网站端和小程序端已具备演示与试用条件，合作方可直接体验上传、分析、查询和回溯流程，对接路径较为明确。</w:t>
      </w:r>
    </w:p>
    <w:p w14:paraId="4C1DA4DF" w14:textId="77777777" w:rsidR="008D7827" w:rsidRDefault="008D7827">
      <w:pPr>
        <w:sectPr w:rsidR="008D7827">
          <w:pgSz w:w="11906" w:h="16838"/>
          <w:pgMar w:top="1417" w:right="1417" w:bottom="1417" w:left="1417" w:header="850" w:footer="992" w:gutter="0"/>
          <w:cols w:space="720"/>
          <w:docGrid w:linePitch="360"/>
        </w:sectPr>
      </w:pPr>
    </w:p>
    <w:p w14:paraId="284AD6FB" w14:textId="77777777" w:rsidR="008D7827" w:rsidRDefault="00C62183">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5A261819" w14:textId="77777777" w:rsidR="008D7827" w:rsidRDefault="00C62183">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02776AC7" w14:textId="77777777" w:rsidR="008D7827" w:rsidRDefault="00C62183">
      <w:pPr>
        <w:jc w:val="both"/>
      </w:pPr>
      <w:r>
        <w:rPr>
          <w:rFonts w:ascii="仿宋_GB2312" w:hAnsi="仿宋_GB2312"/>
        </w:rPr>
        <w:t>从行业基本盘看，橙类品质检测与产地识别具有稳定需求。农业农村部公开资料显示，我国柑橘种植面积约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。在该市场环境下，分级稳定性、品质说明能力和产地表达能力直接影响渠道稳定性和利润空间。</w:t>
      </w:r>
    </w:p>
    <w:p w14:paraId="3A47F2CA" w14:textId="77777777" w:rsidR="008D7827" w:rsidRDefault="00C62183">
      <w:pPr>
        <w:jc w:val="both"/>
      </w:pPr>
      <w:r>
        <w:rPr>
          <w:rFonts w:ascii="仿宋_GB2312" w:hAnsi="仿宋_GB2312"/>
        </w:rPr>
        <w:t>从项目切入场景看，海南特色水果产业给出了明确落点。根据海南省统计局发布的《海南省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同时存在等级识别、产地证明和品牌表达需求；礼盒果、电商果、商超定制果和节庆促销果等销售形态的增加，也推动检测需求向快速分析、数据沉淀和报告输出延伸。项目对应的正是这一类业务需求。</w:t>
      </w:r>
    </w:p>
    <w:p w14:paraId="753A0673" w14:textId="77777777" w:rsidR="008D7827" w:rsidRDefault="00C62183">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4E165D2B" w14:textId="77777777" w:rsidR="008D7827" w:rsidRDefault="00C62183">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4B0109F8" w14:textId="77777777" w:rsidR="008D7827" w:rsidRDefault="00C62183">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01E856A6" w14:textId="77777777" w:rsidR="008D7827" w:rsidRDefault="00C62183">
      <w:pPr>
        <w:pStyle w:val="21"/>
        <w:ind w:firstLine="0"/>
      </w:pPr>
      <w:r>
        <w:rPr>
          <w:rFonts w:ascii="楷体_GB2312" w:eastAsia="楷体_GB2312" w:hAnsi="楷体_GB2312"/>
        </w:rPr>
        <w:t xml:space="preserve">4.3 </w:t>
      </w:r>
      <w:r>
        <w:rPr>
          <w:rFonts w:ascii="楷体_GB2312" w:eastAsia="楷体_GB2312" w:hAnsi="楷体_GB2312"/>
        </w:rPr>
        <w:t>用户分析</w:t>
      </w:r>
    </w:p>
    <w:p w14:paraId="4950D2D4" w14:textId="77777777" w:rsidR="008D7827" w:rsidRDefault="00C62183">
      <w:pPr>
        <w:jc w:val="both"/>
      </w:pPr>
      <w:r>
        <w:rPr>
          <w:rFonts w:ascii="仿宋_GB2312" w:hAnsi="仿宋_GB2312"/>
        </w:rPr>
        <w:t>从用户结构看，果园、合作社、分选中心和初加工主体是核心用户之一。该类用户重点关注上传效率、分级准确性和批次记录完整性，因此对网站端的批量分析能力和小程序端的现场回看能力需求较高。</w:t>
      </w:r>
    </w:p>
    <w:p w14:paraId="3CB4F585" w14:textId="77777777" w:rsidR="008D7827" w:rsidRDefault="00C62183">
      <w:pPr>
        <w:jc w:val="both"/>
      </w:pPr>
      <w:r>
        <w:rPr>
          <w:rFonts w:ascii="仿宋_GB2312" w:hAnsi="仿宋_GB2312"/>
        </w:rPr>
        <w:lastRenderedPageBreak/>
        <w:t>品牌运营方、电商渠道、商超采购和礼盒定制客户构成另一组核心用户。该类用户除关注结果本身外，还关注结果在议价、展示和对外说明中的使用，因此对报告输出、历史档案、移动查询和分享功能依赖较高。地方监管辅助场景、区域品牌服务机构、高校团队和科研院所则更关注标准流程、样本管理和后续扩展。</w:t>
      </w:r>
    </w:p>
    <w:p w14:paraId="053BCC62" w14:textId="77777777" w:rsidR="008D7827" w:rsidRDefault="00C62183">
      <w:pPr>
        <w:pStyle w:val="21"/>
        <w:ind w:firstLine="0"/>
      </w:pPr>
      <w:r>
        <w:rPr>
          <w:rFonts w:ascii="楷体_GB2312" w:eastAsia="楷体_GB2312" w:hAnsi="楷体_GB2312"/>
        </w:rPr>
        <w:t xml:space="preserve">4.4 </w:t>
      </w:r>
      <w:r>
        <w:rPr>
          <w:rFonts w:ascii="楷体_GB2312" w:eastAsia="楷体_GB2312" w:hAnsi="楷体_GB2312"/>
        </w:rPr>
        <w:t>竞争分析</w:t>
      </w:r>
    </w:p>
    <w:p w14:paraId="621C6FA4" w14:textId="77777777" w:rsidR="008D7827" w:rsidRDefault="00C62183">
      <w:pPr>
        <w:jc w:val="both"/>
      </w:pPr>
      <w:r>
        <w:rPr>
          <w:rFonts w:ascii="仿宋_GB2312" w:hAnsi="仿宋_GB2312"/>
        </w:rPr>
        <w:t>从竞争关系看，传统检测机构和实验室方案的优势在于精密检测和标准仲裁，但其周期较长、场景较重，难以进入高频现场。橙源智鉴主要承担日常分级、验货和品牌表达中的快速判断任务。</w:t>
      </w:r>
    </w:p>
    <w:p w14:paraId="77F3CE93" w14:textId="77777777" w:rsidR="008D7827" w:rsidRDefault="00C62183">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将高光谱采集、等级识别、产地溯源、指标估计、可解释分析和双端报告纳入同一套系统，并以区域样本库、批次历史档案、双端产品闭环和场景案例构成当前阶段的主要竞争壁垒。</w:t>
      </w:r>
    </w:p>
    <w:p w14:paraId="5F48E219" w14:textId="77777777" w:rsidR="008D7827" w:rsidRDefault="008D7827">
      <w:pPr>
        <w:sectPr w:rsidR="008D7827">
          <w:pgSz w:w="11906" w:h="16838"/>
          <w:pgMar w:top="1417" w:right="1417" w:bottom="1417" w:left="1417" w:header="850" w:footer="992" w:gutter="0"/>
          <w:cols w:space="720"/>
          <w:docGrid w:linePitch="360"/>
        </w:sectPr>
      </w:pPr>
    </w:p>
    <w:p w14:paraId="0A16CD4D" w14:textId="77777777" w:rsidR="008D7827" w:rsidRDefault="00C62183">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27CEABE3" w14:textId="77777777" w:rsidR="008D7827" w:rsidRDefault="00C62183">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3EA4DDAF" w14:textId="77777777" w:rsidR="008D7827" w:rsidRDefault="00C62183">
      <w:pPr>
        <w:ind w:firstLine="0"/>
      </w:pPr>
      <w:r>
        <w:rPr>
          <w:rFonts w:ascii="仿宋_GB2312" w:hAnsi="仿宋_GB2312"/>
        </w:rPr>
        <w:t xml:space="preserve">5.1.1 </w:t>
      </w:r>
      <w:r>
        <w:rPr>
          <w:rFonts w:ascii="仿宋_GB2312" w:hAnsi="仿宋_GB2312"/>
        </w:rPr>
        <w:t>样本采集与标签体系</w:t>
      </w:r>
    </w:p>
    <w:p w14:paraId="55D96195" w14:textId="77777777" w:rsidR="008D7827" w:rsidRDefault="00C62183">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0F817742" w14:textId="77777777" w:rsidR="008D7827" w:rsidRDefault="00C62183">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74C8E88E" w14:textId="77777777" w:rsidR="008D7827" w:rsidRDefault="00C62183">
      <w:pPr>
        <w:ind w:firstLine="0"/>
      </w:pPr>
      <w:r>
        <w:rPr>
          <w:rFonts w:ascii="仿宋_GB2312" w:hAnsi="仿宋_GB2312"/>
        </w:rPr>
        <w:t xml:space="preserve">5.1.2 </w:t>
      </w:r>
      <w:r>
        <w:rPr>
          <w:rFonts w:ascii="仿宋_GB2312" w:hAnsi="仿宋_GB2312"/>
        </w:rPr>
        <w:t>数据处理与多任务建模</w:t>
      </w:r>
    </w:p>
    <w:p w14:paraId="5A8E77A9" w14:textId="77777777" w:rsidR="008D7827" w:rsidRDefault="00C62183">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269173C6" w14:textId="77777777" w:rsidR="008D7827" w:rsidRDefault="00C62183">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3513438E" w14:textId="77777777" w:rsidR="008D7827" w:rsidRDefault="00C62183">
      <w:pPr>
        <w:ind w:firstLine="0"/>
      </w:pPr>
      <w:r>
        <w:rPr>
          <w:rFonts w:ascii="仿宋_GB2312" w:hAnsi="仿宋_GB2312"/>
        </w:rPr>
        <w:t xml:space="preserve">5.1.3 </w:t>
      </w:r>
      <w:r>
        <w:rPr>
          <w:rFonts w:ascii="仿宋_GB2312" w:hAnsi="仿宋_GB2312"/>
        </w:rPr>
        <w:t>平台集成与结果输出</w:t>
      </w:r>
    </w:p>
    <w:p w14:paraId="3F136325" w14:textId="77777777" w:rsidR="008D7827" w:rsidRDefault="00C62183">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可使同一批次结果被现场人员、管理人员和品牌方同时调用。当前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等结果卡片，并输出面向业务动作的自然语言报告。</w:t>
      </w:r>
    </w:p>
    <w:p w14:paraId="65CF63FF" w14:textId="77777777" w:rsidR="008D7827" w:rsidRDefault="00C62183">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603C1A82" w14:textId="77777777" w:rsidR="008D7827" w:rsidRDefault="00C62183">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7CD1C424" w14:textId="77777777" w:rsidR="008D7827" w:rsidRDefault="00C62183">
      <w:pPr>
        <w:ind w:firstLine="0"/>
      </w:pPr>
      <w:r>
        <w:rPr>
          <w:rFonts w:ascii="仿宋_GB2312" w:hAnsi="仿宋_GB2312"/>
        </w:rPr>
        <w:t xml:space="preserve">5.2.1 </w:t>
      </w:r>
      <w:r>
        <w:rPr>
          <w:rFonts w:ascii="仿宋_GB2312" w:hAnsi="仿宋_GB2312"/>
        </w:rPr>
        <w:t>样本分层设计</w:t>
      </w:r>
    </w:p>
    <w:p w14:paraId="165E8DE5" w14:textId="77777777" w:rsidR="008D7827" w:rsidRDefault="00C62183">
      <w:pPr>
        <w:jc w:val="both"/>
      </w:pPr>
      <w:r>
        <w:rPr>
          <w:rFonts w:ascii="仿宋_GB2312" w:hAnsi="仿宋_GB2312"/>
        </w:rPr>
        <w:lastRenderedPageBreak/>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44764490" w14:textId="77777777" w:rsidR="008D7827" w:rsidRDefault="00C62183">
      <w:pPr>
        <w:ind w:firstLine="0"/>
      </w:pPr>
      <w:r>
        <w:rPr>
          <w:rFonts w:ascii="仿宋_GB2312" w:hAnsi="仿宋_GB2312"/>
        </w:rPr>
        <w:t xml:space="preserve">5.2.2 </w:t>
      </w:r>
      <w:r>
        <w:rPr>
          <w:rFonts w:ascii="仿宋_GB2312" w:hAnsi="仿宋_GB2312"/>
        </w:rPr>
        <w:t>采集环境与流程规范</w:t>
      </w:r>
    </w:p>
    <w:p w14:paraId="08310EE6" w14:textId="77777777" w:rsidR="008D7827" w:rsidRDefault="00C62183">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5D154513" w14:textId="77777777" w:rsidR="008D7827" w:rsidRDefault="00C62183">
      <w:pPr>
        <w:ind w:firstLine="0"/>
      </w:pPr>
      <w:r>
        <w:rPr>
          <w:rFonts w:ascii="仿宋_GB2312" w:hAnsi="仿宋_GB2312"/>
        </w:rPr>
        <w:t xml:space="preserve">5.2.3 </w:t>
      </w:r>
      <w:r>
        <w:rPr>
          <w:rFonts w:ascii="仿宋_GB2312" w:hAnsi="仿宋_GB2312"/>
        </w:rPr>
        <w:t>训练验证与迭代机制</w:t>
      </w:r>
    </w:p>
    <w:p w14:paraId="1407DA99" w14:textId="77777777" w:rsidR="008D7827" w:rsidRDefault="00C62183">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0C59DA41" w14:textId="77777777" w:rsidR="008D7827" w:rsidRDefault="00C62183">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6E16ABB4" w14:textId="77777777" w:rsidR="008D7827" w:rsidRDefault="00C62183">
      <w:pPr>
        <w:ind w:firstLine="0"/>
      </w:pPr>
      <w:r>
        <w:rPr>
          <w:rFonts w:ascii="仿宋_GB2312" w:hAnsi="仿宋_GB2312"/>
        </w:rPr>
        <w:t xml:space="preserve">5.3.1 </w:t>
      </w:r>
      <w:r>
        <w:rPr>
          <w:rFonts w:ascii="仿宋_GB2312" w:hAnsi="仿宋_GB2312"/>
        </w:rPr>
        <w:t>产地分类模型路径</w:t>
      </w:r>
    </w:p>
    <w:p w14:paraId="76C60C27" w14:textId="77777777" w:rsidR="008D7827" w:rsidRDefault="00C62183">
      <w:pPr>
        <w:jc w:val="both"/>
      </w:pPr>
      <w:r>
        <w:rPr>
          <w:rFonts w:ascii="仿宋_GB2312" w:hAnsi="仿宋_GB2312"/>
        </w:rPr>
        <w:t>当前项目已经形成模型对比思路，团队围绕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、随机森林等分类路径建立了展示框架。产地识别任务既涉及传统小样本模型的稳定性，也涉及深度模型在复杂特征提取上的能力，因此可先以可解释性较强的基线模型建立参照，再逐步引入</w:t>
      </w:r>
      <w:r>
        <w:rPr>
          <w:rFonts w:ascii="仿宋_GB2312" w:hAnsi="仿宋_GB2312"/>
        </w:rPr>
        <w:t xml:space="preserve"> 1D-CNN </w:t>
      </w:r>
      <w:r>
        <w:rPr>
          <w:rFonts w:ascii="仿宋_GB2312" w:hAnsi="仿宋_GB2312"/>
        </w:rPr>
        <w:t>等模型提升分类能力。当前系统已能够将</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等结论与页面、报告和样本曲线联动呈现。</w:t>
      </w:r>
    </w:p>
    <w:p w14:paraId="26CD266F" w14:textId="77777777" w:rsidR="008D7827" w:rsidRDefault="00C62183">
      <w:pPr>
        <w:ind w:firstLine="0"/>
      </w:pPr>
      <w:r>
        <w:rPr>
          <w:rFonts w:ascii="仿宋_GB2312" w:hAnsi="仿宋_GB2312"/>
        </w:rPr>
        <w:t xml:space="preserve">5.3.2 </w:t>
      </w:r>
      <w:r>
        <w:rPr>
          <w:rFonts w:ascii="仿宋_GB2312" w:hAnsi="仿宋_GB2312"/>
        </w:rPr>
        <w:t>品质回归模型路径</w:t>
      </w:r>
    </w:p>
    <w:p w14:paraId="27484A51" w14:textId="77777777" w:rsidR="008D7827" w:rsidRDefault="00C62183">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w:t>
      </w:r>
      <w:r>
        <w:rPr>
          <w:rFonts w:ascii="仿宋_GB2312" w:hAnsi="仿宋_GB2312"/>
        </w:rPr>
        <w:lastRenderedPageBreak/>
        <w:t>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1B57BEAC" w14:textId="77777777" w:rsidR="008D7827" w:rsidRDefault="00C62183">
      <w:pPr>
        <w:ind w:firstLine="0"/>
      </w:pPr>
      <w:r>
        <w:rPr>
          <w:rFonts w:ascii="仿宋_GB2312" w:hAnsi="仿宋_GB2312"/>
        </w:rPr>
        <w:t xml:space="preserve">5.3.3 </w:t>
      </w:r>
      <w:r>
        <w:rPr>
          <w:rFonts w:ascii="仿宋_GB2312" w:hAnsi="仿宋_GB2312"/>
        </w:rPr>
        <w:t>可解释分析与异常预警</w:t>
      </w:r>
    </w:p>
    <w:p w14:paraId="103A9DA3" w14:textId="77777777" w:rsidR="008D7827" w:rsidRDefault="00C62183">
      <w:pPr>
        <w:jc w:val="both"/>
      </w:pPr>
      <w:r>
        <w:rPr>
          <w:rFonts w:ascii="仿宋_GB2312" w:hAnsi="仿宋_GB2312"/>
        </w:rPr>
        <w:t>考虑到品牌果品场景对可信表达的要求较高，项目需要同步输出判断依据。当前系统已经加入特征重要性与可解释</w:t>
      </w:r>
      <w:r>
        <w:rPr>
          <w:rFonts w:ascii="仿宋_GB2312" w:hAnsi="仿宋_GB2312"/>
        </w:rPr>
        <w:t xml:space="preserve"> AI </w:t>
      </w:r>
      <w:r>
        <w:rPr>
          <w:rFonts w:ascii="仿宋_GB2312" w:hAnsi="仿宋_GB2312"/>
        </w:rPr>
        <w:t>展示模块，后续可围绕关键波段贡献、典型样本对比和异常样本提示继续完善解释层，用于支撑报告模板和试点沟通材料。</w:t>
      </w:r>
    </w:p>
    <w:p w14:paraId="33BE1ED4" w14:textId="77777777" w:rsidR="008D7827" w:rsidRDefault="00C62183">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1FB16FBA" w14:textId="77777777" w:rsidR="008D7827" w:rsidRDefault="00C62183">
      <w:pPr>
        <w:ind w:firstLine="0"/>
      </w:pPr>
      <w:r>
        <w:rPr>
          <w:rFonts w:ascii="仿宋_GB2312" w:hAnsi="仿宋_GB2312"/>
        </w:rPr>
        <w:t xml:space="preserve">5.4.1 </w:t>
      </w:r>
      <w:r>
        <w:rPr>
          <w:rFonts w:ascii="仿宋_GB2312" w:hAnsi="仿宋_GB2312"/>
        </w:rPr>
        <w:t>色素变化与成熟度响应</w:t>
      </w:r>
    </w:p>
    <w:p w14:paraId="7517FBB3" w14:textId="77777777" w:rsidR="008D7827" w:rsidRDefault="00C62183">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41FE6A8" w14:textId="77777777" w:rsidR="008D7827" w:rsidRDefault="00C62183">
      <w:pPr>
        <w:ind w:firstLine="0"/>
      </w:pPr>
      <w:r>
        <w:rPr>
          <w:rFonts w:ascii="仿宋_GB2312" w:hAnsi="仿宋_GB2312"/>
        </w:rPr>
        <w:t xml:space="preserve">5.4.2 </w:t>
      </w:r>
      <w:r>
        <w:rPr>
          <w:rFonts w:ascii="仿宋_GB2312" w:hAnsi="仿宋_GB2312"/>
        </w:rPr>
        <w:t>水分、糖酸与组织结构信息</w:t>
      </w:r>
    </w:p>
    <w:p w14:paraId="46E092C6" w14:textId="77777777" w:rsidR="008D7827" w:rsidRDefault="00C62183">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306B844E" w14:textId="77777777" w:rsidR="008D7827" w:rsidRDefault="00C62183">
      <w:pPr>
        <w:ind w:firstLine="0"/>
      </w:pPr>
      <w:r>
        <w:rPr>
          <w:rFonts w:ascii="仿宋_GB2312" w:hAnsi="仿宋_GB2312"/>
        </w:rPr>
        <w:t xml:space="preserve">5.4.3 </w:t>
      </w:r>
      <w:r>
        <w:rPr>
          <w:rFonts w:ascii="仿宋_GB2312" w:hAnsi="仿宋_GB2312"/>
        </w:rPr>
        <w:t>特征波段库与区域指纹沉淀</w:t>
      </w:r>
    </w:p>
    <w:p w14:paraId="27BF7E07" w14:textId="77777777" w:rsidR="008D7827" w:rsidRDefault="00C62183">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78529646" w14:textId="77777777" w:rsidR="008D7827" w:rsidRDefault="008D7827">
      <w:pPr>
        <w:sectPr w:rsidR="008D7827">
          <w:pgSz w:w="11906" w:h="16838"/>
          <w:pgMar w:top="1417" w:right="1417" w:bottom="1417" w:left="1417" w:header="850" w:footer="992" w:gutter="0"/>
          <w:cols w:space="720"/>
          <w:docGrid w:linePitch="360"/>
        </w:sectPr>
      </w:pPr>
    </w:p>
    <w:p w14:paraId="135C036D" w14:textId="77777777" w:rsidR="008D7827" w:rsidRDefault="00C62183">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4BFC3A26" w14:textId="77777777" w:rsidR="008D7827" w:rsidRDefault="00C62183">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264F9D92" w14:textId="77777777" w:rsidR="008D7827" w:rsidRDefault="00C62183">
      <w:pPr>
        <w:jc w:val="both"/>
      </w:pPr>
      <w:r>
        <w:rPr>
          <w:rFonts w:ascii="仿宋_GB2312" w:hAnsi="仿宋_GB2312"/>
        </w:rPr>
        <w:t>橙源智鉴的产品定位为可进入真实业务链路的双端系统。网站端承担批量分析、数据可视化、模型解释、历史管理和报告导出，小程序端承担移动上传、采样登记、结果查询和历史回看，两端共同完成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575CB4BE" w14:textId="77777777" w:rsidR="008D7827" w:rsidRDefault="00C62183">
      <w:pPr>
        <w:jc w:val="both"/>
      </w:pPr>
      <w:r>
        <w:rPr>
          <w:rFonts w:ascii="仿宋_GB2312" w:hAnsi="仿宋_GB2312"/>
        </w:rPr>
        <w:t>项目交付形态由网站端、小程序端和报告材料三部分构成。网站端用于批量分析与档案管理，小程序端用于移动上传与现场查询，报告材料负责结果归档、品牌表达和合作沟通，三部分共同构成项目面向试点和合作的基本交付体系。</w:t>
      </w:r>
    </w:p>
    <w:p w14:paraId="1A8EBA89" w14:textId="77777777" w:rsidR="008D7827" w:rsidRDefault="00C62183">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7096E79E" w14:textId="77777777" w:rsidR="008D7827" w:rsidRDefault="00C62183">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68408E09" w14:textId="77777777" w:rsidR="008D7827" w:rsidRDefault="00C62183">
      <w:pPr>
        <w:jc w:val="both"/>
      </w:pPr>
      <w:r>
        <w:rPr>
          <w:rFonts w:ascii="仿宋_GB2312" w:hAnsi="仿宋_GB2312"/>
        </w:rPr>
        <w:t>当样本积累、案例沉淀和双端稳定性继续提高后，项目可进入平台订阅与定制阶段。该阶段可提供企业账号体系、历史样本管理、定制模型、专属报告模板、网站端管理权限和小程序端专属入口，形成年度服务费、专项服务费和定制开发费等收入结构。</w:t>
      </w:r>
    </w:p>
    <w:p w14:paraId="0F95D001" w14:textId="77777777" w:rsidR="008D7827" w:rsidRDefault="00C62183">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01597CF3" w14:textId="77777777" w:rsidR="008D7827" w:rsidRDefault="00C62183">
      <w:pPr>
        <w:jc w:val="both"/>
      </w:pPr>
      <w:r>
        <w:rPr>
          <w:rFonts w:ascii="仿宋_GB2312" w:hAnsi="仿宋_GB2312"/>
        </w:rPr>
        <w:t>实施与交付可按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的顺序推进。试点前应明确样本范围、交付目标、文件格式、采样流程、理化标签、输出形式和复盘方式，形成写清样本清单、采样时间、数据口径、上传方式、展示方式、交付时间点和责任边界的试点说明书。</w:t>
      </w:r>
    </w:p>
    <w:p w14:paraId="611B2DCC" w14:textId="77777777" w:rsidR="008D7827" w:rsidRDefault="00C62183">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6AB8DBCD" w14:textId="77777777" w:rsidR="008D7827" w:rsidRDefault="00C62183">
      <w:pPr>
        <w:pStyle w:val="21"/>
        <w:ind w:firstLine="0"/>
      </w:pPr>
      <w:r>
        <w:rPr>
          <w:rFonts w:ascii="楷体_GB2312" w:eastAsia="楷体_GB2312" w:hAnsi="楷体_GB2312"/>
        </w:rPr>
        <w:lastRenderedPageBreak/>
        <w:t xml:space="preserve">6.4 </w:t>
      </w:r>
      <w:r>
        <w:rPr>
          <w:rFonts w:ascii="楷体_GB2312" w:eastAsia="楷体_GB2312" w:hAnsi="楷体_GB2312"/>
        </w:rPr>
        <w:t>推广与销售模式</w:t>
      </w:r>
    </w:p>
    <w:p w14:paraId="50D533F8" w14:textId="77777777" w:rsidR="008D7827" w:rsidRDefault="00C62183">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1E378B89" w14:textId="77777777" w:rsidR="008D7827" w:rsidRDefault="00C62183">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53F0C376" w14:textId="77777777" w:rsidR="008D7827" w:rsidRDefault="008D7827">
      <w:pPr>
        <w:sectPr w:rsidR="008D7827">
          <w:pgSz w:w="11906" w:h="16838"/>
          <w:pgMar w:top="1417" w:right="1417" w:bottom="1417" w:left="1417" w:header="850" w:footer="992" w:gutter="0"/>
          <w:cols w:space="720"/>
          <w:docGrid w:linePitch="360"/>
        </w:sectPr>
      </w:pPr>
    </w:p>
    <w:p w14:paraId="568764A7" w14:textId="77777777" w:rsidR="008D7827" w:rsidRDefault="00C62183">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232D2BE4" w14:textId="77777777" w:rsidR="008D7827" w:rsidRDefault="00C62183">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16F99FC6" w14:textId="77777777" w:rsidR="008D7827" w:rsidRDefault="00C62183">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01732F86" w14:textId="77777777" w:rsidR="008D7827" w:rsidRDefault="00C62183">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3AF2CAD2" w14:textId="77777777" w:rsidR="008D7827" w:rsidRDefault="00C62183">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0F5BBB67" w14:textId="77777777" w:rsidR="008D7827" w:rsidRDefault="00C62183">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4D310694" w14:textId="77777777" w:rsidR="008D7827" w:rsidRDefault="00C62183">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6CD64364" w14:textId="77777777" w:rsidR="008D7827" w:rsidRDefault="00C62183">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72E4352F" w14:textId="77777777" w:rsidR="008D7827" w:rsidRDefault="00C62183">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37D92E9B" w14:textId="77777777" w:rsidR="008D7827" w:rsidRDefault="00C62183">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21DDC4C1" w14:textId="77777777" w:rsidR="008D7827" w:rsidRDefault="008D7827">
      <w:pPr>
        <w:sectPr w:rsidR="008D7827">
          <w:pgSz w:w="11906" w:h="16838"/>
          <w:pgMar w:top="1417" w:right="1417" w:bottom="1417" w:left="1417" w:header="850" w:footer="992" w:gutter="0"/>
          <w:cols w:space="720"/>
          <w:docGrid w:linePitch="360"/>
        </w:sectPr>
      </w:pPr>
    </w:p>
    <w:p w14:paraId="53D1EEC9" w14:textId="77777777" w:rsidR="008D7827" w:rsidRDefault="00C62183">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37C28A95" w14:textId="77777777" w:rsidR="008D7827" w:rsidRDefault="00C62183">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3D4B4FBE" w14:textId="77777777" w:rsidR="008D7827" w:rsidRDefault="00C62183">
      <w:pPr>
        <w:jc w:val="both"/>
      </w:pPr>
      <w:r>
        <w:rPr>
          <w:rFonts w:ascii="仿宋_GB2312" w:hAnsi="仿宋_GB2312"/>
        </w:rPr>
        <w:t>技术部</w:t>
      </w:r>
    </w:p>
    <w:p w14:paraId="0D3F0F28" w14:textId="77777777" w:rsidR="008D7827" w:rsidRDefault="00C62183">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473530EC" w14:textId="77777777" w:rsidR="008D7827" w:rsidRDefault="00C62183">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5EA29AD6" w14:textId="77777777" w:rsidR="008D7827" w:rsidRDefault="00C62183">
      <w:pPr>
        <w:jc w:val="both"/>
      </w:pPr>
      <w:r>
        <w:rPr>
          <w:rFonts w:ascii="仿宋_GB2312" w:hAnsi="仿宋_GB2312"/>
        </w:rPr>
        <w:t>市场营销部</w:t>
      </w:r>
    </w:p>
    <w:p w14:paraId="1F1ADA10" w14:textId="77777777" w:rsidR="008D7827" w:rsidRDefault="00C62183">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642C54E1" w14:textId="77777777" w:rsidR="008D7827" w:rsidRDefault="00C62183">
      <w:pPr>
        <w:jc w:val="both"/>
      </w:pPr>
      <w:r>
        <w:rPr>
          <w:rFonts w:ascii="仿宋_GB2312" w:hAnsi="仿宋_GB2312"/>
        </w:rPr>
        <w:t>财务部</w:t>
      </w:r>
    </w:p>
    <w:p w14:paraId="13C11701" w14:textId="77777777" w:rsidR="008D7827" w:rsidRDefault="00C62183">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719C3DFA" w14:textId="77777777" w:rsidR="008D7827" w:rsidRDefault="00C62183">
      <w:pPr>
        <w:jc w:val="both"/>
      </w:pPr>
      <w:r>
        <w:rPr>
          <w:rFonts w:ascii="仿宋_GB2312" w:hAnsi="仿宋_GB2312"/>
        </w:rPr>
        <w:t>行政部</w:t>
      </w:r>
    </w:p>
    <w:p w14:paraId="12029E01" w14:textId="77777777" w:rsidR="008D7827" w:rsidRDefault="00C62183">
      <w:pPr>
        <w:jc w:val="both"/>
      </w:pPr>
      <w:r>
        <w:rPr>
          <w:rFonts w:ascii="仿宋_GB2312" w:hAnsi="仿宋_GB2312"/>
        </w:rPr>
        <w:t>行政部负责进度排期、资料归档、赛事申报、校内外资源协调和合作文书管理，保障样本、模型、产品、财务和合作信息能够形成统一台账。</w:t>
      </w:r>
    </w:p>
    <w:p w14:paraId="09743B59" w14:textId="77777777" w:rsidR="008D7827" w:rsidRDefault="00C62183">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4B157489" w14:textId="77777777" w:rsidR="008D7827" w:rsidRDefault="00C62183">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124963F" w14:textId="77777777" w:rsidR="008D7827" w:rsidRDefault="00C62183">
      <w:pPr>
        <w:ind w:firstLine="0"/>
      </w:pPr>
      <w:r>
        <w:rPr>
          <w:rFonts w:ascii="仿宋_GB2312" w:hAnsi="仿宋_GB2312"/>
        </w:rPr>
        <w:t xml:space="preserve">8.2.1 </w:t>
      </w:r>
      <w:r>
        <w:rPr>
          <w:rFonts w:ascii="仿宋_GB2312" w:hAnsi="仿宋_GB2312"/>
        </w:rPr>
        <w:t>刘波副教授：算法建模顾问</w:t>
      </w:r>
    </w:p>
    <w:p w14:paraId="43A4A6A2" w14:textId="77777777" w:rsidR="008D7827" w:rsidRDefault="00C62183">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1E997416" w14:textId="77777777" w:rsidR="008D7827" w:rsidRDefault="00C62183">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000744AA" w14:textId="77777777" w:rsidR="008D7827" w:rsidRDefault="00C62183">
      <w:pPr>
        <w:ind w:firstLine="0"/>
      </w:pPr>
      <w:r>
        <w:rPr>
          <w:rFonts w:ascii="仿宋_GB2312" w:hAnsi="仿宋_GB2312"/>
        </w:rPr>
        <w:t xml:space="preserve">8.2.2 </w:t>
      </w:r>
      <w:r>
        <w:rPr>
          <w:rFonts w:ascii="仿宋_GB2312" w:hAnsi="仿宋_GB2312"/>
        </w:rPr>
        <w:t>龙海侠教授：深度学习顾问</w:t>
      </w:r>
    </w:p>
    <w:p w14:paraId="31E1EAFA" w14:textId="77777777" w:rsidR="008D7827" w:rsidRDefault="00C62183">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43003BA8" w14:textId="77777777" w:rsidR="008D7827" w:rsidRDefault="00C62183">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7AFD8467" w14:textId="77777777" w:rsidR="008D7827" w:rsidRDefault="00C62183">
      <w:pPr>
        <w:ind w:firstLine="0"/>
      </w:pPr>
      <w:r>
        <w:rPr>
          <w:rFonts w:ascii="仿宋_GB2312" w:hAnsi="仿宋_GB2312"/>
        </w:rPr>
        <w:t xml:space="preserve">8.2.3 </w:t>
      </w:r>
      <w:r>
        <w:rPr>
          <w:rFonts w:ascii="仿宋_GB2312" w:hAnsi="仿宋_GB2312"/>
        </w:rPr>
        <w:t>程明雄副教授：商业与供应链顾问</w:t>
      </w:r>
    </w:p>
    <w:p w14:paraId="6ACD6498" w14:textId="77777777" w:rsidR="008D7827" w:rsidRDefault="00C62183">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6498FAC0" w14:textId="77777777" w:rsidR="008D7827" w:rsidRDefault="00C62183">
      <w:pPr>
        <w:jc w:val="both"/>
      </w:pPr>
      <w:r>
        <w:rPr>
          <w:rFonts w:ascii="仿宋_GB2312" w:hAnsi="仿宋_GB2312"/>
        </w:rPr>
        <w:t>顾问职责：程明雄副教授主要指导项目的市场布局、供应链协同、区域合作和财务分析，帮助团队把产品能力与海南本地产业需求进行对接。</w:t>
      </w:r>
    </w:p>
    <w:p w14:paraId="5BD8885E" w14:textId="77777777" w:rsidR="008D7827" w:rsidRDefault="00C62183">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1CF45837" w14:textId="77777777" w:rsidR="008D7827" w:rsidRDefault="00C62183">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64E8F631" w14:textId="77777777" w:rsidR="008D7827" w:rsidRDefault="00C62183">
      <w:pPr>
        <w:ind w:firstLine="0"/>
      </w:pPr>
      <w:r>
        <w:rPr>
          <w:rFonts w:ascii="仿宋_GB2312" w:hAnsi="仿宋_GB2312"/>
        </w:rPr>
        <w:lastRenderedPageBreak/>
        <w:t xml:space="preserve">8.3.1 </w:t>
      </w:r>
      <w:r>
        <w:rPr>
          <w:rFonts w:ascii="仿宋_GB2312" w:hAnsi="仿宋_GB2312"/>
        </w:rPr>
        <w:t>彭斯逸：项目负责人</w:t>
      </w:r>
    </w:p>
    <w:p w14:paraId="5839A930" w14:textId="77777777" w:rsidR="008D7827" w:rsidRDefault="00C62183">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371C8C27" w14:textId="77777777" w:rsidR="008D7827" w:rsidRDefault="00C62183">
      <w:pPr>
        <w:jc w:val="both"/>
      </w:pPr>
      <w:r>
        <w:rPr>
          <w:rFonts w:ascii="仿宋_GB2312" w:hAnsi="仿宋_GB2312"/>
        </w:rPr>
        <w:t>其职责覆盖目标拆解、技术路线协调、结果边界把控和对外表达统一，是团队的总负责人。</w:t>
      </w:r>
    </w:p>
    <w:p w14:paraId="5D39755B" w14:textId="77777777" w:rsidR="008D7827" w:rsidRDefault="00C62183">
      <w:pPr>
        <w:ind w:firstLine="0"/>
      </w:pPr>
      <w:r>
        <w:rPr>
          <w:rFonts w:ascii="仿宋_GB2312" w:hAnsi="仿宋_GB2312"/>
        </w:rPr>
        <w:t xml:space="preserve">8.3.2 </w:t>
      </w:r>
      <w:r>
        <w:rPr>
          <w:rFonts w:ascii="仿宋_GB2312" w:hAnsi="仿宋_GB2312"/>
        </w:rPr>
        <w:t>唐天赐：算法与后端开发</w:t>
      </w:r>
    </w:p>
    <w:p w14:paraId="0057FEF3" w14:textId="77777777" w:rsidR="008D7827" w:rsidRDefault="00C62183">
      <w:pPr>
        <w:jc w:val="both"/>
      </w:pPr>
      <w:r>
        <w:rPr>
          <w:rFonts w:ascii="仿宋_GB2312" w:hAnsi="仿宋_GB2312"/>
        </w:rPr>
        <w:t>唐天赐负责数据处理、特征提取、后端接口和分析服务开发，承担文件上传后的任务调度、结果存储、模型调用与报告生成等关键链路。</w:t>
      </w:r>
    </w:p>
    <w:p w14:paraId="4ADC706A" w14:textId="77777777" w:rsidR="008D7827" w:rsidRDefault="00C62183">
      <w:pPr>
        <w:jc w:val="both"/>
      </w:pPr>
      <w:r>
        <w:rPr>
          <w:rFonts w:ascii="仿宋_GB2312" w:hAnsi="仿宋_GB2312"/>
        </w:rPr>
        <w:t>他重点保障高光谱数据进入分析服务后的稳定处理，并负责将算法结果转化为网站端与小程序端可直接调用的数据接口。</w:t>
      </w:r>
    </w:p>
    <w:p w14:paraId="05D17EEF" w14:textId="77777777" w:rsidR="008D7827" w:rsidRDefault="00C62183">
      <w:pPr>
        <w:ind w:firstLine="0"/>
      </w:pPr>
      <w:r>
        <w:rPr>
          <w:rFonts w:ascii="仿宋_GB2312" w:hAnsi="仿宋_GB2312"/>
        </w:rPr>
        <w:t xml:space="preserve">8.3.3 </w:t>
      </w:r>
      <w:r>
        <w:rPr>
          <w:rFonts w:ascii="仿宋_GB2312" w:hAnsi="仿宋_GB2312"/>
        </w:rPr>
        <w:t>艾舜杰：平台集成与前端开发</w:t>
      </w:r>
    </w:p>
    <w:p w14:paraId="50FF5251" w14:textId="77777777" w:rsidR="008D7827" w:rsidRDefault="00C62183">
      <w:pPr>
        <w:jc w:val="both"/>
      </w:pPr>
      <w:r>
        <w:rPr>
          <w:rFonts w:ascii="仿宋_GB2312" w:hAnsi="仿宋_GB2312"/>
        </w:rPr>
        <w:t>艾舜杰负责网站端、小程序端页面实现和双端交互逻辑开发，承担分析页、历史页、可视化页和移动端查询流程的产品落地。</w:t>
      </w:r>
    </w:p>
    <w:p w14:paraId="6E05CFCE" w14:textId="77777777" w:rsidR="008D7827" w:rsidRDefault="00C62183">
      <w:pPr>
        <w:jc w:val="both"/>
      </w:pPr>
      <w:r>
        <w:rPr>
          <w:rFonts w:ascii="仿宋_GB2312" w:hAnsi="仿宋_GB2312"/>
        </w:rPr>
        <w:t>他重点处理页面展示、结果回看、交互体验和双端联调，保证文件上传、结果展示、历史查询和报告下载在产品层面形成闭环。</w:t>
      </w:r>
    </w:p>
    <w:p w14:paraId="7001FEA1" w14:textId="77777777" w:rsidR="008D7827" w:rsidRDefault="00C62183">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17925CCE" w14:textId="77777777" w:rsidR="008D7827" w:rsidRDefault="00C62183">
      <w:pPr>
        <w:jc w:val="both"/>
      </w:pPr>
      <w:r>
        <w:rPr>
          <w:rFonts w:ascii="仿宋_GB2312" w:hAnsi="仿宋_GB2312"/>
        </w:rPr>
        <w:t>专业结构较为完整</w:t>
      </w:r>
    </w:p>
    <w:p w14:paraId="64FEF71E" w14:textId="77777777" w:rsidR="008D7827" w:rsidRDefault="00C62183">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245B2127" w14:textId="77777777" w:rsidR="008D7827" w:rsidRDefault="00C62183">
      <w:pPr>
        <w:jc w:val="both"/>
      </w:pPr>
      <w:r>
        <w:rPr>
          <w:rFonts w:ascii="仿宋_GB2312" w:hAnsi="仿宋_GB2312"/>
        </w:rPr>
        <w:t>校内资源与顾问支持扎实</w:t>
      </w:r>
    </w:p>
    <w:p w14:paraId="5713942E" w14:textId="77777777" w:rsidR="008D7827" w:rsidRDefault="00C62183">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25289FB3" w14:textId="77777777" w:rsidR="008D7827" w:rsidRDefault="00C62183">
      <w:pPr>
        <w:jc w:val="both"/>
      </w:pPr>
      <w:r>
        <w:rPr>
          <w:rFonts w:ascii="仿宋_GB2312" w:hAnsi="仿宋_GB2312"/>
        </w:rPr>
        <w:t>项目执行与竞赛表达基础较好</w:t>
      </w:r>
    </w:p>
    <w:p w14:paraId="22835A97" w14:textId="77777777" w:rsidR="008D7827" w:rsidRDefault="00C62183">
      <w:pPr>
        <w:jc w:val="both"/>
      </w:pPr>
      <w:r>
        <w:rPr>
          <w:rFonts w:ascii="仿宋_GB2312" w:hAnsi="仿宋_GB2312"/>
        </w:rPr>
        <w:t>团队具备竞赛文本撰写、产品演示、方案答辩和工程实现能力，能把模型结果直接转化为计划书、双端页面和标准化报告。</w:t>
      </w:r>
    </w:p>
    <w:p w14:paraId="24370E0D" w14:textId="77777777" w:rsidR="008D7827" w:rsidRDefault="00C62183">
      <w:pPr>
        <w:jc w:val="both"/>
      </w:pPr>
      <w:r>
        <w:rPr>
          <w:rFonts w:ascii="仿宋_GB2312" w:hAnsi="仿宋_GB2312"/>
        </w:rPr>
        <w:t>海南在地场景认知较强</w:t>
      </w:r>
    </w:p>
    <w:p w14:paraId="6F22CF3A" w14:textId="77777777" w:rsidR="008D7827" w:rsidRDefault="00C62183">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2574E15A" w14:textId="77777777" w:rsidR="008D7827" w:rsidRDefault="00C62183">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0FF60826" w14:textId="77777777" w:rsidR="008D7827" w:rsidRDefault="00C62183">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6CA35419" w14:textId="77777777" w:rsidR="008D7827" w:rsidRDefault="00C62183">
      <w:pPr>
        <w:jc w:val="both"/>
      </w:pPr>
      <w:r>
        <w:rPr>
          <w:rFonts w:ascii="仿宋_GB2312" w:hAnsi="仿宋_GB2312"/>
        </w:rPr>
        <w:t>本章财务测算按照轻资产数字化服务模式进行，默认项目已完成网站端与小程序端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50DE290F" w14:textId="77777777" w:rsidR="008D7827" w:rsidRDefault="00C62183">
      <w:pPr>
        <w:jc w:val="both"/>
      </w:pPr>
      <w:r>
        <w:rPr>
          <w:rFonts w:ascii="仿宋_GB2312" w:hAnsi="仿宋_GB2312"/>
        </w:rPr>
        <w:t>收入端主要来源于三类业务。第一类为单批次分析与报告输出服务，对应分选、验货、复检和阶段性样本判断等高频场景；第二类为年度账号服务，对应持续使用网站端、小程序端、历史档案和报告模板的稳定客户；第三类为区域品牌共建、定制模型、专属报告模板和专项数据服务，对应重点客户和区域合作项目。三类收入之间并非并列孤立，而是由单次合作逐步转化为长期服务的递进关系。</w:t>
      </w:r>
    </w:p>
    <w:p w14:paraId="75DA0687" w14:textId="77777777" w:rsidR="008D7827" w:rsidRDefault="00C62183">
      <w:pPr>
        <w:jc w:val="both"/>
      </w:pPr>
      <w:r>
        <w:rPr>
          <w:rFonts w:ascii="仿宋_GB2312" w:hAnsi="仿宋_GB2312"/>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w:t>
      </w:r>
      <w:r>
        <w:rPr>
          <w:rFonts w:ascii="仿宋_GB2312" w:hAnsi="仿宋_GB2312"/>
        </w:rPr>
        <w:t>“</w:t>
      </w:r>
      <w:r>
        <w:rPr>
          <w:rFonts w:ascii="仿宋_GB2312" w:hAnsi="仿宋_GB2312"/>
        </w:rPr>
        <w:t>已有成品、已有样本、逐步放量</w:t>
      </w:r>
      <w:r>
        <w:rPr>
          <w:rFonts w:ascii="仿宋_GB2312" w:hAnsi="仿宋_GB2312"/>
        </w:rPr>
        <w:t>”</w:t>
      </w:r>
      <w:r>
        <w:rPr>
          <w:rFonts w:ascii="仿宋_GB2312" w:hAnsi="仿宋_GB2312"/>
        </w:rPr>
        <w:t>的稳健假设为基础，不使用过度乐观的扩张前提。</w:t>
      </w:r>
      <w:r>
        <w:rPr>
          <w:rFonts w:ascii="仿宋_GB2312" w:hAnsi="仿宋_GB2312"/>
        </w:rPr>
        <w:t xml:space="preserve"> </w:t>
      </w:r>
    </w:p>
    <w:p w14:paraId="48396054" w14:textId="77777777" w:rsidR="008D7827" w:rsidRDefault="00C62183">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5C3156F2" w14:textId="77777777" w:rsidR="008D7827" w:rsidRDefault="00C62183">
      <w:pPr>
        <w:jc w:val="both"/>
      </w:pPr>
      <w:r>
        <w:rPr>
          <w:rFonts w:ascii="仿宋_GB2312" w:hAnsi="仿宋_GB2312"/>
        </w:rPr>
        <w:t>乐观、中性和保守三种情景的差异主要体现在有效客户数、年度账号转化率、续费率、定制服务数量和区域共建进度五项变量上。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BE17959" w14:textId="77777777" w:rsidR="008D7827" w:rsidRDefault="00C62183">
      <w:pPr>
        <w:jc w:val="both"/>
      </w:pPr>
      <w:r>
        <w:rPr>
          <w:rFonts w:ascii="仿宋_GB2312" w:hAnsi="仿宋_GB2312"/>
        </w:rPr>
        <w:lastRenderedPageBreak/>
        <w:t>三种情景的核心差别不在于单次订单价格，而在于客户是否愿意持续使用平台、是否愿意将分析结果纳入品牌经营和渠道管理流程，以及项目能否把单批次合作逐步转化为长期账号和定制化服务。就现阶段产品形态而言，中性情景最符合项目当前基础，也是本计划书默认采用的财务预测口径。</w:t>
      </w:r>
      <w:r>
        <w:rPr>
          <w:rFonts w:ascii="仿宋_GB2312" w:hAnsi="仿宋_GB2312"/>
        </w:rPr>
        <w:t xml:space="preserve"> </w:t>
      </w:r>
    </w:p>
    <w:p w14:paraId="43F939B4" w14:textId="77777777" w:rsidR="008D7827" w:rsidRDefault="00C62183">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4B27774C" w14:textId="77777777" w:rsidR="008D7827" w:rsidRDefault="00C62183">
      <w:pPr>
        <w:jc w:val="both"/>
      </w:pPr>
      <w:r>
        <w:rPr>
          <w:rFonts w:ascii="仿宋_GB2312" w:hAnsi="仿宋_GB2312"/>
        </w:rPr>
        <w:t>按中性情景测算，项目前两年利润水平相对有限，主要原因在于样本库建设、模型验证、系统维护和场景试点投入先于规模化收入释放。该阶段的核心任务并非追求利润最大化，而是完成样本扩充、报告模板沉淀、客户流程磨合和双端稳定运行，为后续年度服务打基础。样本库、历史档案和模型表现一旦稳定，网站端与小程序端的边际复用能力便会逐步体现，损益结构也将进入改善阶段。</w:t>
      </w:r>
    </w:p>
    <w:p w14:paraId="44186E55" w14:textId="77777777" w:rsidR="008D7827" w:rsidRDefault="00C62183">
      <w:pPr>
        <w:jc w:val="both"/>
      </w:pPr>
      <w:r>
        <w:rPr>
          <w:rFonts w:ascii="仿宋_GB2312" w:hAnsi="仿宋_GB2312"/>
        </w:rPr>
        <w:t>盈利拐点主要取决于两项因素：一是年度账号客户是否达到稳定规模，二是批次分析服务能否持续导入续费客户。结合当前产品结构和服务模式判断，项目形成</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家年度客户叠加持续批次分析订单后，即可基本跨越低利润阶段，进入较稳的盈利区间。该判断并非依赖单一大客户，而是建立在多客户、多批次、多场景持续使用的基础之上。</w:t>
      </w:r>
    </w:p>
    <w:p w14:paraId="784D96E8" w14:textId="77777777" w:rsidR="008D7827" w:rsidRDefault="00C62183">
      <w:pPr>
        <w:jc w:val="both"/>
      </w:pPr>
      <w:r>
        <w:rPr>
          <w:rFonts w:ascii="仿宋_GB2312" w:hAnsi="仿宋_GB2312"/>
        </w:rPr>
        <w:t>五年损益走势的关键在于收入结构优化速度。若持续收入占比逐年提高，模型和系统成本被更多客户分摊，利润率将随之改善；若收入长期停留在单次分析层面，利润弹性会明显受限。因此，本项目的盈利逻辑本质上是由服务复购率和平台复用率驱动，而不是由短期合同数量单独决定。</w:t>
      </w:r>
      <w:r>
        <w:rPr>
          <w:rFonts w:ascii="仿宋_GB2312" w:hAnsi="仿宋_GB2312"/>
        </w:rPr>
        <w:t xml:space="preserve"> </w:t>
      </w:r>
    </w:p>
    <w:p w14:paraId="53A32EED" w14:textId="77777777" w:rsidR="008D7827" w:rsidRDefault="00C62183">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364C22A0" w14:textId="77777777" w:rsidR="008D7827" w:rsidRDefault="00C62183">
      <w:pPr>
        <w:jc w:val="both"/>
      </w:pPr>
      <w:r>
        <w:rPr>
          <w:rFonts w:ascii="仿宋_GB2312" w:hAnsi="仿宋_GB2312"/>
        </w:rPr>
        <w:t>现金流预测与损益预测相比，更强调合同结构和回款节奏。批次分析服务回款速度较快，但单次金额相对有限；年度账号与定制服务单笔金额更高，但签约和验收周期更长，回款节点通常滞后于交付节点。因此，项目现金流管理需要同时覆盖短周期订单的日常周转和中长期合同的阶段性垫付支出。</w:t>
      </w:r>
    </w:p>
    <w:p w14:paraId="21D91683" w14:textId="77777777" w:rsidR="008D7827" w:rsidRDefault="00C62183">
      <w:pPr>
        <w:jc w:val="both"/>
      </w:pPr>
      <w:r>
        <w:rPr>
          <w:rFonts w:ascii="仿宋_GB2312" w:hAnsi="仿宋_GB2312"/>
        </w:rPr>
        <w:t>现金流压力通常集中在样本集中采集期、模型集中训练期和试点密集交付期。上述阶段往往伴随服务器、标定、差旅和现场支持等支出上升，而收入确认和客户回款无法完全同步。为保证系统稳定运行，项目应预留</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个月的资金安全垫，优先</w:t>
      </w:r>
      <w:r>
        <w:rPr>
          <w:rFonts w:ascii="仿宋_GB2312" w:hAnsi="仿宋_GB2312"/>
        </w:rPr>
        <w:lastRenderedPageBreak/>
        <w:t>覆盖服务器、样本标定、人员补贴和现场实施等核心支出，并通过提高预付款比例、优化结算节点和缩短验收周期降低现金流波动。</w:t>
      </w:r>
      <w:r>
        <w:rPr>
          <w:rFonts w:ascii="仿宋_GB2312" w:hAnsi="仿宋_GB2312"/>
        </w:rPr>
        <w:t xml:space="preserve"> </w:t>
      </w:r>
    </w:p>
    <w:p w14:paraId="204176E2" w14:textId="77777777" w:rsidR="008D7827" w:rsidRDefault="00C62183">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0A7A8709" w14:textId="77777777" w:rsidR="008D7827" w:rsidRDefault="00C62183">
      <w:pPr>
        <w:jc w:val="both"/>
      </w:pPr>
      <w:r>
        <w:rPr>
          <w:rFonts w:ascii="仿宋_GB2312" w:hAnsi="仿宋_GB2312"/>
        </w:rPr>
        <w:t>项目资产以区域样本库、模型参数、软件系统、报告模板、客户档案和历史分析记录为主，属于典型轻资产数字化项目。与传统重资产项目相比，本项目核心价值不在于设备堆积，而在于样本质量、模型表现、报告可信度和客户持续使用能力。区域样本库与历史分析档案一旦形成规模，既能够提升模型识别能力，也能够提高报告稳定性与续费意愿，是项目最重要的资产沉淀方向。</w:t>
      </w:r>
    </w:p>
    <w:p w14:paraId="199B09F6" w14:textId="77777777" w:rsidR="008D7827" w:rsidRDefault="00C62183">
      <w:pPr>
        <w:jc w:val="both"/>
      </w:pPr>
      <w:r>
        <w:rPr>
          <w:rFonts w:ascii="仿宋_GB2312" w:hAnsi="仿宋_GB2312"/>
        </w:rPr>
        <w:t>负债安排应保持审慎原则。项目扩张应优先使用校内科研资源、订单回款、项目经费和阶段性融资支撑，不宜通过高杠杆方式换取表面增长。对现阶段项目而言，保持资金使用效率、维持系统稳定和控制试点成本，比追求过快扩张更符合财务安全要求。</w:t>
      </w:r>
      <w:r>
        <w:rPr>
          <w:rFonts w:ascii="仿宋_GB2312" w:hAnsi="仿宋_GB2312"/>
        </w:rPr>
        <w:t xml:space="preserve"> </w:t>
      </w:r>
    </w:p>
    <w:p w14:paraId="6BD9E3DA" w14:textId="77777777" w:rsidR="008D7827" w:rsidRDefault="00C62183">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210718F5" w14:textId="77777777" w:rsidR="008D7827" w:rsidRDefault="00C62183">
      <w:pPr>
        <w:jc w:val="both"/>
      </w:pPr>
      <w:r>
        <w:rPr>
          <w:rFonts w:ascii="仿宋_GB2312" w:hAnsi="仿宋_GB2312"/>
        </w:rPr>
        <w:t>三情景对比显示，影响项目营收和盈利上限的关键，并非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相应后移。</w:t>
      </w:r>
    </w:p>
    <w:p w14:paraId="28554519" w14:textId="77777777" w:rsidR="008D7827" w:rsidRDefault="00C62183">
      <w:pPr>
        <w:jc w:val="both"/>
      </w:pPr>
      <w:r>
        <w:rPr>
          <w:rFonts w:ascii="仿宋_GB2312" w:hAnsi="仿宋_GB2312"/>
        </w:rPr>
        <w:t>就盈利弹性而言，项目具有明显的平台型特征。网站端、小程序端和模型能力一旦成熟，新增客户不需要同比例增加研发支出，边际服务成本相对可控。也正因如此，后续营收结构越偏向长期账号、持续报告和区域共建，项目利润表现就越稳定。</w:t>
      </w:r>
      <w:r>
        <w:rPr>
          <w:rFonts w:ascii="仿宋_GB2312" w:hAnsi="仿宋_GB2312"/>
        </w:rPr>
        <w:t xml:space="preserve"> </w:t>
      </w:r>
    </w:p>
    <w:p w14:paraId="6A489E9B" w14:textId="77777777" w:rsidR="008D7827" w:rsidRDefault="00C62183">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7EF987EE" w14:textId="77777777" w:rsidR="008D7827" w:rsidRDefault="00C62183">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进行测算。项目固定成本主要包括系统维护、云服务、样本更新、质量复核和基础管理支出；单客户年贡献则由年度账号服务、批次分析服务和附加报告服务共同构成。按当前收入结构估计，项目达到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家年度客户叠加持续批次分析订单时，即可基本覆盖固定成本。</w:t>
      </w:r>
    </w:p>
    <w:p w14:paraId="45E0BDAE" w14:textId="77777777" w:rsidR="008D7827" w:rsidRDefault="00C62183">
      <w:pPr>
        <w:jc w:val="both"/>
      </w:pPr>
      <w:r>
        <w:rPr>
          <w:rFonts w:ascii="仿宋_GB2312" w:hAnsi="仿宋_GB2312"/>
        </w:rPr>
        <w:lastRenderedPageBreak/>
        <w:t>越过平衡点后，增长重点不应继续停留在单次分析量扩张，而应转向提高续费率、扩大品牌方使用深度和增加区域共建项目。只有客户价值在同一套产品体系内持续放大，项目财务表现才会保持稳定改善。</w:t>
      </w:r>
      <w:r>
        <w:rPr>
          <w:rFonts w:ascii="仿宋_GB2312" w:hAnsi="仿宋_GB2312"/>
        </w:rPr>
        <w:t xml:space="preserve"> </w:t>
      </w:r>
    </w:p>
    <w:p w14:paraId="59D99EBE" w14:textId="77777777" w:rsidR="008D7827" w:rsidRDefault="00C62183">
      <w:pPr>
        <w:pStyle w:val="21"/>
        <w:ind w:firstLine="0"/>
      </w:pPr>
      <w:r>
        <w:rPr>
          <w:rFonts w:ascii="楷体_GB2312" w:eastAsia="楷体_GB2312" w:hAnsi="楷体_GB2312"/>
        </w:rPr>
        <w:t xml:space="preserve">9.8 </w:t>
      </w:r>
      <w:r>
        <w:rPr>
          <w:rFonts w:ascii="楷体_GB2312" w:eastAsia="楷体_GB2312" w:hAnsi="楷体_GB2312"/>
        </w:rPr>
        <w:t>敏感性分析</w:t>
      </w:r>
    </w:p>
    <w:p w14:paraId="0CABB365" w14:textId="77777777" w:rsidR="008D7827" w:rsidRDefault="00C62183">
      <w:pPr>
        <w:jc w:val="both"/>
      </w:pPr>
      <w:r>
        <w:rPr>
          <w:rFonts w:ascii="仿宋_GB2312" w:hAnsi="仿宋_GB2312"/>
        </w:rPr>
        <w:t>对项目影响最大的敏感变量主要包括年度账号转化率、续费率、模型准确度和区域样本扩充速度。年度账号转化率决定收入厚度，续费率决定收入稳定性，模型准确度决定客户信任和报告使用深度，样本扩充速度则直接决定模型泛化能力和服务边界。上述变量均与业务推进和技术迭代同步变化，因此财务预测必须与产品实际表现联动判断。</w:t>
      </w:r>
    </w:p>
    <w:p w14:paraId="320DF166" w14:textId="77777777" w:rsidR="008D7827" w:rsidRDefault="00C62183">
      <w:pPr>
        <w:jc w:val="both"/>
      </w:pPr>
      <w:r>
        <w:rPr>
          <w:rFonts w:ascii="仿宋_GB2312" w:hAnsi="仿宋_GB2312"/>
        </w:rPr>
        <w:t>敏感变量出现波动时，管理重点也应同步调整。若转化率下降，应优先检查试用流程、报告价值和客户导入机制；若续费率下降，应重点检查网站端和小程序端的使用频次、查询便利性和结果实用度；若模型准确度波动，应回到样本分层、标签质量和异常样本处理机制。财务改进的前提，始终是业务链路和技术链路的稳定。</w:t>
      </w:r>
      <w:r>
        <w:rPr>
          <w:rFonts w:ascii="仿宋_GB2312" w:hAnsi="仿宋_GB2312"/>
        </w:rPr>
        <w:t xml:space="preserve"> </w:t>
      </w:r>
    </w:p>
    <w:p w14:paraId="5BF2A960" w14:textId="77777777" w:rsidR="008D7827" w:rsidRDefault="00C62183">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0758A11E" w14:textId="77777777" w:rsidR="008D7827" w:rsidRDefault="00C62183">
      <w:pPr>
        <w:jc w:val="both"/>
      </w:pPr>
      <w:r>
        <w:rPr>
          <w:rFonts w:ascii="仿宋_GB2312" w:hAnsi="仿宋_GB2312"/>
        </w:rPr>
        <w:t>关键财务指标应围绕客户获取成本、年度账号续费率、单客户年收入、毛利率、回款周期和定制服务占比展开。上述指标中，年度账号续费率和单客户年收入最能反映网站端、小程序端和报告体系的真实使用价值；毛利率和回款周期则直接反映服务结构和资金效率。</w:t>
      </w:r>
    </w:p>
    <w:p w14:paraId="6E29BC2F" w14:textId="77777777" w:rsidR="008D7827" w:rsidRDefault="00C62183">
      <w:pPr>
        <w:jc w:val="both"/>
      </w:pPr>
      <w:r>
        <w:rPr>
          <w:rFonts w:ascii="仿宋_GB2312" w:hAnsi="仿宋_GB2312"/>
        </w:rPr>
        <w:t>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w:t>
      </w:r>
      <w:r>
        <w:rPr>
          <w:rFonts w:ascii="仿宋_GB2312" w:hAnsi="仿宋_GB2312"/>
        </w:rPr>
        <w:t xml:space="preserve"> </w:t>
      </w:r>
    </w:p>
    <w:p w14:paraId="5225516E" w14:textId="77777777" w:rsidR="008D7827" w:rsidRDefault="00C62183">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7CB1DAA0" w14:textId="77777777" w:rsidR="008D7827" w:rsidRDefault="00C62183">
      <w:pPr>
        <w:jc w:val="both"/>
      </w:pPr>
      <w:r>
        <w:rPr>
          <w:rFonts w:ascii="仿宋_GB2312" w:hAnsi="仿宋_GB2312"/>
        </w:rPr>
        <w:t>项目前期资金需求主要集中在样本库扩充、理化标定、模型迭代、双端稳定性优化和区域示范案例打造等方面。现阶段引入外部资金的主要作用，是放大已经形成基础的产品能力和样板案例，而不是替代前期验证工作。若产品成熟度、案例质量和交付能力尚未稳定，过早放大投入反而会抬高风险。</w:t>
      </w:r>
    </w:p>
    <w:p w14:paraId="4E1D1B05" w14:textId="77777777" w:rsidR="008D7827" w:rsidRDefault="00C62183">
      <w:pPr>
        <w:jc w:val="both"/>
      </w:pPr>
      <w:r>
        <w:rPr>
          <w:rFonts w:ascii="仿宋_GB2312" w:hAnsi="仿宋_GB2312"/>
        </w:rPr>
        <w:lastRenderedPageBreak/>
        <w:t>融资节奏应与产品成熟度保持一致。项目应先完成区域样本库补强、网站端和小程序端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4DA26210" w14:textId="77777777" w:rsidR="008D7827" w:rsidRDefault="00C62183">
      <w:pPr>
        <w:jc w:val="both"/>
      </w:pPr>
      <w:r>
        <w:rPr>
          <w:rFonts w:ascii="仿宋_GB2312" w:hAnsi="仿宋_GB2312"/>
        </w:rPr>
        <w:t>从长期看，项目更适合通过</w:t>
      </w:r>
      <w:r>
        <w:rPr>
          <w:rFonts w:ascii="仿宋_GB2312" w:hAnsi="仿宋_GB2312"/>
        </w:rPr>
        <w:t>“</w:t>
      </w:r>
      <w:r>
        <w:rPr>
          <w:rFonts w:ascii="仿宋_GB2312" w:hAnsi="仿宋_GB2312"/>
        </w:rPr>
        <w:t>订单回款</w:t>
      </w:r>
      <w:r>
        <w:rPr>
          <w:rFonts w:ascii="仿宋_GB2312" w:hAnsi="仿宋_GB2312"/>
        </w:rPr>
        <w:t xml:space="preserve"> + </w:t>
      </w:r>
      <w:r>
        <w:rPr>
          <w:rFonts w:ascii="仿宋_GB2312" w:hAnsi="仿宋_GB2312"/>
        </w:rPr>
        <w:t>阶段性融资</w:t>
      </w:r>
      <w:r>
        <w:rPr>
          <w:rFonts w:ascii="仿宋_GB2312" w:hAnsi="仿宋_GB2312"/>
        </w:rPr>
        <w:t xml:space="preserve"> + </w:t>
      </w:r>
      <w:r>
        <w:rPr>
          <w:rFonts w:ascii="仿宋_GB2312" w:hAnsi="仿宋_GB2312"/>
        </w:rPr>
        <w:t>项目经费</w:t>
      </w:r>
      <w:r>
        <w:rPr>
          <w:rFonts w:ascii="仿宋_GB2312" w:hAnsi="仿宋_GB2312"/>
        </w:rPr>
        <w:t>”</w:t>
      </w:r>
      <w:r>
        <w:rPr>
          <w:rFonts w:ascii="仿宋_GB2312" w:hAnsi="仿宋_GB2312"/>
        </w:rPr>
        <w:t>组合方式形成资本支持结构，以保证资金使用效率与项目主线保持一致。只有在模型、报告、样本和客户结构均形成稳定基础后，资本投入才会真正转化为可持续增长。</w:t>
      </w:r>
      <w:r>
        <w:rPr>
          <w:rFonts w:ascii="仿宋_GB2312" w:hAnsi="仿宋_GB2312"/>
        </w:rPr>
        <w:t xml:space="preserve"> </w:t>
      </w:r>
    </w:p>
    <w:p w14:paraId="6998D215" w14:textId="77777777" w:rsidR="008D7827" w:rsidRDefault="00C62183">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26C05A67" w14:textId="77777777" w:rsidR="008D7827" w:rsidRDefault="00C62183">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3C58F50A" w14:textId="77777777" w:rsidR="008D7827" w:rsidRDefault="00C62183">
      <w:pPr>
        <w:jc w:val="both"/>
      </w:pPr>
      <w:r>
        <w:rPr>
          <w:rFonts w:ascii="仿宋_GB2312" w:hAnsi="仿宋_GB2312"/>
        </w:rPr>
        <w:t>本章风险分析以项目已完成网站端与小程序端开发、具备基本样本和报告输出能力、并开始进入试点推广为前提展开。风险识别范围覆盖数据输入、模型输出、客户使用、商务回款、团队维护和成果保护等关键环节，重点分析会直接影响项目交付、客户信任和系统稳定性的主要因素。</w:t>
      </w:r>
    </w:p>
    <w:p w14:paraId="3BBD4F62" w14:textId="77777777" w:rsidR="008D7827" w:rsidRDefault="00C62183">
      <w:pPr>
        <w:jc w:val="both"/>
      </w:pPr>
      <w:r>
        <w:rPr>
          <w:rFonts w:ascii="仿宋_GB2312" w:hAnsi="仿宋_GB2312"/>
        </w:rPr>
        <w:t>风险判断采用影响程度、发生概率和可控制性三个维度进行综合评估，不将与当前阶段关联较弱的远期风险纳入重点分析。对于竞赛型项目而言，真正需要提前处理的风险，不是抽象意义上的</w:t>
      </w:r>
      <w:r>
        <w:rPr>
          <w:rFonts w:ascii="仿宋_GB2312" w:hAnsi="仿宋_GB2312"/>
        </w:rPr>
        <w:t>“</w:t>
      </w:r>
      <w:r>
        <w:rPr>
          <w:rFonts w:ascii="仿宋_GB2312" w:hAnsi="仿宋_GB2312"/>
        </w:rPr>
        <w:t>未来不确定性</w:t>
      </w:r>
      <w:r>
        <w:rPr>
          <w:rFonts w:ascii="仿宋_GB2312" w:hAnsi="仿宋_GB2312"/>
        </w:rPr>
        <w:t>”</w:t>
      </w:r>
      <w:r>
        <w:rPr>
          <w:rFonts w:ascii="仿宋_GB2312" w:hAnsi="仿宋_GB2312"/>
        </w:rPr>
        <w:t>，而是样本是否可靠、结果是否稳定、交付是否顺畅和客户是否愿意持续使用。</w:t>
      </w:r>
      <w:r>
        <w:rPr>
          <w:rFonts w:ascii="仿宋_GB2312" w:hAnsi="仿宋_GB2312"/>
        </w:rPr>
        <w:t xml:space="preserve"> </w:t>
      </w:r>
    </w:p>
    <w:p w14:paraId="689B38C4" w14:textId="77777777" w:rsidR="008D7827" w:rsidRDefault="00C62183">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25DDB310" w14:textId="77777777" w:rsidR="008D7827" w:rsidRDefault="00C62183">
      <w:pPr>
        <w:jc w:val="both"/>
      </w:pPr>
      <w:r>
        <w:rPr>
          <w:rFonts w:ascii="仿宋_GB2312" w:hAnsi="仿宋_GB2312"/>
        </w:rPr>
        <w:t>财务风险主要来自客户付费节奏、续费率波动和样本投入前置。网站端、小程序端和智能分析服务持续运行都依赖服务器、样本标定、模型训练和现场支持等稳定投入，一旦收入结构长期停留在单次分析层面，现金流抗压能力就会明显下降。项目财务安全的核心，不在于某一笔大订单，而在于能否形成稳定账号客户和连续回款。</w:t>
      </w:r>
    </w:p>
    <w:p w14:paraId="452B29F4" w14:textId="77777777" w:rsidR="008D7827" w:rsidRDefault="00C62183">
      <w:pPr>
        <w:jc w:val="both"/>
      </w:pPr>
      <w:r>
        <w:rPr>
          <w:rFonts w:ascii="仿宋_GB2312" w:hAnsi="仿宋_GB2312"/>
        </w:rPr>
        <w:t>现金流缺口通常出现在样本集中补强、模型集中优化和试点集中交付阶段。若该阶段恰好叠加客户回款延迟或签约进度放缓，项目会同时承受研发、运维和实施支出压力。因此，财务风险控制需要从合同结构、预付款比例、阶段性结算和成本节奏四方面同步管理，以维持核心系统和样本工作的连续性。</w:t>
      </w:r>
      <w:r>
        <w:rPr>
          <w:rFonts w:ascii="仿宋_GB2312" w:hAnsi="仿宋_GB2312"/>
        </w:rPr>
        <w:t xml:space="preserve"> </w:t>
      </w:r>
    </w:p>
    <w:p w14:paraId="23F557E0" w14:textId="77777777" w:rsidR="008D7827" w:rsidRDefault="00C62183">
      <w:pPr>
        <w:pStyle w:val="21"/>
        <w:ind w:firstLine="0"/>
      </w:pPr>
      <w:r>
        <w:rPr>
          <w:rFonts w:ascii="楷体_GB2312" w:eastAsia="楷体_GB2312" w:hAnsi="楷体_GB2312"/>
        </w:rPr>
        <w:lastRenderedPageBreak/>
        <w:t xml:space="preserve">10.3 </w:t>
      </w:r>
      <w:r>
        <w:rPr>
          <w:rFonts w:ascii="楷体_GB2312" w:eastAsia="楷体_GB2312" w:hAnsi="楷体_GB2312"/>
        </w:rPr>
        <w:t>市场风险维度分析</w:t>
      </w:r>
    </w:p>
    <w:p w14:paraId="1638E4E0" w14:textId="77777777" w:rsidR="008D7827" w:rsidRDefault="00C62183">
      <w:pPr>
        <w:jc w:val="both"/>
      </w:pPr>
      <w:r>
        <w:rPr>
          <w:rFonts w:ascii="仿宋_GB2312" w:hAnsi="仿宋_GB2312"/>
        </w:rPr>
        <w:t>市场风险主要来自客户接受速度、案例集中度和替代方案竞争。项目虽然切入点明确，但客户是否愿意将系统纳入日常分级、验货和品牌管理流程，仍取决于试点效果和持续使用体验。若客户只将平台用于展示而未纳入作业流程，上传频次、复购速度和报告使用深度都会受到影响，市场转化节奏也会随之放缓。</w:t>
      </w:r>
    </w:p>
    <w:p w14:paraId="1FB11734" w14:textId="77777777" w:rsidR="008D7827" w:rsidRDefault="00C62183">
      <w:pPr>
        <w:jc w:val="both"/>
      </w:pPr>
      <w:r>
        <w:rPr>
          <w:rFonts w:ascii="仿宋_GB2312" w:hAnsi="仿宋_GB2312"/>
        </w:rPr>
        <w:t>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w:t>
      </w:r>
      <w:r>
        <w:rPr>
          <w:rFonts w:ascii="仿宋_GB2312" w:hAnsi="仿宋_GB2312"/>
        </w:rPr>
        <w:t xml:space="preserve"> </w:t>
      </w:r>
    </w:p>
    <w:p w14:paraId="67D3F7B6" w14:textId="77777777" w:rsidR="008D7827" w:rsidRDefault="00C62183">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49D2E871" w14:textId="77777777" w:rsidR="008D7827" w:rsidRDefault="00C62183">
      <w:pPr>
        <w:jc w:val="both"/>
      </w:pPr>
      <w:r>
        <w:rPr>
          <w:rFonts w:ascii="仿宋_GB2312" w:hAnsi="仿宋_GB2312"/>
        </w:rPr>
        <w:t>运营风险主要体现在样本组织、文件标准、双端协同和交付排期四个方面。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3B2C2366" w14:textId="77777777" w:rsidR="008D7827" w:rsidRDefault="00C62183">
      <w:pPr>
        <w:jc w:val="both"/>
      </w:pPr>
      <w:r>
        <w:rPr>
          <w:rFonts w:ascii="仿宋_GB2312" w:hAnsi="仿宋_GB2312"/>
        </w:rPr>
        <w:t>团队协同也是重要运营风险来源。若代码、模型版本、报告模板和合作记录缺少统一文档管理，系统维护依赖少数成员，一旦人员分工变化，双端产品和分析服务都可能受到影响。因此，项目需要同步建立样本台账、版本台账、模板台账和合作台账，保证研发、交付和运营信息能够连续留存。</w:t>
      </w:r>
      <w:r>
        <w:rPr>
          <w:rFonts w:ascii="仿宋_GB2312" w:hAnsi="仿宋_GB2312"/>
        </w:rPr>
        <w:t xml:space="preserve"> </w:t>
      </w:r>
    </w:p>
    <w:p w14:paraId="2756CC8F" w14:textId="77777777" w:rsidR="008D7827" w:rsidRDefault="00C62183">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47F24EE2" w14:textId="77777777" w:rsidR="008D7827" w:rsidRDefault="00C62183">
      <w:pPr>
        <w:jc w:val="both"/>
      </w:pPr>
      <w:r>
        <w:rPr>
          <w:rFonts w:ascii="仿宋_GB2312" w:hAnsi="仿宋_GB2312"/>
        </w:rPr>
        <w:t>技术与合规风险主要集中在跨批次模型稳定性、文件格式兼容性、数据授权和成果保护四个方面。模型若在不同季节、不同产区、不同批次之间波动较大，合作方就难以将结果作为长期依据；文件格式兼容性不足，则会直接影响上传成功率和平台可用性；数据授权边界不清，则会对样本使用、报告展示和模型迭代带来持续隐患。</w:t>
      </w:r>
    </w:p>
    <w:p w14:paraId="35C91223" w14:textId="77777777" w:rsidR="008D7827" w:rsidRDefault="00C62183">
      <w:pPr>
        <w:jc w:val="both"/>
      </w:pPr>
      <w:r>
        <w:rPr>
          <w:rFonts w:ascii="仿宋_GB2312" w:hAnsi="仿宋_GB2312"/>
        </w:rPr>
        <w:t>合规层面，项目需要明确客户样本、批次文件、分析报告和模型参数在共享、展示和合作使用中的权限边界，并通过授权协议、权限控制和成果保护机制保障各方权益。对区域品牌和长期合作场景而言，技术表现与合规管理并不是两条分开的工作线，而是同一项合作可信度建设的两个组成部分。</w:t>
      </w:r>
      <w:r>
        <w:rPr>
          <w:rFonts w:ascii="仿宋_GB2312" w:hAnsi="仿宋_GB2312"/>
        </w:rPr>
        <w:t xml:space="preserve"> </w:t>
      </w:r>
    </w:p>
    <w:p w14:paraId="7DC9A0FA" w14:textId="77777777" w:rsidR="008D7827" w:rsidRDefault="00C62183">
      <w:pPr>
        <w:pStyle w:val="21"/>
        <w:ind w:firstLine="0"/>
      </w:pPr>
      <w:r>
        <w:rPr>
          <w:rFonts w:ascii="楷体_GB2312" w:eastAsia="楷体_GB2312" w:hAnsi="楷体_GB2312"/>
        </w:rPr>
        <w:lastRenderedPageBreak/>
        <w:t xml:space="preserve">10.6 </w:t>
      </w:r>
      <w:r>
        <w:rPr>
          <w:rFonts w:ascii="楷体_GB2312" w:eastAsia="楷体_GB2312" w:hAnsi="楷体_GB2312"/>
        </w:rPr>
        <w:t>风险量化评估矩阵</w:t>
      </w:r>
    </w:p>
    <w:p w14:paraId="3B3195F9" w14:textId="77777777" w:rsidR="008D7827" w:rsidRDefault="00C62183">
      <w:pPr>
        <w:jc w:val="both"/>
      </w:pPr>
      <w:r>
        <w:rPr>
          <w:rFonts w:ascii="仿宋_GB2312" w:hAnsi="仿宋_GB2312"/>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85354BC" w14:textId="77777777" w:rsidR="008D7827" w:rsidRDefault="00C62183">
      <w:pPr>
        <w:jc w:val="both"/>
      </w:pPr>
      <w:r>
        <w:rPr>
          <w:rFonts w:ascii="仿宋_GB2312" w:hAnsi="仿宋_GB2312"/>
        </w:rPr>
        <w:t>风险量化的目的不是为文本增设复杂结构，而是为资源配置提供依据。高风险事项应安排明确负责人和周期性复盘机制，中风险事项应纳入日常运营监控，低风险事项则在确保主线稳定的前提下动态调整。</w:t>
      </w:r>
      <w:r>
        <w:rPr>
          <w:rFonts w:ascii="仿宋_GB2312" w:hAnsi="仿宋_GB2312"/>
        </w:rPr>
        <w:t xml:space="preserve"> </w:t>
      </w:r>
    </w:p>
    <w:p w14:paraId="2FE6A3FD" w14:textId="77777777" w:rsidR="008D7827" w:rsidRDefault="00C62183">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3E2DE5C5" w14:textId="77777777" w:rsidR="008D7827" w:rsidRDefault="00C62183">
      <w:pPr>
        <w:jc w:val="both"/>
      </w:pPr>
      <w:r>
        <w:rPr>
          <w:rFonts w:ascii="仿宋_GB2312" w:hAnsi="仿宋_GB2312"/>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01D48DA3" w14:textId="77777777" w:rsidR="008D7827" w:rsidRDefault="00C62183">
      <w:pPr>
        <w:jc w:val="both"/>
      </w:pPr>
      <w:r>
        <w:rPr>
          <w:rFonts w:ascii="仿宋_GB2312" w:hAnsi="仿宋_GB2312"/>
        </w:rPr>
        <w:t>因此，风险管理不应停留在静态识别层面，而应结合项目进展动态调整工作重心。样本、模型、交付和客户结构越稳定，风险重心就越会从</w:t>
      </w:r>
      <w:r>
        <w:rPr>
          <w:rFonts w:ascii="仿宋_GB2312" w:hAnsi="仿宋_GB2312"/>
        </w:rPr>
        <w:t>“</w:t>
      </w:r>
      <w:r>
        <w:rPr>
          <w:rFonts w:ascii="仿宋_GB2312" w:hAnsi="仿宋_GB2312"/>
        </w:rPr>
        <w:t>能否做成</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如何稳步放大</w:t>
      </w:r>
      <w:r>
        <w:rPr>
          <w:rFonts w:ascii="仿宋_GB2312" w:hAnsi="仿宋_GB2312"/>
        </w:rPr>
        <w:t>”</w:t>
      </w:r>
      <w:r>
        <w:rPr>
          <w:rFonts w:ascii="仿宋_GB2312" w:hAnsi="仿宋_GB2312"/>
        </w:rPr>
        <w:t>；反之，则需要继续把资源放在样本补强、场景验证和资金节奏控制上。</w:t>
      </w:r>
      <w:r>
        <w:rPr>
          <w:rFonts w:ascii="仿宋_GB2312" w:hAnsi="仿宋_GB2312"/>
        </w:rPr>
        <w:t xml:space="preserve"> </w:t>
      </w:r>
    </w:p>
    <w:p w14:paraId="524A5C3D" w14:textId="77777777" w:rsidR="008D7827" w:rsidRDefault="00C62183">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09C16895" w14:textId="77777777" w:rsidR="008D7827" w:rsidRDefault="00C62183">
      <w:pPr>
        <w:jc w:val="both"/>
      </w:pPr>
      <w:r>
        <w:rPr>
          <w:rFonts w:ascii="仿宋_GB2312" w:hAnsi="仿宋_GB2312"/>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5BD5CD21" w14:textId="77777777" w:rsidR="008D7827" w:rsidRDefault="00C62183">
      <w:pPr>
        <w:jc w:val="both"/>
      </w:pPr>
      <w:r>
        <w:rPr>
          <w:rFonts w:ascii="仿宋_GB2312" w:hAnsi="仿宋_GB2312"/>
        </w:rPr>
        <w:t>转移与预案类措施主要用于数据授权、保密协议、服务器备份、关键岗位交接和异常情况处置等环节，目的在于防止单点问题演变为系统性风险。对当前项目而言，最有效的风险策略不是增加形式化条目，而是把样本、系统、合同和交付流程中的关键节点固化成标准动作。</w:t>
      </w:r>
      <w:r>
        <w:rPr>
          <w:rFonts w:ascii="仿宋_GB2312" w:hAnsi="仿宋_GB2312"/>
        </w:rPr>
        <w:t xml:space="preserve"> </w:t>
      </w:r>
    </w:p>
    <w:p w14:paraId="342B6340" w14:textId="77777777" w:rsidR="008D7827" w:rsidRDefault="00C62183">
      <w:pPr>
        <w:pStyle w:val="21"/>
        <w:ind w:firstLine="0"/>
      </w:pPr>
      <w:r>
        <w:rPr>
          <w:rFonts w:ascii="楷体_GB2312" w:eastAsia="楷体_GB2312" w:hAnsi="楷体_GB2312"/>
        </w:rPr>
        <w:lastRenderedPageBreak/>
        <w:t xml:space="preserve">10.9 </w:t>
      </w:r>
      <w:r>
        <w:rPr>
          <w:rFonts w:ascii="楷体_GB2312" w:eastAsia="楷体_GB2312" w:hAnsi="楷体_GB2312"/>
        </w:rPr>
        <w:t>关键风险指标监控建议</w:t>
      </w:r>
    </w:p>
    <w:p w14:paraId="7F8B562D" w14:textId="77777777" w:rsidR="008D7827" w:rsidRDefault="00C62183">
      <w:pPr>
        <w:jc w:val="both"/>
      </w:pPr>
      <w:r>
        <w:rPr>
          <w:rFonts w:ascii="仿宋_GB2312" w:hAnsi="仿宋_GB2312"/>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1F760AF0" w14:textId="77777777" w:rsidR="008D7827" w:rsidRDefault="00C62183">
      <w:pPr>
        <w:jc w:val="both"/>
      </w:pPr>
      <w:r>
        <w:rPr>
          <w:rFonts w:ascii="仿宋_GB2312" w:hAnsi="仿宋_GB2312"/>
        </w:rPr>
        <w:t>建议按月形成经营与技术联合复盘机制，对高频指标进行持续跟踪，对异常波动指标及时定位到样本、模型、交付或客户流程。对竞赛型项目而言，真正决定后续落地质量的不是文本中的风险分类数量，而是能否把关键指标长期记录并据此调整策略。</w:t>
      </w:r>
      <w:r>
        <w:rPr>
          <w:rFonts w:ascii="仿宋_GB2312" w:hAnsi="仿宋_GB2312"/>
        </w:rPr>
        <w:t xml:space="preserve"> </w:t>
      </w:r>
    </w:p>
    <w:sectPr w:rsidR="008D7827"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A0794AC" w14:textId="77777777" w:rsidR="00C62183" w:rsidRDefault="00C62183">
      <w:pPr>
        <w:spacing w:line="240" w:lineRule="auto"/>
      </w:pPr>
      <w:r>
        <w:separator/>
      </w:r>
    </w:p>
  </w:endnote>
  <w:endnote w:type="continuationSeparator" w:id="0">
    <w:p w14:paraId="363E4B2A" w14:textId="77777777" w:rsidR="00C62183" w:rsidRDefault="00C6218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B6D32B" w14:textId="77777777" w:rsidR="008D7827" w:rsidRDefault="00C62183">
    <w:pPr>
      <w:pStyle w:val="a7"/>
      <w:spacing w:line="500" w:lineRule="exact"/>
      <w:ind w:firstLine="0"/>
      <w:jc w:val="center"/>
    </w:pPr>
    <w:r>
      <w:rPr>
        <w:rFonts w:eastAsia="Times New Roman"/>
      </w:rPr>
      <w:fldChar w:fldCharType="begin"/>
    </w:r>
    <w:r>
      <w:rPr>
        <w:rFonts w:eastAsia="Times New Roman"/>
      </w:rPr>
      <w:instrText>PAGE</w:instrText>
    </w:r>
    <w:r w:rsidR="00E9293B">
      <w:rPr>
        <w:rFonts w:eastAsia="Times New Roman"/>
      </w:rPr>
      <w:fldChar w:fldCharType="separate"/>
    </w:r>
    <w:r w:rsidR="00E9293B">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694ED4" w14:textId="77777777" w:rsidR="00C62183" w:rsidRDefault="00C62183">
      <w:pPr>
        <w:spacing w:line="240" w:lineRule="auto"/>
      </w:pPr>
      <w:r>
        <w:separator/>
      </w:r>
    </w:p>
  </w:footnote>
  <w:footnote w:type="continuationSeparator" w:id="0">
    <w:p w14:paraId="422338CD" w14:textId="77777777" w:rsidR="00C62183" w:rsidRDefault="00C6218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055354485">
    <w:abstractNumId w:val="8"/>
  </w:num>
  <w:num w:numId="2" w16cid:durableId="2022315098">
    <w:abstractNumId w:val="6"/>
  </w:num>
  <w:num w:numId="3" w16cid:durableId="60491892">
    <w:abstractNumId w:val="5"/>
  </w:num>
  <w:num w:numId="4" w16cid:durableId="1147434577">
    <w:abstractNumId w:val="4"/>
  </w:num>
  <w:num w:numId="5" w16cid:durableId="196242307">
    <w:abstractNumId w:val="7"/>
  </w:num>
  <w:num w:numId="6" w16cid:durableId="1436944120">
    <w:abstractNumId w:val="3"/>
  </w:num>
  <w:num w:numId="7" w16cid:durableId="719091329">
    <w:abstractNumId w:val="2"/>
  </w:num>
  <w:num w:numId="8" w16cid:durableId="1263297018">
    <w:abstractNumId w:val="1"/>
  </w:num>
  <w:num w:numId="9" w16cid:durableId="110850766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8D7827"/>
    <w:rsid w:val="00AA1D8D"/>
    <w:rsid w:val="00B47730"/>
    <w:rsid w:val="00C62183"/>
    <w:rsid w:val="00CB0664"/>
    <w:rsid w:val="00DC15F1"/>
    <w:rsid w:val="00E9293B"/>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2593359"/>
  <w14:defaultImageDpi w14:val="300"/>
  <w15:docId w15:val="{FBB1F0D4-B8E4-4F59-A502-C1EA304E27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31</Pages>
  <Words>18065</Words>
  <Characters>18674</Characters>
  <Application>Microsoft Office Word</Application>
  <DocSecurity>0</DocSecurity>
  <Lines>688</Lines>
  <Paragraphs>290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18952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2026-04-07T02:51:00Z</dcterms:created>
  <dcterms:modified xsi:type="dcterms:W3CDTF">2026-04-07T02:51:00Z</dcterms:modified>
  <cp:category/>
</cp:coreProperties>
</file>