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D6CFEAA" w14:textId="77777777" w:rsidR="00680242" w:rsidRDefault="00B40361">
      <w:pPr>
        <w:ind w:firstLine="0"/>
        <w:jc w:val="center"/>
      </w:pPr>
      <w:r>
        <w:rPr>
          <w:rFonts w:ascii="黑体" w:eastAsia="黑体" w:hAnsi="黑体"/>
          <w:sz w:val="36"/>
        </w:rPr>
        <w:t>橙源智鉴项目计划书</w:t>
      </w:r>
    </w:p>
    <w:p w14:paraId="19729D45" w14:textId="77777777" w:rsidR="00680242" w:rsidRDefault="00B40361">
      <w:pPr>
        <w:ind w:firstLine="0"/>
        <w:jc w:val="center"/>
      </w:pPr>
      <w:r>
        <w:rPr>
          <w:rFonts w:ascii="仿宋_GB2312" w:hAnsi="仿宋_GB2312"/>
        </w:rPr>
        <w:t>版本：</w:t>
      </w:r>
      <w:r>
        <w:rPr>
          <w:rFonts w:ascii="仿宋_GB2312" w:hAnsi="仿宋_GB2312"/>
        </w:rPr>
        <w:t>V1.0</w:t>
      </w:r>
    </w:p>
    <w:p w14:paraId="5D082DEA" w14:textId="77777777" w:rsidR="00680242" w:rsidRDefault="00B40361">
      <w:pPr>
        <w:ind w:firstLine="0"/>
        <w:jc w:val="center"/>
      </w:pPr>
      <w:r>
        <w:rPr>
          <w:rFonts w:ascii="仿宋_GB2312" w:hAnsi="仿宋_GB2312"/>
        </w:rPr>
        <w:t>日期：</w:t>
      </w:r>
      <w:r>
        <w:rPr>
          <w:rFonts w:ascii="仿宋_GB2312" w:hAnsi="仿宋_GB2312"/>
        </w:rPr>
        <w:t>2026</w:t>
      </w:r>
      <w:r>
        <w:rPr>
          <w:rFonts w:ascii="仿宋_GB2312" w:hAnsi="仿宋_GB2312"/>
        </w:rPr>
        <w:t>年</w:t>
      </w:r>
      <w:r>
        <w:rPr>
          <w:rFonts w:ascii="仿宋_GB2312" w:hAnsi="仿宋_GB2312"/>
        </w:rPr>
        <w:t>4</w:t>
      </w:r>
      <w:r>
        <w:rPr>
          <w:rFonts w:ascii="仿宋_GB2312" w:hAnsi="仿宋_GB2312"/>
        </w:rPr>
        <w:t>月</w:t>
      </w:r>
      <w:r>
        <w:rPr>
          <w:rFonts w:ascii="仿宋_GB2312" w:hAnsi="仿宋_GB2312"/>
        </w:rPr>
        <w:t>7</w:t>
      </w:r>
      <w:r>
        <w:rPr>
          <w:rFonts w:ascii="仿宋_GB2312" w:hAnsi="仿宋_GB2312"/>
        </w:rPr>
        <w:t>日</w:t>
      </w:r>
    </w:p>
    <w:p w14:paraId="1DD65FA6" w14:textId="77777777" w:rsidR="00680242" w:rsidRDefault="00680242">
      <w:pPr>
        <w:sectPr w:rsidR="00680242">
          <w:footerReference w:type="default" r:id="rId8"/>
          <w:pgSz w:w="11906" w:h="16838"/>
          <w:pgMar w:top="1417" w:right="1417" w:bottom="1417" w:left="1417" w:header="850" w:footer="992" w:gutter="0"/>
          <w:cols w:space="720"/>
          <w:docGrid w:linePitch="360"/>
        </w:sectPr>
      </w:pPr>
    </w:p>
    <w:p w14:paraId="44201D86" w14:textId="77777777" w:rsidR="00680242" w:rsidRDefault="00B40361">
      <w:pPr>
        <w:ind w:firstLine="0"/>
        <w:jc w:val="center"/>
      </w:pPr>
      <w:r>
        <w:rPr>
          <w:rFonts w:ascii="黑体" w:eastAsia="黑体" w:hAnsi="黑体"/>
          <w:sz w:val="32"/>
        </w:rPr>
        <w:lastRenderedPageBreak/>
        <w:t>目</w:t>
      </w:r>
      <w:r>
        <w:rPr>
          <w:rFonts w:ascii="黑体" w:eastAsia="黑体" w:hAnsi="黑体"/>
          <w:sz w:val="32"/>
        </w:rPr>
        <w:t xml:space="preserve"> </w:t>
      </w:r>
      <w:r>
        <w:rPr>
          <w:rFonts w:ascii="黑体" w:eastAsia="黑体" w:hAnsi="黑体"/>
          <w:sz w:val="32"/>
        </w:rPr>
        <w:t>录</w:t>
      </w:r>
    </w:p>
    <w:p w14:paraId="1F197CB1" w14:textId="77777777" w:rsidR="00680242" w:rsidRDefault="00B40361">
      <w:pPr>
        <w:jc w:val="both"/>
      </w:pPr>
      <w:r>
        <w:rPr>
          <w:rFonts w:ascii="仿宋_GB2312" w:hAnsi="仿宋_GB2312"/>
        </w:rPr>
        <w:t>第一章</w:t>
      </w:r>
      <w:r>
        <w:rPr>
          <w:rFonts w:ascii="仿宋_GB2312" w:hAnsi="仿宋_GB2312"/>
        </w:rPr>
        <w:t xml:space="preserve"> </w:t>
      </w:r>
      <w:r>
        <w:rPr>
          <w:rFonts w:ascii="仿宋_GB2312" w:hAnsi="仿宋_GB2312"/>
        </w:rPr>
        <w:t>项目概述</w:t>
      </w:r>
    </w:p>
    <w:p w14:paraId="2FD15211" w14:textId="77777777" w:rsidR="00680242" w:rsidRDefault="00B40361">
      <w:pPr>
        <w:jc w:val="both"/>
      </w:pPr>
      <w:r>
        <w:rPr>
          <w:rFonts w:ascii="仿宋_GB2312" w:hAnsi="仿宋_GB2312"/>
        </w:rPr>
        <w:t xml:space="preserve">1.1 </w:t>
      </w:r>
      <w:r>
        <w:rPr>
          <w:rFonts w:ascii="仿宋_GB2312" w:hAnsi="仿宋_GB2312"/>
        </w:rPr>
        <w:t>项目背景</w:t>
      </w:r>
    </w:p>
    <w:p w14:paraId="0C461FC2" w14:textId="77777777" w:rsidR="00680242" w:rsidRDefault="00B40361">
      <w:pPr>
        <w:jc w:val="both"/>
      </w:pPr>
      <w:r>
        <w:rPr>
          <w:rFonts w:ascii="仿宋_GB2312" w:hAnsi="仿宋_GB2312"/>
        </w:rPr>
        <w:t xml:space="preserve">1.2 </w:t>
      </w:r>
      <w:r>
        <w:rPr>
          <w:rFonts w:ascii="仿宋_GB2312" w:hAnsi="仿宋_GB2312"/>
        </w:rPr>
        <w:t>政策支持</w:t>
      </w:r>
    </w:p>
    <w:p w14:paraId="793D172F" w14:textId="77777777" w:rsidR="00680242" w:rsidRDefault="00B40361">
      <w:pPr>
        <w:jc w:val="both"/>
      </w:pPr>
      <w:r>
        <w:rPr>
          <w:rFonts w:ascii="仿宋_GB2312" w:hAnsi="仿宋_GB2312"/>
        </w:rPr>
        <w:t xml:space="preserve">1.3 </w:t>
      </w:r>
      <w:r>
        <w:rPr>
          <w:rFonts w:ascii="仿宋_GB2312" w:hAnsi="仿宋_GB2312"/>
        </w:rPr>
        <w:t>技术支撑</w:t>
      </w:r>
    </w:p>
    <w:p w14:paraId="37AF71BE" w14:textId="77777777" w:rsidR="00680242" w:rsidRDefault="00B40361">
      <w:pPr>
        <w:jc w:val="both"/>
      </w:pPr>
      <w:r>
        <w:rPr>
          <w:rFonts w:ascii="仿宋_GB2312" w:hAnsi="仿宋_GB2312"/>
        </w:rPr>
        <w:t xml:space="preserve">1.4 </w:t>
      </w:r>
      <w:r>
        <w:rPr>
          <w:rFonts w:ascii="仿宋_GB2312" w:hAnsi="仿宋_GB2312"/>
        </w:rPr>
        <w:t>项目基础与阶段目标</w:t>
      </w:r>
    </w:p>
    <w:p w14:paraId="60AB4FAD" w14:textId="77777777" w:rsidR="00680242" w:rsidRDefault="00B40361">
      <w:pPr>
        <w:jc w:val="both"/>
      </w:pPr>
      <w:r>
        <w:rPr>
          <w:rFonts w:ascii="仿宋_GB2312" w:hAnsi="仿宋_GB2312"/>
        </w:rPr>
        <w:t>第二章</w:t>
      </w:r>
      <w:r>
        <w:rPr>
          <w:rFonts w:ascii="仿宋_GB2312" w:hAnsi="仿宋_GB2312"/>
        </w:rPr>
        <w:t xml:space="preserve"> </w:t>
      </w:r>
      <w:r>
        <w:rPr>
          <w:rFonts w:ascii="仿宋_GB2312" w:hAnsi="仿宋_GB2312"/>
        </w:rPr>
        <w:t>产品效益</w:t>
      </w:r>
    </w:p>
    <w:p w14:paraId="271C8EE5" w14:textId="77777777" w:rsidR="00680242" w:rsidRDefault="00B40361">
      <w:pPr>
        <w:jc w:val="both"/>
      </w:pPr>
      <w:r>
        <w:rPr>
          <w:rFonts w:ascii="仿宋_GB2312" w:hAnsi="仿宋_GB2312"/>
        </w:rPr>
        <w:t xml:space="preserve">2.1 </w:t>
      </w:r>
      <w:r>
        <w:rPr>
          <w:rFonts w:ascii="仿宋_GB2312" w:hAnsi="仿宋_GB2312"/>
        </w:rPr>
        <w:t>社会效益</w:t>
      </w:r>
    </w:p>
    <w:p w14:paraId="0DA2A203" w14:textId="77777777" w:rsidR="00680242" w:rsidRDefault="00B40361">
      <w:pPr>
        <w:jc w:val="both"/>
      </w:pPr>
      <w:r>
        <w:rPr>
          <w:rFonts w:ascii="仿宋_GB2312" w:hAnsi="仿宋_GB2312"/>
        </w:rPr>
        <w:t xml:space="preserve">2.2 </w:t>
      </w:r>
      <w:r>
        <w:rPr>
          <w:rFonts w:ascii="仿宋_GB2312" w:hAnsi="仿宋_GB2312"/>
        </w:rPr>
        <w:t>经济效益</w:t>
      </w:r>
    </w:p>
    <w:p w14:paraId="332E171F" w14:textId="77777777" w:rsidR="00680242" w:rsidRDefault="00B40361">
      <w:pPr>
        <w:jc w:val="both"/>
      </w:pPr>
      <w:r>
        <w:rPr>
          <w:rFonts w:ascii="仿宋_GB2312" w:hAnsi="仿宋_GB2312"/>
        </w:rPr>
        <w:t xml:space="preserve">2.3 </w:t>
      </w:r>
      <w:r>
        <w:rPr>
          <w:rFonts w:ascii="仿宋_GB2312" w:hAnsi="仿宋_GB2312"/>
        </w:rPr>
        <w:t>教育引领</w:t>
      </w:r>
    </w:p>
    <w:p w14:paraId="0A39C56D" w14:textId="77777777" w:rsidR="00680242" w:rsidRDefault="00B40361">
      <w:pPr>
        <w:jc w:val="both"/>
      </w:pPr>
      <w:r>
        <w:rPr>
          <w:rFonts w:ascii="仿宋_GB2312" w:hAnsi="仿宋_GB2312"/>
        </w:rPr>
        <w:t>第三章</w:t>
      </w:r>
      <w:r>
        <w:rPr>
          <w:rFonts w:ascii="仿宋_GB2312" w:hAnsi="仿宋_GB2312"/>
        </w:rPr>
        <w:t xml:space="preserve"> </w:t>
      </w:r>
      <w:r>
        <w:rPr>
          <w:rFonts w:ascii="仿宋_GB2312" w:hAnsi="仿宋_GB2312"/>
        </w:rPr>
        <w:t>可行性分析</w:t>
      </w:r>
    </w:p>
    <w:p w14:paraId="65578CCF" w14:textId="77777777" w:rsidR="00680242" w:rsidRDefault="00B40361">
      <w:pPr>
        <w:jc w:val="both"/>
      </w:pPr>
      <w:r>
        <w:rPr>
          <w:rFonts w:ascii="仿宋_GB2312" w:hAnsi="仿宋_GB2312"/>
        </w:rPr>
        <w:t xml:space="preserve">3.1 </w:t>
      </w:r>
      <w:r>
        <w:rPr>
          <w:rFonts w:ascii="仿宋_GB2312" w:hAnsi="仿宋_GB2312"/>
        </w:rPr>
        <w:t>市场可行性</w:t>
      </w:r>
    </w:p>
    <w:p w14:paraId="6AC1D376" w14:textId="77777777" w:rsidR="00680242" w:rsidRDefault="00B40361">
      <w:pPr>
        <w:jc w:val="both"/>
      </w:pPr>
      <w:r>
        <w:rPr>
          <w:rFonts w:ascii="仿宋_GB2312" w:hAnsi="仿宋_GB2312"/>
        </w:rPr>
        <w:t xml:space="preserve">3.2 </w:t>
      </w:r>
      <w:r>
        <w:rPr>
          <w:rFonts w:ascii="仿宋_GB2312" w:hAnsi="仿宋_GB2312"/>
        </w:rPr>
        <w:t>技术可行性</w:t>
      </w:r>
    </w:p>
    <w:p w14:paraId="28DA5625" w14:textId="77777777" w:rsidR="00680242" w:rsidRDefault="00B40361">
      <w:pPr>
        <w:jc w:val="both"/>
      </w:pPr>
      <w:r>
        <w:rPr>
          <w:rFonts w:ascii="仿宋_GB2312" w:hAnsi="仿宋_GB2312"/>
        </w:rPr>
        <w:t xml:space="preserve">3.3 </w:t>
      </w:r>
      <w:r>
        <w:rPr>
          <w:rFonts w:ascii="仿宋_GB2312" w:hAnsi="仿宋_GB2312"/>
        </w:rPr>
        <w:t>经济可行性</w:t>
      </w:r>
    </w:p>
    <w:p w14:paraId="5B27A215" w14:textId="77777777" w:rsidR="00680242" w:rsidRDefault="00B40361">
      <w:pPr>
        <w:jc w:val="both"/>
      </w:pPr>
      <w:r>
        <w:rPr>
          <w:rFonts w:ascii="仿宋_GB2312" w:hAnsi="仿宋_GB2312"/>
        </w:rPr>
        <w:t xml:space="preserve">3.4 </w:t>
      </w:r>
      <w:r>
        <w:rPr>
          <w:rFonts w:ascii="仿宋_GB2312" w:hAnsi="仿宋_GB2312"/>
        </w:rPr>
        <w:t>运营可行性</w:t>
      </w:r>
    </w:p>
    <w:p w14:paraId="1A81D4E6" w14:textId="77777777" w:rsidR="00680242" w:rsidRDefault="00B40361">
      <w:pPr>
        <w:jc w:val="both"/>
      </w:pPr>
      <w:r>
        <w:rPr>
          <w:rFonts w:ascii="仿宋_GB2312" w:hAnsi="仿宋_GB2312"/>
        </w:rPr>
        <w:t>第四章</w:t>
      </w:r>
      <w:r>
        <w:rPr>
          <w:rFonts w:ascii="仿宋_GB2312" w:hAnsi="仿宋_GB2312"/>
        </w:rPr>
        <w:t xml:space="preserve"> </w:t>
      </w:r>
      <w:r>
        <w:rPr>
          <w:rFonts w:ascii="仿宋_GB2312" w:hAnsi="仿宋_GB2312"/>
        </w:rPr>
        <w:t>市场优势</w:t>
      </w:r>
    </w:p>
    <w:p w14:paraId="01D14A29" w14:textId="77777777" w:rsidR="00680242" w:rsidRDefault="00B40361">
      <w:pPr>
        <w:jc w:val="both"/>
      </w:pPr>
      <w:r>
        <w:rPr>
          <w:rFonts w:ascii="仿宋_GB2312" w:hAnsi="仿宋_GB2312"/>
        </w:rPr>
        <w:t xml:space="preserve">4.1 </w:t>
      </w:r>
      <w:r>
        <w:rPr>
          <w:rFonts w:ascii="仿宋_GB2312" w:hAnsi="仿宋_GB2312"/>
        </w:rPr>
        <w:t>检测市场分析</w:t>
      </w:r>
    </w:p>
    <w:p w14:paraId="5516A8C3" w14:textId="77777777" w:rsidR="00680242" w:rsidRDefault="00B40361">
      <w:pPr>
        <w:jc w:val="both"/>
      </w:pPr>
      <w:r>
        <w:rPr>
          <w:rFonts w:ascii="仿宋_GB2312" w:hAnsi="仿宋_GB2312"/>
        </w:rPr>
        <w:t xml:space="preserve">4.2 </w:t>
      </w:r>
      <w:r>
        <w:rPr>
          <w:rFonts w:ascii="仿宋_GB2312" w:hAnsi="仿宋_GB2312"/>
        </w:rPr>
        <w:t>行业痛点与需求结构</w:t>
      </w:r>
    </w:p>
    <w:p w14:paraId="61551E93" w14:textId="77777777" w:rsidR="00680242" w:rsidRDefault="00B40361">
      <w:pPr>
        <w:jc w:val="both"/>
      </w:pPr>
      <w:r>
        <w:rPr>
          <w:rFonts w:ascii="仿宋_GB2312" w:hAnsi="仿宋_GB2312"/>
        </w:rPr>
        <w:t xml:space="preserve">4.3 </w:t>
      </w:r>
      <w:r>
        <w:rPr>
          <w:rFonts w:ascii="仿宋_GB2312" w:hAnsi="仿宋_GB2312"/>
        </w:rPr>
        <w:t>用户分析</w:t>
      </w:r>
    </w:p>
    <w:p w14:paraId="1982E72A" w14:textId="77777777" w:rsidR="00680242" w:rsidRDefault="00B40361">
      <w:pPr>
        <w:jc w:val="both"/>
      </w:pPr>
      <w:r>
        <w:rPr>
          <w:rFonts w:ascii="仿宋_GB2312" w:hAnsi="仿宋_GB2312"/>
        </w:rPr>
        <w:t xml:space="preserve">4.4 </w:t>
      </w:r>
      <w:r>
        <w:rPr>
          <w:rFonts w:ascii="仿宋_GB2312" w:hAnsi="仿宋_GB2312"/>
        </w:rPr>
        <w:t>竞争分析</w:t>
      </w:r>
    </w:p>
    <w:p w14:paraId="4DEAF01A" w14:textId="77777777" w:rsidR="00680242" w:rsidRDefault="00B40361">
      <w:pPr>
        <w:jc w:val="both"/>
      </w:pPr>
      <w:r>
        <w:rPr>
          <w:rFonts w:ascii="仿宋_GB2312" w:hAnsi="仿宋_GB2312"/>
        </w:rPr>
        <w:t>第五章</w:t>
      </w:r>
      <w:r>
        <w:rPr>
          <w:rFonts w:ascii="仿宋_GB2312" w:hAnsi="仿宋_GB2312"/>
        </w:rPr>
        <w:t xml:space="preserve"> </w:t>
      </w:r>
      <w:r>
        <w:rPr>
          <w:rFonts w:ascii="仿宋_GB2312" w:hAnsi="仿宋_GB2312"/>
        </w:rPr>
        <w:t>技术策略</w:t>
      </w:r>
    </w:p>
    <w:p w14:paraId="4909F7FA" w14:textId="77777777" w:rsidR="00680242" w:rsidRDefault="00B40361">
      <w:pPr>
        <w:jc w:val="both"/>
      </w:pPr>
      <w:r>
        <w:rPr>
          <w:rFonts w:ascii="仿宋_GB2312" w:hAnsi="仿宋_GB2312"/>
        </w:rPr>
        <w:t xml:space="preserve">5.1 </w:t>
      </w:r>
      <w:r>
        <w:rPr>
          <w:rFonts w:ascii="仿宋_GB2312" w:hAnsi="仿宋_GB2312"/>
        </w:rPr>
        <w:t>总体技术路线</w:t>
      </w:r>
    </w:p>
    <w:p w14:paraId="1E7B0631" w14:textId="77777777" w:rsidR="00680242" w:rsidRDefault="00B40361">
      <w:pPr>
        <w:jc w:val="both"/>
      </w:pPr>
      <w:r>
        <w:rPr>
          <w:rFonts w:ascii="仿宋_GB2312" w:hAnsi="仿宋_GB2312"/>
        </w:rPr>
        <w:t xml:space="preserve">5.2 </w:t>
      </w:r>
      <w:r>
        <w:rPr>
          <w:rFonts w:ascii="仿宋_GB2312" w:hAnsi="仿宋_GB2312"/>
        </w:rPr>
        <w:t>实验设计与标准化流程</w:t>
      </w:r>
    </w:p>
    <w:p w14:paraId="70A94D81" w14:textId="77777777" w:rsidR="00680242" w:rsidRDefault="00B40361">
      <w:pPr>
        <w:jc w:val="both"/>
      </w:pPr>
      <w:r>
        <w:rPr>
          <w:rFonts w:ascii="仿宋_GB2312" w:hAnsi="仿宋_GB2312"/>
        </w:rPr>
        <w:t xml:space="preserve">5.3 </w:t>
      </w:r>
      <w:r>
        <w:rPr>
          <w:rFonts w:ascii="仿宋_GB2312" w:hAnsi="仿宋_GB2312"/>
        </w:rPr>
        <w:t>核心算法与模型策略</w:t>
      </w:r>
    </w:p>
    <w:p w14:paraId="2A0F478C" w14:textId="77777777" w:rsidR="00680242" w:rsidRDefault="00B40361">
      <w:pPr>
        <w:jc w:val="both"/>
      </w:pPr>
      <w:r>
        <w:rPr>
          <w:rFonts w:ascii="仿宋_GB2312" w:hAnsi="仿宋_GB2312"/>
        </w:rPr>
        <w:t xml:space="preserve">5.4 </w:t>
      </w:r>
      <w:r>
        <w:rPr>
          <w:rFonts w:ascii="仿宋_GB2312" w:hAnsi="仿宋_GB2312"/>
        </w:rPr>
        <w:t>光谱机理与特征指纹</w:t>
      </w:r>
    </w:p>
    <w:p w14:paraId="27389F1A" w14:textId="77777777" w:rsidR="00680242" w:rsidRDefault="00B40361">
      <w:pPr>
        <w:jc w:val="both"/>
      </w:pPr>
      <w:r>
        <w:rPr>
          <w:rFonts w:ascii="仿宋_GB2312" w:hAnsi="仿宋_GB2312"/>
        </w:rPr>
        <w:t>第六章</w:t>
      </w:r>
      <w:r>
        <w:rPr>
          <w:rFonts w:ascii="仿宋_GB2312" w:hAnsi="仿宋_GB2312"/>
        </w:rPr>
        <w:t xml:space="preserve"> </w:t>
      </w:r>
      <w:r>
        <w:rPr>
          <w:rFonts w:ascii="仿宋_GB2312" w:hAnsi="仿宋_GB2312"/>
        </w:rPr>
        <w:t>产品策略</w:t>
      </w:r>
    </w:p>
    <w:p w14:paraId="423C68BC" w14:textId="77777777" w:rsidR="00680242" w:rsidRDefault="00B40361">
      <w:pPr>
        <w:jc w:val="both"/>
      </w:pPr>
      <w:r>
        <w:rPr>
          <w:rFonts w:ascii="仿宋_GB2312" w:hAnsi="仿宋_GB2312"/>
        </w:rPr>
        <w:t xml:space="preserve">6.1 </w:t>
      </w:r>
      <w:r>
        <w:rPr>
          <w:rFonts w:ascii="仿宋_GB2312" w:hAnsi="仿宋_GB2312"/>
        </w:rPr>
        <w:t>产品定位与交付形态</w:t>
      </w:r>
    </w:p>
    <w:p w14:paraId="228AC84B" w14:textId="77777777" w:rsidR="00680242" w:rsidRDefault="00B40361">
      <w:pPr>
        <w:jc w:val="both"/>
      </w:pPr>
      <w:r>
        <w:rPr>
          <w:rFonts w:ascii="仿宋_GB2312" w:hAnsi="仿宋_GB2312"/>
        </w:rPr>
        <w:lastRenderedPageBreak/>
        <w:t xml:space="preserve">6.2 </w:t>
      </w:r>
      <w:r>
        <w:rPr>
          <w:rFonts w:ascii="仿宋_GB2312" w:hAnsi="仿宋_GB2312"/>
        </w:rPr>
        <w:t>产品分层与收费思路</w:t>
      </w:r>
    </w:p>
    <w:p w14:paraId="4132B079" w14:textId="77777777" w:rsidR="00680242" w:rsidRDefault="00B40361">
      <w:pPr>
        <w:jc w:val="both"/>
      </w:pPr>
      <w:r>
        <w:rPr>
          <w:rFonts w:ascii="仿宋_GB2312" w:hAnsi="仿宋_GB2312"/>
        </w:rPr>
        <w:t xml:space="preserve">6.3 </w:t>
      </w:r>
      <w:r>
        <w:rPr>
          <w:rFonts w:ascii="仿宋_GB2312" w:hAnsi="仿宋_GB2312"/>
        </w:rPr>
        <w:t>实施与交付策略</w:t>
      </w:r>
    </w:p>
    <w:p w14:paraId="50A8F9E2" w14:textId="77777777" w:rsidR="00680242" w:rsidRDefault="00B40361">
      <w:pPr>
        <w:jc w:val="both"/>
      </w:pPr>
      <w:r>
        <w:rPr>
          <w:rFonts w:ascii="仿宋_GB2312" w:hAnsi="仿宋_GB2312"/>
        </w:rPr>
        <w:t xml:space="preserve">6.4 </w:t>
      </w:r>
      <w:r>
        <w:rPr>
          <w:rFonts w:ascii="仿宋_GB2312" w:hAnsi="仿宋_GB2312"/>
        </w:rPr>
        <w:t>推广与销售模式</w:t>
      </w:r>
    </w:p>
    <w:p w14:paraId="7D872A77" w14:textId="77777777" w:rsidR="00680242" w:rsidRDefault="00B40361">
      <w:pPr>
        <w:jc w:val="both"/>
      </w:pPr>
      <w:r>
        <w:rPr>
          <w:rFonts w:ascii="仿宋_GB2312" w:hAnsi="仿宋_GB2312"/>
        </w:rPr>
        <w:t>第七章</w:t>
      </w:r>
      <w:r>
        <w:rPr>
          <w:rFonts w:ascii="仿宋_GB2312" w:hAnsi="仿宋_GB2312"/>
        </w:rPr>
        <w:t xml:space="preserve"> </w:t>
      </w:r>
      <w:r>
        <w:rPr>
          <w:rFonts w:ascii="仿宋_GB2312" w:hAnsi="仿宋_GB2312"/>
        </w:rPr>
        <w:t>运营策略</w:t>
      </w:r>
    </w:p>
    <w:p w14:paraId="45750F7E" w14:textId="77777777" w:rsidR="00680242" w:rsidRDefault="00B40361">
      <w:pPr>
        <w:jc w:val="both"/>
      </w:pPr>
      <w:r>
        <w:rPr>
          <w:rFonts w:ascii="仿宋_GB2312" w:hAnsi="仿宋_GB2312"/>
        </w:rPr>
        <w:t xml:space="preserve">7.1 </w:t>
      </w:r>
      <w:r>
        <w:rPr>
          <w:rFonts w:ascii="仿宋_GB2312" w:hAnsi="仿宋_GB2312"/>
        </w:rPr>
        <w:t>运营定位与目标</w:t>
      </w:r>
    </w:p>
    <w:p w14:paraId="36E01CC8" w14:textId="77777777" w:rsidR="00680242" w:rsidRDefault="00B40361">
      <w:pPr>
        <w:jc w:val="both"/>
      </w:pPr>
      <w:r>
        <w:rPr>
          <w:rFonts w:ascii="仿宋_GB2312" w:hAnsi="仿宋_GB2312"/>
        </w:rPr>
        <w:t xml:space="preserve">7.2 </w:t>
      </w:r>
      <w:r>
        <w:rPr>
          <w:rFonts w:ascii="仿宋_GB2312" w:hAnsi="仿宋_GB2312"/>
        </w:rPr>
        <w:t>阶段运营安排</w:t>
      </w:r>
    </w:p>
    <w:p w14:paraId="4EBCED7C" w14:textId="77777777" w:rsidR="00680242" w:rsidRDefault="00B40361">
      <w:pPr>
        <w:jc w:val="both"/>
      </w:pPr>
      <w:r>
        <w:rPr>
          <w:rFonts w:ascii="仿宋_GB2312" w:hAnsi="仿宋_GB2312"/>
        </w:rPr>
        <w:t xml:space="preserve">7.3 </w:t>
      </w:r>
      <w:r>
        <w:rPr>
          <w:rFonts w:ascii="仿宋_GB2312" w:hAnsi="仿宋_GB2312"/>
        </w:rPr>
        <w:t>核心运营模块</w:t>
      </w:r>
    </w:p>
    <w:p w14:paraId="40EF9D2A" w14:textId="77777777" w:rsidR="00680242" w:rsidRDefault="00B40361">
      <w:pPr>
        <w:jc w:val="both"/>
      </w:pPr>
      <w:r>
        <w:rPr>
          <w:rFonts w:ascii="仿宋_GB2312" w:hAnsi="仿宋_GB2312"/>
        </w:rPr>
        <w:t>第八章</w:t>
      </w:r>
      <w:r>
        <w:rPr>
          <w:rFonts w:ascii="仿宋_GB2312" w:hAnsi="仿宋_GB2312"/>
        </w:rPr>
        <w:t xml:space="preserve"> </w:t>
      </w:r>
      <w:r>
        <w:rPr>
          <w:rFonts w:ascii="仿宋_GB2312" w:hAnsi="仿宋_GB2312"/>
        </w:rPr>
        <w:t>团队介绍</w:t>
      </w:r>
    </w:p>
    <w:p w14:paraId="436D3C69" w14:textId="77777777" w:rsidR="00680242" w:rsidRDefault="00B40361">
      <w:pPr>
        <w:jc w:val="both"/>
      </w:pPr>
      <w:r>
        <w:rPr>
          <w:rFonts w:ascii="仿宋_GB2312" w:hAnsi="仿宋_GB2312"/>
        </w:rPr>
        <w:t xml:space="preserve">8.1 </w:t>
      </w:r>
      <w:r>
        <w:rPr>
          <w:rFonts w:ascii="仿宋_GB2312" w:hAnsi="仿宋_GB2312"/>
        </w:rPr>
        <w:t>团队组织架构</w:t>
      </w:r>
    </w:p>
    <w:p w14:paraId="50B34E0D" w14:textId="77777777" w:rsidR="00680242" w:rsidRDefault="00B40361">
      <w:pPr>
        <w:jc w:val="both"/>
      </w:pPr>
      <w:r>
        <w:rPr>
          <w:rFonts w:ascii="仿宋_GB2312" w:hAnsi="仿宋_GB2312"/>
        </w:rPr>
        <w:t xml:space="preserve">8.2 </w:t>
      </w:r>
      <w:r>
        <w:rPr>
          <w:rFonts w:ascii="仿宋_GB2312" w:hAnsi="仿宋_GB2312"/>
        </w:rPr>
        <w:t>专家顾问团队</w:t>
      </w:r>
    </w:p>
    <w:p w14:paraId="09C6349F" w14:textId="77777777" w:rsidR="00680242" w:rsidRDefault="00B40361">
      <w:pPr>
        <w:jc w:val="both"/>
      </w:pPr>
      <w:r>
        <w:rPr>
          <w:rFonts w:ascii="仿宋_GB2312" w:hAnsi="仿宋_GB2312"/>
        </w:rPr>
        <w:t xml:space="preserve">8.3 </w:t>
      </w:r>
      <w:r>
        <w:rPr>
          <w:rFonts w:ascii="仿宋_GB2312" w:hAnsi="仿宋_GB2312"/>
        </w:rPr>
        <w:t>核心团队成员介绍</w:t>
      </w:r>
    </w:p>
    <w:p w14:paraId="13DD80D2" w14:textId="77777777" w:rsidR="00680242" w:rsidRDefault="00B40361">
      <w:pPr>
        <w:jc w:val="both"/>
      </w:pPr>
      <w:r>
        <w:rPr>
          <w:rFonts w:ascii="仿宋_GB2312" w:hAnsi="仿宋_GB2312"/>
        </w:rPr>
        <w:t xml:space="preserve">8.4 </w:t>
      </w:r>
      <w:r>
        <w:rPr>
          <w:rFonts w:ascii="仿宋_GB2312" w:hAnsi="仿宋_GB2312"/>
        </w:rPr>
        <w:t>团队核心优势</w:t>
      </w:r>
    </w:p>
    <w:p w14:paraId="33A3AF96" w14:textId="77777777" w:rsidR="00680242" w:rsidRDefault="00B40361">
      <w:pPr>
        <w:jc w:val="both"/>
      </w:pPr>
      <w:r>
        <w:rPr>
          <w:rFonts w:ascii="仿宋_GB2312" w:hAnsi="仿宋_GB2312"/>
        </w:rPr>
        <w:t>第九章</w:t>
      </w:r>
      <w:r>
        <w:rPr>
          <w:rFonts w:ascii="仿宋_GB2312" w:hAnsi="仿宋_GB2312"/>
        </w:rPr>
        <w:t xml:space="preserve"> </w:t>
      </w:r>
      <w:r>
        <w:rPr>
          <w:rFonts w:ascii="仿宋_GB2312" w:hAnsi="仿宋_GB2312"/>
        </w:rPr>
        <w:t>财务预测</w:t>
      </w:r>
    </w:p>
    <w:p w14:paraId="2993E948" w14:textId="77777777" w:rsidR="00680242" w:rsidRDefault="00B40361">
      <w:pPr>
        <w:jc w:val="both"/>
      </w:pPr>
      <w:r>
        <w:rPr>
          <w:rFonts w:ascii="仿宋_GB2312" w:hAnsi="仿宋_GB2312"/>
        </w:rPr>
        <w:t xml:space="preserve">9.1 </w:t>
      </w:r>
      <w:r>
        <w:rPr>
          <w:rFonts w:ascii="仿宋_GB2312" w:hAnsi="仿宋_GB2312"/>
        </w:rPr>
        <w:t>财务假设前提</w:t>
      </w:r>
    </w:p>
    <w:p w14:paraId="2A693631" w14:textId="77777777" w:rsidR="00680242" w:rsidRDefault="00B40361">
      <w:pPr>
        <w:jc w:val="both"/>
      </w:pPr>
      <w:r>
        <w:rPr>
          <w:rFonts w:ascii="仿宋_GB2312" w:hAnsi="仿宋_GB2312"/>
        </w:rPr>
        <w:t xml:space="preserve">9.2 </w:t>
      </w:r>
      <w:r>
        <w:rPr>
          <w:rFonts w:ascii="仿宋_GB2312" w:hAnsi="仿宋_GB2312"/>
        </w:rPr>
        <w:t>三情景核心假设对比</w:t>
      </w:r>
    </w:p>
    <w:p w14:paraId="2150B0C6" w14:textId="77777777" w:rsidR="00680242" w:rsidRDefault="00B40361">
      <w:pPr>
        <w:jc w:val="both"/>
      </w:pPr>
      <w:r>
        <w:rPr>
          <w:rFonts w:ascii="仿宋_GB2312" w:hAnsi="仿宋_GB2312"/>
        </w:rPr>
        <w:t xml:space="preserve">9.3 </w:t>
      </w:r>
      <w:r>
        <w:rPr>
          <w:rFonts w:ascii="仿宋_GB2312" w:hAnsi="仿宋_GB2312"/>
        </w:rPr>
        <w:t>五年损益预测</w:t>
      </w:r>
    </w:p>
    <w:p w14:paraId="2F9A4D89" w14:textId="77777777" w:rsidR="00680242" w:rsidRDefault="00B40361">
      <w:pPr>
        <w:jc w:val="both"/>
      </w:pPr>
      <w:r>
        <w:rPr>
          <w:rFonts w:ascii="仿宋_GB2312" w:hAnsi="仿宋_GB2312"/>
        </w:rPr>
        <w:t xml:space="preserve">9.4 </w:t>
      </w:r>
      <w:r>
        <w:rPr>
          <w:rFonts w:ascii="仿宋_GB2312" w:hAnsi="仿宋_GB2312"/>
        </w:rPr>
        <w:t>五年现金流量预测</w:t>
      </w:r>
    </w:p>
    <w:p w14:paraId="4D9D3DB0" w14:textId="77777777" w:rsidR="00680242" w:rsidRDefault="00B40361">
      <w:pPr>
        <w:jc w:val="both"/>
      </w:pPr>
      <w:r>
        <w:rPr>
          <w:rFonts w:ascii="仿宋_GB2312" w:hAnsi="仿宋_GB2312"/>
        </w:rPr>
        <w:t xml:space="preserve">9.5 </w:t>
      </w:r>
      <w:r>
        <w:rPr>
          <w:rFonts w:ascii="仿宋_GB2312" w:hAnsi="仿宋_GB2312"/>
        </w:rPr>
        <w:t>资产负债结构判断</w:t>
      </w:r>
    </w:p>
    <w:p w14:paraId="24545644" w14:textId="77777777" w:rsidR="00680242" w:rsidRDefault="00B40361">
      <w:pPr>
        <w:jc w:val="both"/>
      </w:pPr>
      <w:r>
        <w:rPr>
          <w:rFonts w:ascii="仿宋_GB2312" w:hAnsi="仿宋_GB2312"/>
        </w:rPr>
        <w:t xml:space="preserve">9.6 </w:t>
      </w:r>
      <w:r>
        <w:rPr>
          <w:rFonts w:ascii="仿宋_GB2312" w:hAnsi="仿宋_GB2312"/>
        </w:rPr>
        <w:t>三情景营收与盈利对比</w:t>
      </w:r>
    </w:p>
    <w:p w14:paraId="527E3390" w14:textId="77777777" w:rsidR="00680242" w:rsidRDefault="00B40361">
      <w:pPr>
        <w:jc w:val="both"/>
      </w:pPr>
      <w:r>
        <w:rPr>
          <w:rFonts w:ascii="仿宋_GB2312" w:hAnsi="仿宋_GB2312"/>
        </w:rPr>
        <w:t xml:space="preserve">9.7 </w:t>
      </w:r>
      <w:r>
        <w:rPr>
          <w:rFonts w:ascii="仿宋_GB2312" w:hAnsi="仿宋_GB2312"/>
        </w:rPr>
        <w:t>盈亏平衡分析</w:t>
      </w:r>
    </w:p>
    <w:p w14:paraId="4E8CF261" w14:textId="77777777" w:rsidR="00680242" w:rsidRDefault="00B40361">
      <w:pPr>
        <w:jc w:val="both"/>
      </w:pPr>
      <w:r>
        <w:rPr>
          <w:rFonts w:ascii="仿宋_GB2312" w:hAnsi="仿宋_GB2312"/>
        </w:rPr>
        <w:t xml:space="preserve">9.8 </w:t>
      </w:r>
      <w:r>
        <w:rPr>
          <w:rFonts w:ascii="仿宋_GB2312" w:hAnsi="仿宋_GB2312"/>
        </w:rPr>
        <w:t>敏感性分析</w:t>
      </w:r>
    </w:p>
    <w:p w14:paraId="103B4FA1" w14:textId="77777777" w:rsidR="00680242" w:rsidRDefault="00B40361">
      <w:pPr>
        <w:jc w:val="both"/>
      </w:pPr>
      <w:r>
        <w:rPr>
          <w:rFonts w:ascii="仿宋_GB2312" w:hAnsi="仿宋_GB2312"/>
        </w:rPr>
        <w:t xml:space="preserve">9.9 </w:t>
      </w:r>
      <w:r>
        <w:rPr>
          <w:rFonts w:ascii="仿宋_GB2312" w:hAnsi="仿宋_GB2312"/>
        </w:rPr>
        <w:t>关键财务比率趋势</w:t>
      </w:r>
    </w:p>
    <w:p w14:paraId="4E6A858A" w14:textId="77777777" w:rsidR="00680242" w:rsidRDefault="00B40361">
      <w:pPr>
        <w:jc w:val="both"/>
      </w:pPr>
      <w:r>
        <w:rPr>
          <w:rFonts w:ascii="仿宋_GB2312" w:hAnsi="仿宋_GB2312"/>
        </w:rPr>
        <w:t xml:space="preserve">9.10 </w:t>
      </w:r>
      <w:r>
        <w:rPr>
          <w:rFonts w:ascii="仿宋_GB2312" w:hAnsi="仿宋_GB2312"/>
        </w:rPr>
        <w:t>资本需求与融资规划</w:t>
      </w:r>
    </w:p>
    <w:p w14:paraId="6791E5DB" w14:textId="77777777" w:rsidR="00680242" w:rsidRDefault="00B40361">
      <w:pPr>
        <w:jc w:val="both"/>
      </w:pPr>
      <w:r>
        <w:rPr>
          <w:rFonts w:ascii="仿宋_GB2312" w:hAnsi="仿宋_GB2312"/>
        </w:rPr>
        <w:t>第十章</w:t>
      </w:r>
      <w:r>
        <w:rPr>
          <w:rFonts w:ascii="仿宋_GB2312" w:hAnsi="仿宋_GB2312"/>
        </w:rPr>
        <w:t xml:space="preserve"> </w:t>
      </w:r>
      <w:r>
        <w:rPr>
          <w:rFonts w:ascii="仿宋_GB2312" w:hAnsi="仿宋_GB2312"/>
        </w:rPr>
        <w:t>风险分析</w:t>
      </w:r>
    </w:p>
    <w:p w14:paraId="632C03E2" w14:textId="77777777" w:rsidR="00680242" w:rsidRDefault="00B40361">
      <w:pPr>
        <w:jc w:val="both"/>
      </w:pPr>
      <w:r>
        <w:rPr>
          <w:rFonts w:ascii="仿宋_GB2312" w:hAnsi="仿宋_GB2312"/>
        </w:rPr>
        <w:t xml:space="preserve">10.1 </w:t>
      </w:r>
      <w:r>
        <w:rPr>
          <w:rFonts w:ascii="仿宋_GB2312" w:hAnsi="仿宋_GB2312"/>
        </w:rPr>
        <w:t>分析假设条件声明</w:t>
      </w:r>
    </w:p>
    <w:p w14:paraId="2A9DE293" w14:textId="77777777" w:rsidR="00680242" w:rsidRDefault="00B40361">
      <w:pPr>
        <w:jc w:val="both"/>
      </w:pPr>
      <w:r>
        <w:rPr>
          <w:rFonts w:ascii="仿宋_GB2312" w:hAnsi="仿宋_GB2312"/>
        </w:rPr>
        <w:t xml:space="preserve">10.2 </w:t>
      </w:r>
      <w:r>
        <w:rPr>
          <w:rFonts w:ascii="仿宋_GB2312" w:hAnsi="仿宋_GB2312"/>
        </w:rPr>
        <w:t>财务风险维度分析</w:t>
      </w:r>
    </w:p>
    <w:p w14:paraId="0609E358" w14:textId="77777777" w:rsidR="00680242" w:rsidRDefault="00B40361">
      <w:pPr>
        <w:jc w:val="both"/>
      </w:pPr>
      <w:r>
        <w:rPr>
          <w:rFonts w:ascii="仿宋_GB2312" w:hAnsi="仿宋_GB2312"/>
        </w:rPr>
        <w:t xml:space="preserve">10.3 </w:t>
      </w:r>
      <w:r>
        <w:rPr>
          <w:rFonts w:ascii="仿宋_GB2312" w:hAnsi="仿宋_GB2312"/>
        </w:rPr>
        <w:t>市场风险维度分析</w:t>
      </w:r>
    </w:p>
    <w:p w14:paraId="44635473" w14:textId="77777777" w:rsidR="00680242" w:rsidRDefault="00B40361">
      <w:pPr>
        <w:jc w:val="both"/>
      </w:pPr>
      <w:r>
        <w:rPr>
          <w:rFonts w:ascii="仿宋_GB2312" w:hAnsi="仿宋_GB2312"/>
        </w:rPr>
        <w:lastRenderedPageBreak/>
        <w:t xml:space="preserve">10.4 </w:t>
      </w:r>
      <w:r>
        <w:rPr>
          <w:rFonts w:ascii="仿宋_GB2312" w:hAnsi="仿宋_GB2312"/>
        </w:rPr>
        <w:t>运营风险维度分析</w:t>
      </w:r>
    </w:p>
    <w:p w14:paraId="31ABA36F" w14:textId="77777777" w:rsidR="00680242" w:rsidRDefault="00B40361">
      <w:pPr>
        <w:jc w:val="both"/>
      </w:pPr>
      <w:r>
        <w:rPr>
          <w:rFonts w:ascii="仿宋_GB2312" w:hAnsi="仿宋_GB2312"/>
        </w:rPr>
        <w:t xml:space="preserve">10.5 </w:t>
      </w:r>
      <w:r>
        <w:rPr>
          <w:rFonts w:ascii="仿宋_GB2312" w:hAnsi="仿宋_GB2312"/>
        </w:rPr>
        <w:t>技术与合规风险维度分析</w:t>
      </w:r>
    </w:p>
    <w:p w14:paraId="20A9A321" w14:textId="77777777" w:rsidR="00680242" w:rsidRDefault="00B40361">
      <w:pPr>
        <w:jc w:val="both"/>
      </w:pPr>
      <w:r>
        <w:rPr>
          <w:rFonts w:ascii="仿宋_GB2312" w:hAnsi="仿宋_GB2312"/>
        </w:rPr>
        <w:t xml:space="preserve">10.6 </w:t>
      </w:r>
      <w:r>
        <w:rPr>
          <w:rFonts w:ascii="仿宋_GB2312" w:hAnsi="仿宋_GB2312"/>
        </w:rPr>
        <w:t>风险量化评估矩阵</w:t>
      </w:r>
    </w:p>
    <w:p w14:paraId="26E3FF9B" w14:textId="77777777" w:rsidR="00680242" w:rsidRDefault="00B40361">
      <w:pPr>
        <w:jc w:val="both"/>
      </w:pPr>
      <w:r>
        <w:rPr>
          <w:rFonts w:ascii="仿宋_GB2312" w:hAnsi="仿宋_GB2312"/>
        </w:rPr>
        <w:t xml:space="preserve">10.7 </w:t>
      </w:r>
      <w:r>
        <w:rPr>
          <w:rFonts w:ascii="仿宋_GB2312" w:hAnsi="仿宋_GB2312"/>
        </w:rPr>
        <w:t>三情景风险演变路径</w:t>
      </w:r>
    </w:p>
    <w:p w14:paraId="13D1B640" w14:textId="77777777" w:rsidR="00680242" w:rsidRDefault="00B40361">
      <w:pPr>
        <w:jc w:val="both"/>
      </w:pPr>
      <w:r>
        <w:rPr>
          <w:rFonts w:ascii="仿宋_GB2312" w:hAnsi="仿宋_GB2312"/>
        </w:rPr>
        <w:t xml:space="preserve">10.8 </w:t>
      </w:r>
      <w:r>
        <w:rPr>
          <w:rFonts w:ascii="仿宋_GB2312" w:hAnsi="仿宋_GB2312"/>
        </w:rPr>
        <w:t>风险应对策略矩阵</w:t>
      </w:r>
    </w:p>
    <w:p w14:paraId="6F498007" w14:textId="77777777" w:rsidR="00680242" w:rsidRDefault="00B40361">
      <w:pPr>
        <w:jc w:val="both"/>
      </w:pPr>
      <w:r>
        <w:rPr>
          <w:rFonts w:ascii="仿宋_GB2312" w:hAnsi="仿宋_GB2312"/>
        </w:rPr>
        <w:t xml:space="preserve">10.9 </w:t>
      </w:r>
      <w:r>
        <w:rPr>
          <w:rFonts w:ascii="仿宋_GB2312" w:hAnsi="仿宋_GB2312"/>
        </w:rPr>
        <w:t>关键风险指标监控建议</w:t>
      </w:r>
    </w:p>
    <w:p w14:paraId="71C17105" w14:textId="77777777" w:rsidR="00680242" w:rsidRDefault="00680242">
      <w:pPr>
        <w:sectPr w:rsidR="00680242">
          <w:pgSz w:w="11906" w:h="16838"/>
          <w:pgMar w:top="1417" w:right="1417" w:bottom="1417" w:left="1417" w:header="850" w:footer="992" w:gutter="0"/>
          <w:cols w:space="720"/>
          <w:docGrid w:linePitch="360"/>
        </w:sectPr>
      </w:pPr>
    </w:p>
    <w:p w14:paraId="2519BCFC" w14:textId="77777777" w:rsidR="00680242" w:rsidRDefault="00B40361">
      <w:pPr>
        <w:ind w:firstLine="0"/>
        <w:jc w:val="both"/>
      </w:pPr>
      <w:r>
        <w:rPr>
          <w:rFonts w:ascii="仿宋_GB2312" w:hAnsi="仿宋_GB2312"/>
          <w:b/>
        </w:rPr>
        <w:lastRenderedPageBreak/>
        <w:t>摘要</w:t>
      </w:r>
      <w:r>
        <w:rPr>
          <w:rFonts w:ascii="仿宋_GB2312" w:hAnsi="仿宋_GB2312"/>
          <w:b/>
        </w:rPr>
        <w:t xml:space="preserve"> </w:t>
      </w:r>
      <w:r>
        <w:rPr>
          <w:rFonts w:ascii="仿宋_GB2312" w:hAnsi="仿宋_GB2312"/>
        </w:rPr>
        <w:t>随着区域品牌果品经营由规模竞争逐步转向品质竞争、品牌竞争和标准竞争，橙类产品在基地分级、渠道验货、品牌展示和区域管理中长期存在三类突出问题：其一，人工分级受经验差异影响明显，同批果品在不同主体之间容易出现等级判断不一致的情况；其二，产地信息缺乏稳定、可复核的数字化依据，品牌果在对外销售和渠道合作中往往难以形成有说服力的溯源证明；其三，批次检测结果分散在纸质记录、临时表格和口头说明之中，难以持续沉淀，无法转化为后续复检、复盘、品牌说明和区域样本管理的长期资产。在品牌果、电商果、礼盒果和渠道采购场景快速发展的背景下，上述问题已直接影响果品议价能力、渠道信任程度和品牌经营效率。针对这一现实需求，本项目研发</w:t>
      </w:r>
      <w:r>
        <w:rPr>
          <w:rFonts w:ascii="仿宋_GB2312" w:hAnsi="仿宋_GB2312"/>
        </w:rPr>
        <w:t>“</w:t>
      </w:r>
      <w:r>
        <w:rPr>
          <w:rFonts w:ascii="仿宋_GB2312" w:hAnsi="仿宋_GB2312"/>
        </w:rPr>
        <w:t>橙源智鉴</w:t>
      </w:r>
      <w:r>
        <w:rPr>
          <w:rFonts w:ascii="仿宋_GB2312" w:hAnsi="仿宋_GB2312"/>
        </w:rPr>
        <w:t>”</w:t>
      </w:r>
      <w:r>
        <w:rPr>
          <w:rFonts w:ascii="仿宋_GB2312" w:hAnsi="仿宋_GB2312"/>
        </w:rPr>
        <w:t>智能分析平台，围绕橙类产品构建集数据文件上传、等级识别、产地溯源、品质分析和报告输出于一体的数字化解决方案。项目以高光谱成像、多任务建模和双端系统开发为核心技术支撑，面向样本文件接入、批次智能分析、异常样本提示、历史数据沉淀和标准化报告生成等关键环节进行整体设计，推动橙类品质管理由经验判断转向数据判读、由单次检测转向持续留档、由结果展示转向业务应用。当前项目已完成网站端与小程序端开发，支持</w:t>
      </w:r>
      <w:r>
        <w:rPr>
          <w:rFonts w:ascii="仿宋_GB2312" w:hAnsi="仿宋_GB2312"/>
        </w:rPr>
        <w:t xml:space="preserve"> HDR</w:t>
      </w:r>
      <w:r>
        <w:rPr>
          <w:rFonts w:ascii="仿宋_GB2312" w:hAnsi="仿宋_GB2312"/>
        </w:rPr>
        <w:t>、</w:t>
      </w:r>
      <w:r>
        <w:rPr>
          <w:rFonts w:ascii="仿宋_GB2312" w:hAnsi="仿宋_GB2312"/>
        </w:rPr>
        <w:t>R</w:t>
      </w:r>
      <w:r>
        <w:rPr>
          <w:rFonts w:ascii="仿宋_GB2312" w:hAnsi="仿宋_GB2312"/>
        </w:rPr>
        <w:t>AW</w:t>
      </w:r>
      <w:r>
        <w:rPr>
          <w:rFonts w:ascii="仿宋_GB2312" w:hAnsi="仿宋_GB2312"/>
        </w:rPr>
        <w:t>、</w:t>
      </w:r>
      <w:r>
        <w:rPr>
          <w:rFonts w:ascii="仿宋_GB2312" w:hAnsi="仿宋_GB2312"/>
        </w:rPr>
        <w:t xml:space="preserve">CSV </w:t>
      </w:r>
      <w:r>
        <w:rPr>
          <w:rFonts w:ascii="仿宋_GB2312" w:hAnsi="仿宋_GB2312"/>
        </w:rPr>
        <w:t>等文件接入，其中网站端可实现批量分析、模型解释、历史管理和报告导出，小程序端可实现移动上传、采样登记、结果查询和历史回看，形成</w:t>
      </w:r>
      <w:r>
        <w:rPr>
          <w:rFonts w:ascii="仿宋_GB2312" w:hAnsi="仿宋_GB2312"/>
        </w:rPr>
        <w:t>“</w:t>
      </w:r>
      <w:r>
        <w:rPr>
          <w:rFonts w:ascii="仿宋_GB2312" w:hAnsi="仿宋_GB2312"/>
        </w:rPr>
        <w:t>采样录入</w:t>
      </w:r>
      <w:r>
        <w:rPr>
          <w:rFonts w:ascii="仿宋_GB2312" w:hAnsi="仿宋_GB2312"/>
        </w:rPr>
        <w:t>—</w:t>
      </w:r>
      <w:r>
        <w:rPr>
          <w:rFonts w:ascii="仿宋_GB2312" w:hAnsi="仿宋_GB2312"/>
        </w:rPr>
        <w:t>智能分析</w:t>
      </w:r>
      <w:r>
        <w:rPr>
          <w:rFonts w:ascii="仿宋_GB2312" w:hAnsi="仿宋_GB2312"/>
        </w:rPr>
        <w:t>—</w:t>
      </w:r>
      <w:r>
        <w:rPr>
          <w:rFonts w:ascii="仿宋_GB2312" w:hAnsi="仿宋_GB2312"/>
        </w:rPr>
        <w:t>结果判读</w:t>
      </w:r>
      <w:r>
        <w:rPr>
          <w:rFonts w:ascii="仿宋_GB2312" w:hAnsi="仿宋_GB2312"/>
        </w:rPr>
        <w:t>—</w:t>
      </w:r>
      <w:r>
        <w:rPr>
          <w:rFonts w:ascii="仿宋_GB2312" w:hAnsi="仿宋_GB2312"/>
        </w:rPr>
        <w:t>报告生成</w:t>
      </w:r>
      <w:r>
        <w:rPr>
          <w:rFonts w:ascii="仿宋_GB2312" w:hAnsi="仿宋_GB2312"/>
        </w:rPr>
        <w:t>—</w:t>
      </w:r>
      <w:r>
        <w:rPr>
          <w:rFonts w:ascii="仿宋_GB2312" w:hAnsi="仿宋_GB2312"/>
        </w:rPr>
        <w:t>历史留档</w:t>
      </w:r>
      <w:r>
        <w:rPr>
          <w:rFonts w:ascii="仿宋_GB2312" w:hAnsi="仿宋_GB2312"/>
        </w:rPr>
        <w:t>”</w:t>
      </w:r>
      <w:r>
        <w:rPr>
          <w:rFonts w:ascii="仿宋_GB2312" w:hAnsi="仿宋_GB2312"/>
        </w:rPr>
        <w:t>的完整业务链路。系统当前单次分析流程约</w:t>
      </w:r>
      <w:r>
        <w:rPr>
          <w:rFonts w:ascii="仿宋_GB2312" w:hAnsi="仿宋_GB2312"/>
        </w:rPr>
        <w:t xml:space="preserve"> 1.2 </w:t>
      </w:r>
      <w:r>
        <w:rPr>
          <w:rFonts w:ascii="仿宋_GB2312" w:hAnsi="仿宋_GB2312"/>
        </w:rPr>
        <w:t>秒，演示场景中产地识别置信度达</w:t>
      </w:r>
      <w:r>
        <w:rPr>
          <w:rFonts w:ascii="仿宋_GB2312" w:hAnsi="仿宋_GB2312"/>
        </w:rPr>
        <w:t xml:space="preserve"> 98.5%</w:t>
      </w:r>
      <w:r>
        <w:rPr>
          <w:rFonts w:ascii="仿宋_GB2312" w:hAnsi="仿宋_GB2312"/>
        </w:rPr>
        <w:t>，</w:t>
      </w:r>
      <w:r>
        <w:rPr>
          <w:rFonts w:ascii="仿宋_GB2312" w:hAnsi="仿宋_GB2312"/>
        </w:rPr>
        <w:t xml:space="preserve">SSC </w:t>
      </w:r>
      <w:r>
        <w:rPr>
          <w:rFonts w:ascii="仿宋_GB2312" w:hAnsi="仿宋_GB2312"/>
        </w:rPr>
        <w:t>预测误差控制在</w:t>
      </w:r>
      <w:r>
        <w:rPr>
          <w:rFonts w:ascii="仿宋_GB2312" w:hAnsi="仿宋_GB2312"/>
        </w:rPr>
        <w:t xml:space="preserve"> ±0.3%</w:t>
      </w:r>
      <w:r>
        <w:rPr>
          <w:rFonts w:ascii="仿宋_GB2312" w:hAnsi="仿宋_GB2312"/>
        </w:rPr>
        <w:t>，并已沉淀</w:t>
      </w:r>
      <w:r>
        <w:rPr>
          <w:rFonts w:ascii="仿宋_GB2312" w:hAnsi="仿宋_GB2312"/>
        </w:rPr>
        <w:t xml:space="preserve"> 10 </w:t>
      </w:r>
      <w:r>
        <w:rPr>
          <w:rFonts w:ascii="仿宋_GB2312" w:hAnsi="仿宋_GB2312"/>
        </w:rPr>
        <w:t>组化验样本、</w:t>
      </w:r>
      <w:r>
        <w:rPr>
          <w:rFonts w:ascii="仿宋_GB2312" w:hAnsi="仿宋_GB2312"/>
        </w:rPr>
        <w:t xml:space="preserve">100 </w:t>
      </w:r>
      <w:r>
        <w:rPr>
          <w:rFonts w:ascii="仿宋_GB2312" w:hAnsi="仿宋_GB2312"/>
        </w:rPr>
        <w:t>个连续波段点位及澄迈福橙、琼中绿橙等区域样本对比数据，已具备场景试点基础。围绕澄迈福橙、琼中绿橙等区域品牌果品，项目可服务基地分级、渠道验货、品牌展示、区域质量管理和品牌果数字化运营等应用场景，为样本标准统一、批次结果复核、品牌报告输出和区域样本库建设提供可复核、可追溯、可沉淀的数据支撑。项目后续可进一步延伸至区域样本库建设、品牌果数字化管理和果品质量服务平台建设，形成橙类智能分析服务体系。</w:t>
      </w:r>
    </w:p>
    <w:p w14:paraId="6773E63D" w14:textId="77777777" w:rsidR="00680242" w:rsidRDefault="00B40361">
      <w:pPr>
        <w:ind w:firstLine="0"/>
        <w:jc w:val="both"/>
      </w:pPr>
      <w:r>
        <w:rPr>
          <w:rFonts w:ascii="仿宋_GB2312" w:hAnsi="仿宋_GB2312"/>
          <w:b/>
        </w:rPr>
        <w:t>关键词</w:t>
      </w:r>
      <w:r>
        <w:rPr>
          <w:rFonts w:ascii="仿宋_GB2312" w:hAnsi="仿宋_GB2312"/>
          <w:b/>
        </w:rPr>
        <w:t xml:space="preserve"> </w:t>
      </w:r>
      <w:r>
        <w:rPr>
          <w:rFonts w:ascii="仿宋_GB2312" w:hAnsi="仿宋_GB2312"/>
        </w:rPr>
        <w:t>高光谱成像；橙类品质分级；产地溯源；双端平台；智能分析</w:t>
      </w:r>
    </w:p>
    <w:p w14:paraId="64549211" w14:textId="77777777" w:rsidR="00680242" w:rsidRDefault="00680242">
      <w:pPr>
        <w:sectPr w:rsidR="00680242">
          <w:pgSz w:w="11906" w:h="16838"/>
          <w:pgMar w:top="1417" w:right="1417" w:bottom="1417" w:left="1417" w:header="850" w:footer="992" w:gutter="0"/>
          <w:cols w:space="720"/>
          <w:docGrid w:linePitch="360"/>
        </w:sectPr>
      </w:pPr>
    </w:p>
    <w:p w14:paraId="1B748333" w14:textId="77777777" w:rsidR="00680242" w:rsidRDefault="00B40361">
      <w:pPr>
        <w:pStyle w:val="1"/>
        <w:ind w:firstLine="0"/>
      </w:pPr>
      <w:r>
        <w:rPr>
          <w:rFonts w:ascii="黑体" w:eastAsia="黑体" w:hAnsi="黑体"/>
        </w:rPr>
        <w:lastRenderedPageBreak/>
        <w:t>第一章</w:t>
      </w:r>
      <w:r>
        <w:rPr>
          <w:rFonts w:ascii="黑体" w:eastAsia="黑体" w:hAnsi="黑体"/>
        </w:rPr>
        <w:t xml:space="preserve"> </w:t>
      </w:r>
      <w:r>
        <w:rPr>
          <w:rFonts w:ascii="黑体" w:eastAsia="黑体" w:hAnsi="黑体"/>
        </w:rPr>
        <w:t>项目概述</w:t>
      </w:r>
    </w:p>
    <w:p w14:paraId="5FD9FA04" w14:textId="77777777" w:rsidR="00680242" w:rsidRDefault="00B40361">
      <w:pPr>
        <w:pStyle w:val="21"/>
        <w:ind w:firstLine="0"/>
      </w:pPr>
      <w:r>
        <w:rPr>
          <w:rFonts w:ascii="楷体_GB2312" w:eastAsia="楷体_GB2312" w:hAnsi="楷体_GB2312"/>
        </w:rPr>
        <w:t xml:space="preserve">1.1 </w:t>
      </w:r>
      <w:r>
        <w:rPr>
          <w:rFonts w:ascii="楷体_GB2312" w:eastAsia="楷体_GB2312" w:hAnsi="楷体_GB2312"/>
        </w:rPr>
        <w:t>项目背景</w:t>
      </w:r>
    </w:p>
    <w:p w14:paraId="48595806" w14:textId="77777777" w:rsidR="00680242" w:rsidRDefault="00B40361">
      <w:pPr>
        <w:jc w:val="both"/>
      </w:pPr>
      <w:r>
        <w:rPr>
          <w:rFonts w:ascii="仿宋_GB2312" w:hAnsi="仿宋_GB2312"/>
        </w:rPr>
        <w:t>随着柑橘产业由规模竞争逐步转向品质竞争与品牌竞争，橙类产品在分级、验货、溯源和对外说明等环节，对标准化、可追溯、可快速调用的检测工具提出了更高要求。传统人工分级和抽样检测能够满足小规模交易，但在品牌果、电商果、礼盒果和渠道采购等场景中，仍然存在分级口径不一、抽检覆盖有限、检测结果难以转化为品牌证明材料等问题。</w:t>
      </w:r>
    </w:p>
    <w:p w14:paraId="2692BF97" w14:textId="77777777" w:rsidR="00680242" w:rsidRDefault="00B40361">
      <w:pPr>
        <w:jc w:val="both"/>
      </w:pPr>
      <w:r>
        <w:rPr>
          <w:rFonts w:ascii="仿宋_GB2312" w:hAnsi="仿宋_GB2312"/>
        </w:rPr>
        <w:t>从行业规模看，这一问题具有长期性和普遍性。农业农村部</w:t>
      </w:r>
      <w:r>
        <w:rPr>
          <w:rFonts w:ascii="仿宋_GB2312" w:hAnsi="仿宋_GB2312"/>
        </w:rPr>
        <w:t>2024</w:t>
      </w:r>
      <w:r>
        <w:rPr>
          <w:rFonts w:ascii="仿宋_GB2312" w:hAnsi="仿宋_GB2312"/>
        </w:rPr>
        <w:t>年公开资料显示，我国柑橘种植面积约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月农产品供需形势分析月报（水果）》显示，</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公斤，同比下降</w:t>
      </w:r>
      <w:r>
        <w:rPr>
          <w:rFonts w:ascii="仿宋_GB2312" w:hAnsi="仿宋_GB2312"/>
        </w:rPr>
        <w:t>12.5%</w:t>
      </w:r>
      <w:r>
        <w:rPr>
          <w:rFonts w:ascii="仿宋_GB2312" w:hAnsi="仿宋_GB2312"/>
        </w:rPr>
        <w:t>。在供给充足、价格承压的市场环境下，品质证明、等级分层和产地可信表达已成为品牌果经营中的关键能力。</w:t>
      </w:r>
    </w:p>
    <w:p w14:paraId="66CCBC6D" w14:textId="77777777" w:rsidR="00680242" w:rsidRDefault="00B40361">
      <w:pPr>
        <w:jc w:val="both"/>
      </w:pPr>
      <w:r>
        <w:rPr>
          <w:rFonts w:ascii="仿宋_GB2312" w:hAnsi="仿宋_GB2312"/>
        </w:rPr>
        <w:t>从区域场景看，海南具备较好的应用基础。根据海南省统计局</w:t>
      </w:r>
      <w:r>
        <w:rPr>
          <w:rFonts w:ascii="仿宋_GB2312" w:hAnsi="仿宋_GB2312"/>
        </w:rPr>
        <w:t>2025</w:t>
      </w:r>
      <w:r>
        <w:rPr>
          <w:rFonts w:ascii="仿宋_GB2312" w:hAnsi="仿宋_GB2312"/>
        </w:rPr>
        <w:t>年</w:t>
      </w:r>
      <w:r>
        <w:rPr>
          <w:rFonts w:ascii="仿宋_GB2312" w:hAnsi="仿宋_GB2312"/>
        </w:rPr>
        <w:t>1</w:t>
      </w:r>
      <w:r>
        <w:rPr>
          <w:rFonts w:ascii="仿宋_GB2312" w:hAnsi="仿宋_GB2312"/>
        </w:rPr>
        <w:t>月发布的《海南省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。澄迈福橙、琼中绿橙等区域品牌果品既需要稳定分级，也需要清晰溯源和标准化对外说明，这为项目应用提供了明确的落点。</w:t>
      </w:r>
    </w:p>
    <w:p w14:paraId="576580C1" w14:textId="77777777" w:rsidR="00680242" w:rsidRDefault="00B40361">
      <w:pPr>
        <w:jc w:val="both"/>
      </w:pPr>
      <w:r>
        <w:rPr>
          <w:rFonts w:ascii="仿宋_GB2312" w:hAnsi="仿宋_GB2312"/>
        </w:rPr>
        <w:t>基于上述背景，橙源智鉴以高光谱数据文件和标准检测数据文件为输入，构建了面向橙类产品等级识别与产地溯源的双端智能分析系统。用户上传文件后，系统可完成橙子等级识别、产地溯源、异常提示和分析报告生成；网站端承担批量分析与档案管理，小程序端承担现场上传、查询和回看。项目聚焦橙类产品在分级、验货、溯源和品牌表达中的实际业务需求。</w:t>
      </w:r>
    </w:p>
    <w:p w14:paraId="6C09602D" w14:textId="77777777" w:rsidR="00680242" w:rsidRDefault="00B40361">
      <w:pPr>
        <w:pStyle w:val="21"/>
        <w:ind w:firstLine="0"/>
      </w:pPr>
      <w:r>
        <w:rPr>
          <w:rFonts w:ascii="楷体_GB2312" w:eastAsia="楷体_GB2312" w:hAnsi="楷体_GB2312"/>
        </w:rPr>
        <w:t xml:space="preserve">1.2 </w:t>
      </w:r>
      <w:r>
        <w:rPr>
          <w:rFonts w:ascii="楷体_GB2312" w:eastAsia="楷体_GB2312" w:hAnsi="楷体_GB2312"/>
        </w:rPr>
        <w:t>政策支持</w:t>
      </w:r>
    </w:p>
    <w:p w14:paraId="3EBB860C" w14:textId="77777777" w:rsidR="00680242" w:rsidRDefault="00B40361">
      <w:pPr>
        <w:ind w:firstLine="0"/>
      </w:pPr>
      <w:r>
        <w:rPr>
          <w:rFonts w:ascii="仿宋_GB2312" w:hAnsi="仿宋_GB2312"/>
        </w:rPr>
        <w:t xml:space="preserve">1.2.1 </w:t>
      </w:r>
      <w:r>
        <w:rPr>
          <w:rFonts w:ascii="仿宋_GB2312" w:hAnsi="仿宋_GB2312"/>
        </w:rPr>
        <w:t>国家智慧农业与追溯政策支撑</w:t>
      </w:r>
    </w:p>
    <w:p w14:paraId="3B12632F" w14:textId="77777777" w:rsidR="00680242" w:rsidRDefault="00B40361">
      <w:pPr>
        <w:jc w:val="both"/>
      </w:pPr>
      <w:r>
        <w:rPr>
          <w:rFonts w:ascii="仿宋_GB2312" w:hAnsi="仿宋_GB2312"/>
        </w:rPr>
        <w:t>农业农村部于</w:t>
      </w:r>
      <w:r>
        <w:rPr>
          <w:rFonts w:ascii="仿宋_GB2312" w:hAnsi="仿宋_GB2312"/>
        </w:rPr>
        <w:t>2024</w:t>
      </w:r>
      <w:r>
        <w:rPr>
          <w:rFonts w:ascii="仿宋_GB2312" w:hAnsi="仿宋_GB2312"/>
        </w:rPr>
        <w:t>年</w:t>
      </w:r>
      <w:r>
        <w:rPr>
          <w:rFonts w:ascii="仿宋_GB2312" w:hAnsi="仿宋_GB2312"/>
        </w:rPr>
        <w:t>11</w:t>
      </w:r>
      <w:r>
        <w:rPr>
          <w:rFonts w:ascii="仿宋_GB2312" w:hAnsi="仿宋_GB2312"/>
        </w:rPr>
        <w:t>月印发《全国智慧农业行动计划（</w:t>
      </w:r>
      <w:r>
        <w:rPr>
          <w:rFonts w:ascii="仿宋_GB2312" w:hAnsi="仿宋_GB2312"/>
        </w:rPr>
        <w:t>2024—2028</w:t>
      </w:r>
      <w:r>
        <w:rPr>
          <w:rFonts w:ascii="仿宋_GB2312" w:hAnsi="仿宋_GB2312"/>
        </w:rPr>
        <w:t>年）》，明确提出到</w:t>
      </w:r>
      <w:r>
        <w:rPr>
          <w:rFonts w:ascii="仿宋_GB2312" w:hAnsi="仿宋_GB2312"/>
        </w:rPr>
        <w:t>2028</w:t>
      </w:r>
      <w:r>
        <w:rPr>
          <w:rFonts w:ascii="仿宋_GB2312" w:hAnsi="仿宋_GB2312"/>
        </w:rPr>
        <w:t>年底农业生产信息化率达到</w:t>
      </w:r>
      <w:r>
        <w:rPr>
          <w:rFonts w:ascii="仿宋_GB2312" w:hAnsi="仿宋_GB2312"/>
        </w:rPr>
        <w:t>32%</w:t>
      </w:r>
      <w:r>
        <w:rPr>
          <w:rFonts w:ascii="仿宋_GB2312" w:hAnsi="仿宋_GB2312"/>
        </w:rPr>
        <w:t>以上，重点推动农业全链条数字化、智能化升级。橙源智鉴对应数据采集、智能分析和结果交付环节，网站端、小程序端和标准报告能够承接这一应用链路。</w:t>
      </w:r>
    </w:p>
    <w:p w14:paraId="4B73E055" w14:textId="77777777" w:rsidR="00680242" w:rsidRDefault="00B40361">
      <w:pPr>
        <w:jc w:val="both"/>
      </w:pPr>
      <w:r>
        <w:rPr>
          <w:rFonts w:ascii="仿宋_GB2312" w:hAnsi="仿宋_GB2312"/>
        </w:rPr>
        <w:lastRenderedPageBreak/>
        <w:t>农业农村部《农产品质量安全信息化追溯管理办法（试行）》对追溯主体、信息采集和流向记录提出了明确要求。橙源智鉴把文件、批次、分析结果和历史报告绑定在同一平台内，天然适合对接果品追溯、质量抽检辅助和区域品牌档案管理。</w:t>
      </w:r>
    </w:p>
    <w:p w14:paraId="37720A0D" w14:textId="77777777" w:rsidR="00680242" w:rsidRDefault="00B40361">
      <w:pPr>
        <w:ind w:firstLine="0"/>
      </w:pPr>
      <w:r>
        <w:rPr>
          <w:rFonts w:ascii="仿宋_GB2312" w:hAnsi="仿宋_GB2312"/>
        </w:rPr>
        <w:t xml:space="preserve">1.2.2 </w:t>
      </w:r>
      <w:r>
        <w:rPr>
          <w:rFonts w:ascii="仿宋_GB2312" w:hAnsi="仿宋_GB2312"/>
        </w:rPr>
        <w:t>海南区域产业与人工智能场景支撑</w:t>
      </w:r>
    </w:p>
    <w:p w14:paraId="2CF86127" w14:textId="77777777" w:rsidR="00680242" w:rsidRDefault="00B40361">
      <w:pPr>
        <w:jc w:val="both"/>
      </w:pPr>
      <w:r>
        <w:rPr>
          <w:rFonts w:ascii="仿宋_GB2312" w:hAnsi="仿宋_GB2312"/>
        </w:rPr>
        <w:t>海南自由贸易港建设、热带特色高效农业和</w:t>
      </w:r>
      <w:r>
        <w:rPr>
          <w:rFonts w:ascii="仿宋_GB2312" w:hAnsi="仿宋_GB2312"/>
        </w:rPr>
        <w:t>“</w:t>
      </w:r>
      <w:r>
        <w:rPr>
          <w:rFonts w:ascii="仿宋_GB2312" w:hAnsi="仿宋_GB2312"/>
        </w:rPr>
        <w:t>人工智能</w:t>
      </w:r>
      <w:r>
        <w:rPr>
          <w:rFonts w:ascii="仿宋_GB2312" w:hAnsi="仿宋_GB2312"/>
        </w:rPr>
        <w:t>+”</w:t>
      </w:r>
      <w:r>
        <w:rPr>
          <w:rFonts w:ascii="仿宋_GB2312" w:hAnsi="仿宋_GB2312"/>
        </w:rPr>
        <w:t>应用推广，为项目提供了明确落点。项目面向海南特色橙类产品的分选、验货和品牌管理场景开展应用。</w:t>
      </w:r>
    </w:p>
    <w:p w14:paraId="4FB3D322" w14:textId="77777777" w:rsidR="00680242" w:rsidRDefault="00B40361">
      <w:pPr>
        <w:jc w:val="both"/>
      </w:pPr>
      <w:r>
        <w:rPr>
          <w:rFonts w:ascii="仿宋_GB2312" w:hAnsi="仿宋_GB2312"/>
        </w:rPr>
        <w:t>澄迈福橙、琼中绿橙等区域品牌同时存在等级识别、产地证明和品牌表达需求，适合作为首批应用对象。项目可先围绕海南形成样板案例，再向其他橙类产区推广。</w:t>
      </w:r>
    </w:p>
    <w:p w14:paraId="40B7A182" w14:textId="77777777" w:rsidR="00680242" w:rsidRDefault="00B40361">
      <w:pPr>
        <w:pStyle w:val="21"/>
        <w:ind w:firstLine="0"/>
      </w:pPr>
      <w:r>
        <w:rPr>
          <w:rFonts w:ascii="楷体_GB2312" w:eastAsia="楷体_GB2312" w:hAnsi="楷体_GB2312"/>
        </w:rPr>
        <w:t xml:space="preserve">1.3 </w:t>
      </w:r>
      <w:r>
        <w:rPr>
          <w:rFonts w:ascii="楷体_GB2312" w:eastAsia="楷体_GB2312" w:hAnsi="楷体_GB2312"/>
        </w:rPr>
        <w:t>技术支撑</w:t>
      </w:r>
    </w:p>
    <w:p w14:paraId="5FBBD01E" w14:textId="77777777" w:rsidR="00680242" w:rsidRDefault="00B40361">
      <w:pPr>
        <w:ind w:firstLine="0"/>
      </w:pPr>
      <w:r>
        <w:rPr>
          <w:rFonts w:ascii="仿宋_GB2312" w:hAnsi="仿宋_GB2312"/>
        </w:rPr>
        <w:t xml:space="preserve">1.3.1 </w:t>
      </w:r>
      <w:r>
        <w:rPr>
          <w:rFonts w:ascii="仿宋_GB2312" w:hAnsi="仿宋_GB2312"/>
        </w:rPr>
        <w:t>高光谱成像提供无损检测基础</w:t>
      </w:r>
    </w:p>
    <w:p w14:paraId="432BEB36" w14:textId="77777777" w:rsidR="00680242" w:rsidRDefault="00B40361">
      <w:pPr>
        <w:jc w:val="both"/>
      </w:pPr>
      <w:r>
        <w:rPr>
          <w:rFonts w:ascii="仿宋_GB2312" w:hAnsi="仿宋_GB2312"/>
        </w:rPr>
        <w:t>高光谱成像可以同时获取样本的空间信息和连续光谱信息，适合处理糖度、酸度、成熟度和产地差异这类橙类核心任务，是本项目进行无损分析的底层数据来源。</w:t>
      </w:r>
    </w:p>
    <w:p w14:paraId="06EB4811" w14:textId="77777777" w:rsidR="00680242" w:rsidRDefault="00B40361">
      <w:pPr>
        <w:ind w:firstLine="0"/>
      </w:pPr>
      <w:r>
        <w:rPr>
          <w:rFonts w:ascii="仿宋_GB2312" w:hAnsi="仿宋_GB2312"/>
        </w:rPr>
        <w:t xml:space="preserve">1.3.2 </w:t>
      </w:r>
      <w:r>
        <w:rPr>
          <w:rFonts w:ascii="仿宋_GB2312" w:hAnsi="仿宋_GB2312"/>
        </w:rPr>
        <w:t>智能模型支撑分类与预测双任务</w:t>
      </w:r>
    </w:p>
    <w:p w14:paraId="0B3878AA" w14:textId="77777777" w:rsidR="00680242" w:rsidRDefault="00B40361">
      <w:pPr>
        <w:jc w:val="both"/>
      </w:pPr>
      <w:r>
        <w:rPr>
          <w:rFonts w:ascii="仿宋_GB2312" w:hAnsi="仿宋_GB2312"/>
        </w:rPr>
        <w:t>算法层面采用</w:t>
      </w:r>
      <w:r>
        <w:rPr>
          <w:rFonts w:ascii="仿宋_GB2312" w:hAnsi="仿宋_GB2312"/>
        </w:rPr>
        <w:t>“</w:t>
      </w:r>
      <w:r>
        <w:rPr>
          <w:rFonts w:ascii="仿宋_GB2312" w:hAnsi="仿宋_GB2312"/>
        </w:rPr>
        <w:t>分类</w:t>
      </w:r>
      <w:r>
        <w:rPr>
          <w:rFonts w:ascii="仿宋_GB2312" w:hAnsi="仿宋_GB2312"/>
        </w:rPr>
        <w:t xml:space="preserve"> + </w:t>
      </w:r>
      <w:r>
        <w:rPr>
          <w:rFonts w:ascii="仿宋_GB2312" w:hAnsi="仿宋_GB2312"/>
        </w:rPr>
        <w:t>回归</w:t>
      </w:r>
      <w:r>
        <w:rPr>
          <w:rFonts w:ascii="仿宋_GB2312" w:hAnsi="仿宋_GB2312"/>
        </w:rPr>
        <w:t>”</w:t>
      </w:r>
      <w:r>
        <w:rPr>
          <w:rFonts w:ascii="仿宋_GB2312" w:hAnsi="仿宋_GB2312"/>
        </w:rPr>
        <w:t>双任务路径：分类模型负责产地识别与等级划分，回归模型负责</w:t>
      </w:r>
      <w:r>
        <w:rPr>
          <w:rFonts w:ascii="仿宋_GB2312" w:hAnsi="仿宋_GB2312"/>
        </w:rPr>
        <w:t xml:space="preserve"> SSC</w:t>
      </w:r>
      <w:r>
        <w:rPr>
          <w:rFonts w:ascii="仿宋_GB2312" w:hAnsi="仿宋_GB2312"/>
        </w:rPr>
        <w:t>、</w:t>
      </w:r>
      <w:r>
        <w:rPr>
          <w:rFonts w:ascii="仿宋_GB2312" w:hAnsi="仿宋_GB2312"/>
        </w:rPr>
        <w:t>TA</w:t>
      </w:r>
      <w:r>
        <w:rPr>
          <w:rFonts w:ascii="仿宋_GB2312" w:hAnsi="仿宋_GB2312"/>
        </w:rPr>
        <w:t>、糖酸比和维生素</w:t>
      </w:r>
      <w:r>
        <w:rPr>
          <w:rFonts w:ascii="仿宋_GB2312" w:hAnsi="仿宋_GB2312"/>
        </w:rPr>
        <w:t>C</w:t>
      </w:r>
      <w:r>
        <w:rPr>
          <w:rFonts w:ascii="仿宋_GB2312" w:hAnsi="仿宋_GB2312"/>
        </w:rPr>
        <w:t>等指标预测，再配合异常识别和可解释模块输出可复核结果。</w:t>
      </w:r>
    </w:p>
    <w:p w14:paraId="1079C5FC" w14:textId="77777777" w:rsidR="00680242" w:rsidRDefault="00B40361">
      <w:pPr>
        <w:ind w:firstLine="0"/>
      </w:pPr>
      <w:r>
        <w:rPr>
          <w:rFonts w:ascii="仿宋_GB2312" w:hAnsi="仿宋_GB2312"/>
        </w:rPr>
        <w:t xml:space="preserve">1.3.3 </w:t>
      </w:r>
      <w:r>
        <w:rPr>
          <w:rFonts w:ascii="仿宋_GB2312" w:hAnsi="仿宋_GB2312"/>
        </w:rPr>
        <w:t>平台系统为技术落地提供载体</w:t>
      </w:r>
    </w:p>
    <w:p w14:paraId="2AAD1F2D" w14:textId="77777777" w:rsidR="00680242" w:rsidRDefault="00B40361">
      <w:pPr>
        <w:jc w:val="both"/>
      </w:pPr>
      <w:r>
        <w:rPr>
          <w:rFonts w:ascii="仿宋_GB2312" w:hAnsi="仿宋_GB2312"/>
        </w:rPr>
        <w:t>当前成品已完成网站端和小程序端开发。网站端提供上传分析、样本对比、模型解释、历史记录和报告导出；小程序端提供移动上传、采样登记、结果查询和历史回看。系统已支持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三类文件上传，并在分析页展示</w:t>
      </w:r>
      <w:r>
        <w:rPr>
          <w:rFonts w:ascii="仿宋_GB2312" w:hAnsi="仿宋_GB2312"/>
        </w:rPr>
        <w:t xml:space="preserve"> 1.2 </w:t>
      </w:r>
      <w:r>
        <w:rPr>
          <w:rFonts w:ascii="仿宋_GB2312" w:hAnsi="仿宋_GB2312"/>
        </w:rPr>
        <w:t>秒处理流程、</w:t>
      </w:r>
      <w:r>
        <w:rPr>
          <w:rFonts w:ascii="仿宋_GB2312" w:hAnsi="仿宋_GB2312"/>
        </w:rPr>
        <w:t xml:space="preserve">98.5% </w:t>
      </w:r>
      <w:r>
        <w:rPr>
          <w:rFonts w:ascii="仿宋_GB2312" w:hAnsi="仿宋_GB2312"/>
        </w:rPr>
        <w:t>产地识别置信度和</w:t>
      </w:r>
      <w:r>
        <w:rPr>
          <w:rFonts w:ascii="仿宋_GB2312" w:hAnsi="仿宋_GB2312"/>
        </w:rPr>
        <w:t xml:space="preserve"> SSC </w:t>
      </w:r>
      <w:r>
        <w:rPr>
          <w:rFonts w:ascii="仿宋_GB2312" w:hAnsi="仿宋_GB2312"/>
        </w:rPr>
        <w:t>预测误差</w:t>
      </w:r>
      <w:r>
        <w:rPr>
          <w:rFonts w:ascii="仿宋_GB2312" w:hAnsi="仿宋_GB2312"/>
        </w:rPr>
        <w:t xml:space="preserve"> ±0.3% </w:t>
      </w:r>
      <w:r>
        <w:rPr>
          <w:rFonts w:ascii="仿宋_GB2312" w:hAnsi="仿宋_GB2312"/>
        </w:rPr>
        <w:t>的演示结果。</w:t>
      </w:r>
    </w:p>
    <w:p w14:paraId="4E91D7E4" w14:textId="77777777" w:rsidR="00680242" w:rsidRDefault="00B40361">
      <w:pPr>
        <w:pStyle w:val="21"/>
        <w:ind w:firstLine="0"/>
      </w:pPr>
      <w:r>
        <w:rPr>
          <w:rFonts w:ascii="楷体_GB2312" w:eastAsia="楷体_GB2312" w:hAnsi="楷体_GB2312"/>
        </w:rPr>
        <w:t xml:space="preserve">1.4 </w:t>
      </w:r>
      <w:r>
        <w:rPr>
          <w:rFonts w:ascii="楷体_GB2312" w:eastAsia="楷体_GB2312" w:hAnsi="楷体_GB2312"/>
        </w:rPr>
        <w:t>项目基础与阶段目标</w:t>
      </w:r>
    </w:p>
    <w:p w14:paraId="4C1417CD" w14:textId="77777777" w:rsidR="00680242" w:rsidRDefault="00B40361">
      <w:pPr>
        <w:jc w:val="both"/>
      </w:pPr>
      <w:r>
        <w:rPr>
          <w:rFonts w:ascii="仿宋_GB2312" w:hAnsi="仿宋_GB2312"/>
        </w:rPr>
        <w:t>项目目前已具备三项基础：一是网站端与小程序端都可直接演示完整业务链路；二是数据侧已沉淀</w:t>
      </w:r>
      <w:r>
        <w:rPr>
          <w:rFonts w:ascii="仿宋_GB2312" w:hAnsi="仿宋_GB2312"/>
        </w:rPr>
        <w:t xml:space="preserve"> 10 </w:t>
      </w:r>
      <w:r>
        <w:rPr>
          <w:rFonts w:ascii="仿宋_GB2312" w:hAnsi="仿宋_GB2312"/>
        </w:rPr>
        <w:t>组化验样本、</w:t>
      </w:r>
      <w:r>
        <w:rPr>
          <w:rFonts w:ascii="仿宋_GB2312" w:hAnsi="仿宋_GB2312"/>
        </w:rPr>
        <w:t xml:space="preserve">100 </w:t>
      </w:r>
      <w:r>
        <w:rPr>
          <w:rFonts w:ascii="仿宋_GB2312" w:hAnsi="仿宋_GB2312"/>
        </w:rPr>
        <w:t>个连续波段点位和澄迈福橙、琼中绿橙对比数据；三是报告、历史页和模型页已经把分析结果做成可展示、可追溯、可复盘的成品。下一步重点是继续补强样本规模、标签质量和跨批次稳定性。</w:t>
      </w:r>
    </w:p>
    <w:p w14:paraId="39E1E25F" w14:textId="77777777" w:rsidR="00680242" w:rsidRDefault="00B40361">
      <w:pPr>
        <w:pStyle w:val="a0"/>
        <w:ind w:firstLine="0"/>
        <w:jc w:val="both"/>
      </w:pPr>
      <w:r>
        <w:rPr>
          <w:rFonts w:ascii="仿宋_GB2312" w:hAnsi="仿宋_GB2312"/>
        </w:rPr>
        <w:lastRenderedPageBreak/>
        <w:t>阶段目标一：形成一套能被重复执行的样本采集、编号、理化标注与数据录入模板。</w:t>
      </w:r>
    </w:p>
    <w:p w14:paraId="29B63A9E" w14:textId="77777777" w:rsidR="00680242" w:rsidRDefault="00B40361">
      <w:pPr>
        <w:pStyle w:val="a0"/>
        <w:ind w:firstLine="0"/>
        <w:jc w:val="both"/>
      </w:pPr>
      <w:r>
        <w:rPr>
          <w:rFonts w:ascii="仿宋_GB2312" w:hAnsi="仿宋_GB2312"/>
        </w:rPr>
        <w:t>阶段目标二：把等级识别、产地溯源、异常提醒和报告输出稳定集成到网站端与小程序端。</w:t>
      </w:r>
    </w:p>
    <w:p w14:paraId="4EF38CA6" w14:textId="77777777" w:rsidR="00680242" w:rsidRDefault="00B40361">
      <w:pPr>
        <w:pStyle w:val="a0"/>
        <w:ind w:firstLine="0"/>
        <w:jc w:val="both"/>
      </w:pPr>
      <w:r>
        <w:rPr>
          <w:rFonts w:ascii="仿宋_GB2312" w:hAnsi="仿宋_GB2312"/>
        </w:rPr>
        <w:t>阶段目标三：形成批量上传分析、移动端查询、历史档案管理和报告导出的完整产品闭环。</w:t>
      </w:r>
    </w:p>
    <w:p w14:paraId="7067A08E" w14:textId="77777777" w:rsidR="00680242" w:rsidRDefault="00B40361">
      <w:pPr>
        <w:pStyle w:val="a0"/>
        <w:ind w:firstLine="0"/>
        <w:jc w:val="both"/>
      </w:pPr>
      <w:r>
        <w:rPr>
          <w:rFonts w:ascii="仿宋_GB2312" w:hAnsi="仿宋_GB2312"/>
        </w:rPr>
        <w:t>阶段目标四：围绕澄迈福橙、琼中绿橙等对象形成可展示、可验证、可复制的应用案例。</w:t>
      </w:r>
    </w:p>
    <w:p w14:paraId="52876923" w14:textId="77777777" w:rsidR="00680242" w:rsidRDefault="00B40361">
      <w:pPr>
        <w:pStyle w:val="a0"/>
        <w:ind w:firstLine="0"/>
        <w:jc w:val="both"/>
      </w:pPr>
      <w:r>
        <w:rPr>
          <w:rFonts w:ascii="仿宋_GB2312" w:hAnsi="仿宋_GB2312"/>
        </w:rPr>
        <w:t>阶段目标五：在试点阶段把分析时长稳定控制在秒级，并形成产地识别准确率</w:t>
      </w:r>
      <w:r>
        <w:rPr>
          <w:rFonts w:ascii="仿宋_GB2312" w:hAnsi="仿宋_GB2312"/>
        </w:rPr>
        <w:t xml:space="preserve"> 95% </w:t>
      </w:r>
      <w:r>
        <w:rPr>
          <w:rFonts w:ascii="仿宋_GB2312" w:hAnsi="仿宋_GB2312"/>
        </w:rPr>
        <w:t>以上、糖度预测误差控制在</w:t>
      </w:r>
      <w:r>
        <w:rPr>
          <w:rFonts w:ascii="仿宋_GB2312" w:hAnsi="仿宋_GB2312"/>
        </w:rPr>
        <w:t xml:space="preserve"> ±0.5 </w:t>
      </w:r>
      <w:r>
        <w:rPr>
          <w:rFonts w:ascii="仿宋_GB2312" w:hAnsi="仿宋_GB2312"/>
        </w:rPr>
        <w:t>以内的目标指标体系。</w:t>
      </w:r>
    </w:p>
    <w:p w14:paraId="2FD93FCE" w14:textId="77777777" w:rsidR="00680242" w:rsidRDefault="00680242">
      <w:pPr>
        <w:sectPr w:rsidR="00680242">
          <w:pgSz w:w="11906" w:h="16838"/>
          <w:pgMar w:top="1417" w:right="1417" w:bottom="1417" w:left="1417" w:header="850" w:footer="992" w:gutter="0"/>
          <w:cols w:space="720"/>
          <w:docGrid w:linePitch="360"/>
        </w:sectPr>
      </w:pPr>
    </w:p>
    <w:p w14:paraId="3C717E61" w14:textId="77777777" w:rsidR="00680242" w:rsidRDefault="00B40361">
      <w:pPr>
        <w:pStyle w:val="1"/>
        <w:ind w:firstLine="0"/>
      </w:pPr>
      <w:r>
        <w:rPr>
          <w:rFonts w:ascii="黑体" w:eastAsia="黑体" w:hAnsi="黑体"/>
        </w:rPr>
        <w:lastRenderedPageBreak/>
        <w:t>第二章</w:t>
      </w:r>
      <w:r>
        <w:rPr>
          <w:rFonts w:ascii="黑体" w:eastAsia="黑体" w:hAnsi="黑体"/>
        </w:rPr>
        <w:t xml:space="preserve"> </w:t>
      </w:r>
      <w:r>
        <w:rPr>
          <w:rFonts w:ascii="黑体" w:eastAsia="黑体" w:hAnsi="黑体"/>
        </w:rPr>
        <w:t>产品效益</w:t>
      </w:r>
    </w:p>
    <w:p w14:paraId="690A2015" w14:textId="77777777" w:rsidR="00680242" w:rsidRDefault="00B40361">
      <w:pPr>
        <w:pStyle w:val="21"/>
        <w:ind w:firstLine="0"/>
      </w:pPr>
      <w:r>
        <w:rPr>
          <w:rFonts w:ascii="楷体_GB2312" w:eastAsia="楷体_GB2312" w:hAnsi="楷体_GB2312"/>
        </w:rPr>
        <w:t xml:space="preserve">2.1 </w:t>
      </w:r>
      <w:r>
        <w:rPr>
          <w:rFonts w:ascii="楷体_GB2312" w:eastAsia="楷体_GB2312" w:hAnsi="楷体_GB2312"/>
        </w:rPr>
        <w:t>社会效益</w:t>
      </w:r>
    </w:p>
    <w:p w14:paraId="447DC575" w14:textId="77777777" w:rsidR="00680242" w:rsidRDefault="00B40361">
      <w:pPr>
        <w:jc w:val="both"/>
      </w:pPr>
      <w:r>
        <w:rPr>
          <w:rFonts w:ascii="仿宋_GB2312" w:hAnsi="仿宋_GB2312"/>
        </w:rPr>
        <w:t>橙源智鉴的社会效益主要体现在果品质量管理方式的规范化上。项目将采样登记、文件上传、等级识别、结果留档和报告输出纳入统一流程，能够减少基地分级、渠道验货和结果登记中长期存在的口径差异问题。对于区域品牌果品而言，分级标准以批次结果、历史记录和报告模板的形式固定后，果品质量管理即可形成持续复核和统一执行的基础。</w:t>
      </w:r>
    </w:p>
    <w:p w14:paraId="280CEEB3" w14:textId="77777777" w:rsidR="00680242" w:rsidRDefault="00B40361">
      <w:pPr>
        <w:jc w:val="both"/>
      </w:pPr>
      <w:r>
        <w:rPr>
          <w:rFonts w:ascii="仿宋_GB2312" w:hAnsi="仿宋_GB2312"/>
        </w:rPr>
        <w:t>项目同时改善了果品在流通环节中的信息表达方式。渠道方验货时可以查看批次级等级结论、产地信息和历史记录，品牌方在对外展示时可以调用图文化报告、结果页面和批次档案。对于礼盒果、电商果、节庆果等销售场景，这类结果材料可直接用于验货、展示和复核。</w:t>
      </w:r>
    </w:p>
    <w:p w14:paraId="132E10A9" w14:textId="77777777" w:rsidR="00680242" w:rsidRDefault="00B40361">
      <w:pPr>
        <w:jc w:val="both"/>
      </w:pPr>
      <w:r>
        <w:rPr>
          <w:rFonts w:ascii="仿宋_GB2312" w:hAnsi="仿宋_GB2312"/>
        </w:rPr>
        <w:t>项目的长期社会价值还在于数据沉淀。每次上传形成的样本文件、理化标签、分析结果、异常记录和报告版本都可继续用于复检、复盘、模型更新和区域样本库扩充。对地方特色果品产业而言，持续积累的批次档案和标准化结果不仅关系到一次销售，更关系到后续品牌档案建设、追溯体系完善和区域质量服务能力提升。</w:t>
      </w:r>
    </w:p>
    <w:p w14:paraId="6941EFBF" w14:textId="77777777" w:rsidR="00680242" w:rsidRDefault="00B40361">
      <w:pPr>
        <w:pStyle w:val="21"/>
        <w:ind w:firstLine="0"/>
      </w:pPr>
      <w:r>
        <w:rPr>
          <w:rFonts w:ascii="楷体_GB2312" w:eastAsia="楷体_GB2312" w:hAnsi="楷体_GB2312"/>
        </w:rPr>
        <w:t xml:space="preserve">2.2 </w:t>
      </w:r>
      <w:r>
        <w:rPr>
          <w:rFonts w:ascii="楷体_GB2312" w:eastAsia="楷体_GB2312" w:hAnsi="楷体_GB2312"/>
        </w:rPr>
        <w:t>经济效益</w:t>
      </w:r>
    </w:p>
    <w:p w14:paraId="21974FC0" w14:textId="77777777" w:rsidR="00680242" w:rsidRDefault="00B40361">
      <w:pPr>
        <w:jc w:val="both"/>
      </w:pPr>
      <w:r>
        <w:rPr>
          <w:rFonts w:ascii="仿宋_GB2312" w:hAnsi="仿宋_GB2312"/>
        </w:rPr>
        <w:t>项目的经济效益主要体现在经营环节的提效和降损上。对于果园、合作社和分选中心而言，系统接入后能够缩短批次判断时间，减少重复抽检和错分级带来的损失，提高高等级果品的识别效率和分流效率。优质果能够更早进入匹配渠道，普通果能够避免高估后带来的退货和争议，经营主体在人工、时间和分选成本上的投入将得到优化。</w:t>
      </w:r>
    </w:p>
    <w:p w14:paraId="44DB38AA" w14:textId="77777777" w:rsidR="00680242" w:rsidRDefault="00B40361">
      <w:pPr>
        <w:jc w:val="both"/>
      </w:pPr>
      <w:r>
        <w:rPr>
          <w:rFonts w:ascii="仿宋_GB2312" w:hAnsi="仿宋_GB2312"/>
        </w:rPr>
        <w:t>项目的另一项经济效益来自批次结果的持续使用价值。等级结果、产地结果和历史记录一旦能够按批次输出并进入报告体系，品牌方和渠道方在合作谈判中就不仅比较价格，还会比较稳定性、可追溯性和结果完整度。该类收益通常先表现为验货争议减少、退货率下降和复购率提升，随后逐步反映到礼盒果、品牌果和定制果的溢价空间之中。</w:t>
      </w:r>
    </w:p>
    <w:p w14:paraId="2919A947" w14:textId="77777777" w:rsidR="00680242" w:rsidRDefault="00B40361">
      <w:pPr>
        <w:jc w:val="both"/>
      </w:pPr>
      <w:r>
        <w:rPr>
          <w:rFonts w:ascii="仿宋_GB2312" w:hAnsi="仿宋_GB2312"/>
        </w:rPr>
        <w:lastRenderedPageBreak/>
        <w:t>对项目本身而言，当前平台已经具备批次分析服务、年度账号服务和区域品牌定制服务的交付基础。新增合作一方面能够形成分析服务收入、订阅收入和定制收入，另一方面也会同步积累样本库、历史档案和报告模板，增强后续服务能力。项目的商业增长因此建立在现有产品和案例沉淀之上，具有较明确的持续转化基础。</w:t>
      </w:r>
    </w:p>
    <w:p w14:paraId="587FC243" w14:textId="77777777" w:rsidR="00680242" w:rsidRDefault="00B40361">
      <w:pPr>
        <w:pStyle w:val="21"/>
        <w:ind w:firstLine="0"/>
      </w:pPr>
      <w:r>
        <w:rPr>
          <w:rFonts w:ascii="楷体_GB2312" w:eastAsia="楷体_GB2312" w:hAnsi="楷体_GB2312"/>
        </w:rPr>
        <w:t xml:space="preserve">2.3 </w:t>
      </w:r>
      <w:r>
        <w:rPr>
          <w:rFonts w:ascii="楷体_GB2312" w:eastAsia="楷体_GB2312" w:hAnsi="楷体_GB2312"/>
        </w:rPr>
        <w:t>教育引领</w:t>
      </w:r>
    </w:p>
    <w:p w14:paraId="384C6A65" w14:textId="77777777" w:rsidR="00680242" w:rsidRDefault="00B40361">
      <w:pPr>
        <w:jc w:val="both"/>
      </w:pPr>
      <w:r>
        <w:rPr>
          <w:rFonts w:ascii="仿宋_GB2312" w:hAnsi="仿宋_GB2312"/>
        </w:rPr>
        <w:t>在教育引领方面，项目覆盖样本组织、理化标定、模型训练、接口开发、双端联调、报告生成和应用展示等完整流程，能够训练团队成员的数据处理能力、算法建模能力、产品开发能力和场景转化能力。该类复合型实践与智慧农业、人工智能应用开发和农业数字化服务等岗位的人才培养要求具有较高一致性。</w:t>
      </w:r>
    </w:p>
    <w:p w14:paraId="669A674D" w14:textId="77777777" w:rsidR="00680242" w:rsidRDefault="00B40361">
      <w:pPr>
        <w:jc w:val="both"/>
      </w:pPr>
      <w:r>
        <w:rPr>
          <w:rFonts w:ascii="仿宋_GB2312" w:hAnsi="仿宋_GB2312"/>
        </w:rPr>
        <w:t>围绕澄迈福橙、琼中绿橙等区域品牌形成稳定案例后，项目还能够为海南本地高校参与热带特色农业数字化建设提供可展示的样板。其价值不在于停留在实验室成果层面，而在于能够以网站端、小程序端和标准报告的形式进入真实应用场景，形成可复盘、可复制的实践基础。</w:t>
      </w:r>
    </w:p>
    <w:p w14:paraId="4C79E12B" w14:textId="77777777" w:rsidR="00680242" w:rsidRDefault="00B40361">
      <w:pPr>
        <w:jc w:val="both"/>
      </w:pPr>
      <w:r>
        <w:rPr>
          <w:rFonts w:ascii="仿宋_GB2312" w:hAnsi="仿宋_GB2312"/>
        </w:rPr>
        <w:t>项目目前已完成网站端、小程序端和报告输出体系的协同构建，技术路线、产品形态和应用场景均已落实为可演示、可使用、可验证的成果。该成果形态可直接用于后续试点合作、项目申报和校地协同推进。</w:t>
      </w:r>
    </w:p>
    <w:p w14:paraId="7AC0138C" w14:textId="77777777" w:rsidR="00680242" w:rsidRDefault="00680242">
      <w:pPr>
        <w:sectPr w:rsidR="00680242">
          <w:pgSz w:w="11906" w:h="16838"/>
          <w:pgMar w:top="1417" w:right="1417" w:bottom="1417" w:left="1417" w:header="850" w:footer="992" w:gutter="0"/>
          <w:cols w:space="720"/>
          <w:docGrid w:linePitch="360"/>
        </w:sectPr>
      </w:pPr>
    </w:p>
    <w:p w14:paraId="35BAD566" w14:textId="77777777" w:rsidR="00680242" w:rsidRDefault="00B40361">
      <w:pPr>
        <w:pStyle w:val="1"/>
        <w:ind w:firstLine="0"/>
      </w:pPr>
      <w:r>
        <w:rPr>
          <w:rFonts w:ascii="黑体" w:eastAsia="黑体" w:hAnsi="黑体"/>
        </w:rPr>
        <w:lastRenderedPageBreak/>
        <w:t>第三章</w:t>
      </w:r>
      <w:r>
        <w:rPr>
          <w:rFonts w:ascii="黑体" w:eastAsia="黑体" w:hAnsi="黑体"/>
        </w:rPr>
        <w:t xml:space="preserve"> </w:t>
      </w:r>
      <w:r>
        <w:rPr>
          <w:rFonts w:ascii="黑体" w:eastAsia="黑体" w:hAnsi="黑体"/>
        </w:rPr>
        <w:t>可行性分析</w:t>
      </w:r>
    </w:p>
    <w:p w14:paraId="5B99877D" w14:textId="77777777" w:rsidR="00680242" w:rsidRDefault="00B40361">
      <w:pPr>
        <w:pStyle w:val="21"/>
        <w:ind w:firstLine="0"/>
      </w:pPr>
      <w:r>
        <w:rPr>
          <w:rFonts w:ascii="楷体_GB2312" w:eastAsia="楷体_GB2312" w:hAnsi="楷体_GB2312"/>
        </w:rPr>
        <w:t xml:space="preserve">3.1 </w:t>
      </w:r>
      <w:r>
        <w:rPr>
          <w:rFonts w:ascii="楷体_GB2312" w:eastAsia="楷体_GB2312" w:hAnsi="楷体_GB2312"/>
        </w:rPr>
        <w:t>市场可行性</w:t>
      </w:r>
    </w:p>
    <w:p w14:paraId="2BEFB3A8" w14:textId="77777777" w:rsidR="00680242" w:rsidRDefault="00B40361">
      <w:pPr>
        <w:jc w:val="both"/>
      </w:pPr>
      <w:r>
        <w:rPr>
          <w:rFonts w:ascii="仿宋_GB2312" w:hAnsi="仿宋_GB2312"/>
        </w:rPr>
        <w:t>市场可行性建立在稳定存在的经营需求之上。对于品牌果、地理标志果和高价值果品来说，同一批货的分级准确性、产地说明和批次记录管理均属于长期存在的经营问题。系统只要能够稳定输出检测结果、历史记录和标准报告，即可进入果园、合作社、分选中心和品牌方的现有流程。</w:t>
      </w:r>
    </w:p>
    <w:p w14:paraId="25CC076E" w14:textId="77777777" w:rsidR="00680242" w:rsidRDefault="00B40361">
      <w:pPr>
        <w:jc w:val="both"/>
      </w:pPr>
      <w:r>
        <w:rPr>
          <w:rFonts w:ascii="仿宋_GB2312" w:hAnsi="仿宋_GB2312"/>
        </w:rPr>
        <w:t>项目的切入对象较为聚焦。澄迈福橙、琼中绿橙等区域品牌果品同时具备品质分级需求、产地识别需求和数字化表达需求，适合作为首发场景进行验证。叠加智慧农业、农产品追溯和区域品牌经营等政策导向后，项目对应的是一组能够相互支撑的真实场景需求。</w:t>
      </w:r>
    </w:p>
    <w:p w14:paraId="1F45C0CF" w14:textId="77777777" w:rsidR="00680242" w:rsidRDefault="00B40361">
      <w:pPr>
        <w:pStyle w:val="21"/>
        <w:ind w:firstLine="0"/>
      </w:pPr>
      <w:r>
        <w:rPr>
          <w:rFonts w:ascii="楷体_GB2312" w:eastAsia="楷体_GB2312" w:hAnsi="楷体_GB2312"/>
        </w:rPr>
        <w:t xml:space="preserve">3.2 </w:t>
      </w:r>
      <w:r>
        <w:rPr>
          <w:rFonts w:ascii="楷体_GB2312" w:eastAsia="楷体_GB2312" w:hAnsi="楷体_GB2312"/>
        </w:rPr>
        <w:t>技术可行性</w:t>
      </w:r>
    </w:p>
    <w:p w14:paraId="5202815E" w14:textId="77777777" w:rsidR="00680242" w:rsidRDefault="00B40361">
      <w:pPr>
        <w:jc w:val="both"/>
      </w:pPr>
      <w:r>
        <w:rPr>
          <w:rFonts w:ascii="仿宋_GB2312" w:hAnsi="仿宋_GB2312"/>
        </w:rPr>
        <w:t>技术可行性主要看两点：路线是否合理，成品是否已经搭起来。从路线看，项目采用</w:t>
      </w:r>
      <w:r>
        <w:rPr>
          <w:rFonts w:ascii="仿宋_GB2312" w:hAnsi="仿宋_GB2312"/>
        </w:rPr>
        <w:t>“</w:t>
      </w:r>
      <w:r>
        <w:rPr>
          <w:rFonts w:ascii="仿宋_GB2312" w:hAnsi="仿宋_GB2312"/>
        </w:rPr>
        <w:t>高光谱数据采集</w:t>
      </w:r>
      <w:r>
        <w:rPr>
          <w:rFonts w:ascii="仿宋_GB2312" w:hAnsi="仿宋_GB2312"/>
        </w:rPr>
        <w:t xml:space="preserve"> + </w:t>
      </w:r>
      <w:r>
        <w:rPr>
          <w:rFonts w:ascii="仿宋_GB2312" w:hAnsi="仿宋_GB2312"/>
        </w:rPr>
        <w:t>分类</w:t>
      </w:r>
      <w:r>
        <w:rPr>
          <w:rFonts w:ascii="仿宋_GB2312" w:hAnsi="仿宋_GB2312"/>
        </w:rPr>
        <w:t>/</w:t>
      </w:r>
      <w:r>
        <w:rPr>
          <w:rFonts w:ascii="仿宋_GB2312" w:hAnsi="仿宋_GB2312"/>
        </w:rPr>
        <w:t>回归模型</w:t>
      </w:r>
      <w:r>
        <w:rPr>
          <w:rFonts w:ascii="仿宋_GB2312" w:hAnsi="仿宋_GB2312"/>
        </w:rPr>
        <w:t xml:space="preserve"> + </w:t>
      </w:r>
      <w:r>
        <w:rPr>
          <w:rFonts w:ascii="仿宋_GB2312" w:hAnsi="仿宋_GB2312"/>
        </w:rPr>
        <w:t>可解释分析</w:t>
      </w:r>
      <w:r>
        <w:rPr>
          <w:rFonts w:ascii="仿宋_GB2312" w:hAnsi="仿宋_GB2312"/>
        </w:rPr>
        <w:t>”</w:t>
      </w:r>
      <w:r>
        <w:rPr>
          <w:rFonts w:ascii="仿宋_GB2312" w:hAnsi="仿宋_GB2312"/>
        </w:rPr>
        <w:t>的组合，高光谱负责提供连续波段信息，分类模型负责产地识别和等级判断，回归模型负责</w:t>
      </w:r>
      <w:r>
        <w:rPr>
          <w:rFonts w:ascii="仿宋_GB2312" w:hAnsi="仿宋_GB2312"/>
        </w:rPr>
        <w:t xml:space="preserve"> SSC</w:t>
      </w:r>
      <w:r>
        <w:rPr>
          <w:rFonts w:ascii="仿宋_GB2312" w:hAnsi="仿宋_GB2312"/>
        </w:rPr>
        <w:t>、</w:t>
      </w:r>
      <w:r>
        <w:rPr>
          <w:rFonts w:ascii="仿宋_GB2312" w:hAnsi="仿宋_GB2312"/>
        </w:rPr>
        <w:t xml:space="preserve">TA </w:t>
      </w:r>
      <w:r>
        <w:rPr>
          <w:rFonts w:ascii="仿宋_GB2312" w:hAnsi="仿宋_GB2312"/>
        </w:rPr>
        <w:t>等指标预测，可解释模块负责说明判断依据，这条路线与项目任务是一一对应的。</w:t>
      </w:r>
    </w:p>
    <w:p w14:paraId="4529C785" w14:textId="77777777" w:rsidR="00680242" w:rsidRDefault="00B40361">
      <w:pPr>
        <w:jc w:val="both"/>
      </w:pPr>
      <w:r>
        <w:rPr>
          <w:rFonts w:ascii="仿宋_GB2312" w:hAnsi="仿宋_GB2312"/>
        </w:rPr>
        <w:t>从成品形态看，网站端已完成首页、大屏、分析页、模型页和历史页，小程序端已完成上传、登记、查询和回看，能够完整演示</w:t>
      </w:r>
      <w:r>
        <w:rPr>
          <w:rFonts w:ascii="仿宋_GB2312" w:hAnsi="仿宋_GB2312"/>
        </w:rPr>
        <w:t>“</w:t>
      </w:r>
      <w:r>
        <w:rPr>
          <w:rFonts w:ascii="仿宋_GB2312" w:hAnsi="仿宋_GB2312"/>
        </w:rPr>
        <w:t>文件上传</w:t>
      </w:r>
      <w:r>
        <w:rPr>
          <w:rFonts w:ascii="仿宋_GB2312" w:hAnsi="仿宋_GB2312"/>
        </w:rPr>
        <w:t xml:space="preserve"> - </w:t>
      </w:r>
      <w:r>
        <w:rPr>
          <w:rFonts w:ascii="仿宋_GB2312" w:hAnsi="仿宋_GB2312"/>
        </w:rPr>
        <w:t>智能分析</w:t>
      </w:r>
      <w:r>
        <w:rPr>
          <w:rFonts w:ascii="仿宋_GB2312" w:hAnsi="仿宋_GB2312"/>
        </w:rPr>
        <w:t xml:space="preserve"> - </w:t>
      </w:r>
      <w:r>
        <w:rPr>
          <w:rFonts w:ascii="仿宋_GB2312" w:hAnsi="仿宋_GB2312"/>
        </w:rPr>
        <w:t>结果查看</w:t>
      </w:r>
      <w:r>
        <w:rPr>
          <w:rFonts w:ascii="仿宋_GB2312" w:hAnsi="仿宋_GB2312"/>
        </w:rPr>
        <w:t xml:space="preserve"> - </w:t>
      </w:r>
      <w:r>
        <w:rPr>
          <w:rFonts w:ascii="仿宋_GB2312" w:hAnsi="仿宋_GB2312"/>
        </w:rPr>
        <w:t>报告导出</w:t>
      </w:r>
      <w:r>
        <w:rPr>
          <w:rFonts w:ascii="仿宋_GB2312" w:hAnsi="仿宋_GB2312"/>
        </w:rPr>
        <w:t>”</w:t>
      </w:r>
      <w:r>
        <w:rPr>
          <w:rFonts w:ascii="仿宋_GB2312" w:hAnsi="仿宋_GB2312"/>
        </w:rPr>
        <w:t>的业务链路；系统支持</w:t>
      </w:r>
      <w:r>
        <w:rPr>
          <w:rFonts w:ascii="仿宋_GB2312" w:hAnsi="仿宋_GB2312"/>
        </w:rPr>
        <w:t xml:space="preserve"> HDR</w:t>
      </w:r>
      <w:r>
        <w:rPr>
          <w:rFonts w:ascii="仿宋_GB2312" w:hAnsi="仿宋_GB2312"/>
        </w:rPr>
        <w:t>、</w:t>
      </w:r>
      <w:r>
        <w:rPr>
          <w:rFonts w:ascii="仿宋_GB2312" w:hAnsi="仿宋_GB2312"/>
        </w:rPr>
        <w:t>RAW</w:t>
      </w:r>
      <w:r>
        <w:rPr>
          <w:rFonts w:ascii="仿宋_GB2312" w:hAnsi="仿宋_GB2312"/>
        </w:rPr>
        <w:t>、</w:t>
      </w:r>
      <w:r>
        <w:rPr>
          <w:rFonts w:ascii="仿宋_GB2312" w:hAnsi="仿宋_GB2312"/>
        </w:rPr>
        <w:t xml:space="preserve">CSV </w:t>
      </w:r>
      <w:r>
        <w:rPr>
          <w:rFonts w:ascii="仿宋_GB2312" w:hAnsi="仿宋_GB2312"/>
        </w:rPr>
        <w:t>三类文件上传，联动</w:t>
      </w:r>
      <w:r>
        <w:rPr>
          <w:rFonts w:ascii="仿宋_GB2312" w:hAnsi="仿宋_GB2312"/>
        </w:rPr>
        <w:t xml:space="preserve"> 10 </w:t>
      </w:r>
      <w:r>
        <w:rPr>
          <w:rFonts w:ascii="仿宋_GB2312" w:hAnsi="仿宋_GB2312"/>
        </w:rPr>
        <w:t>组化验样本、</w:t>
      </w:r>
      <w:r>
        <w:rPr>
          <w:rFonts w:ascii="仿宋_GB2312" w:hAnsi="仿宋_GB2312"/>
        </w:rPr>
        <w:t xml:space="preserve">100 </w:t>
      </w:r>
      <w:r>
        <w:rPr>
          <w:rFonts w:ascii="仿宋_GB2312" w:hAnsi="仿宋_GB2312"/>
        </w:rPr>
        <w:t>个连续波段点位，并可展示澄迈福橙与琼中绿橙的对比分析。后续重点主要是扩样本、补季节和批次、提高标签精度、提升跨批次稳定性。</w:t>
      </w:r>
    </w:p>
    <w:p w14:paraId="6ED80105" w14:textId="77777777" w:rsidR="00680242" w:rsidRDefault="00B40361">
      <w:pPr>
        <w:pStyle w:val="21"/>
        <w:ind w:firstLine="0"/>
      </w:pPr>
      <w:r>
        <w:rPr>
          <w:rFonts w:ascii="楷体_GB2312" w:eastAsia="楷体_GB2312" w:hAnsi="楷体_GB2312"/>
        </w:rPr>
        <w:t xml:space="preserve">3.3 </w:t>
      </w:r>
      <w:r>
        <w:rPr>
          <w:rFonts w:ascii="楷体_GB2312" w:eastAsia="楷体_GB2312" w:hAnsi="楷体_GB2312"/>
        </w:rPr>
        <w:t>经济可行性</w:t>
      </w:r>
    </w:p>
    <w:p w14:paraId="6FAC167F" w14:textId="77777777" w:rsidR="00680242" w:rsidRDefault="00B40361">
      <w:pPr>
        <w:jc w:val="both"/>
      </w:pPr>
      <w:r>
        <w:rPr>
          <w:rFonts w:ascii="仿宋_GB2312" w:hAnsi="仿宋_GB2312"/>
        </w:rPr>
        <w:t>经济可行性主要来自轻资产投入和明确的收入路径。项目早期投入集中在样本采集、理化标定、模型训练、服务器和双端维护上，不需要先建设重资产硬件体系，资金结构相对可控，适合竞赛项目和高校团队分阶段推进。</w:t>
      </w:r>
    </w:p>
    <w:p w14:paraId="37E805BE" w14:textId="77777777" w:rsidR="00680242" w:rsidRDefault="00B40361">
      <w:pPr>
        <w:jc w:val="both"/>
      </w:pPr>
      <w:r>
        <w:rPr>
          <w:rFonts w:ascii="仿宋_GB2312" w:hAnsi="仿宋_GB2312"/>
        </w:rPr>
        <w:t>收入端已与交付内容形成对应关系：批次文件分析服务对应分选和验货场景，年度账号服务对应长期使用客户，溯源报告和定制模型服务对应区域品牌和重点合作方。</w:t>
      </w:r>
      <w:r>
        <w:rPr>
          <w:rFonts w:ascii="仿宋_GB2312" w:hAnsi="仿宋_GB2312"/>
        </w:rPr>
        <w:lastRenderedPageBreak/>
        <w:t>商业化推进顺序可按照分析服务、年度订阅和区域共建依次展开，使现金流和交付能力保持同步增长。</w:t>
      </w:r>
    </w:p>
    <w:p w14:paraId="5B310A63" w14:textId="77777777" w:rsidR="00680242" w:rsidRDefault="00B40361">
      <w:pPr>
        <w:pStyle w:val="21"/>
        <w:ind w:firstLine="0"/>
      </w:pPr>
      <w:r>
        <w:rPr>
          <w:rFonts w:ascii="楷体_GB2312" w:eastAsia="楷体_GB2312" w:hAnsi="楷体_GB2312"/>
        </w:rPr>
        <w:t xml:space="preserve">3.4 </w:t>
      </w:r>
      <w:r>
        <w:rPr>
          <w:rFonts w:ascii="楷体_GB2312" w:eastAsia="楷体_GB2312" w:hAnsi="楷体_GB2312"/>
        </w:rPr>
        <w:t>运营可行性</w:t>
      </w:r>
    </w:p>
    <w:p w14:paraId="036852EF" w14:textId="77777777" w:rsidR="00680242" w:rsidRDefault="00B40361">
      <w:pPr>
        <w:jc w:val="both"/>
      </w:pPr>
      <w:r>
        <w:rPr>
          <w:rFonts w:ascii="仿宋_GB2312" w:hAnsi="仿宋_GB2312"/>
        </w:rPr>
        <w:t>运营可行性的基础在于团队和资源已经形成支撑。团队已把技术研发、页面呈现和项目表达三条线跑通，高校实验室、孵化资源和赛事平台能够继续支撑样本组织、研发推进和阶段展示，这使项目从竞赛文本走向场景试点具备现实条件。</w:t>
      </w:r>
    </w:p>
    <w:p w14:paraId="54423B91" w14:textId="77777777" w:rsidR="00680242" w:rsidRDefault="00B40361">
      <w:pPr>
        <w:jc w:val="both"/>
      </w:pPr>
      <w:r>
        <w:rPr>
          <w:rFonts w:ascii="仿宋_GB2312" w:hAnsi="仿宋_GB2312"/>
        </w:rPr>
        <w:t>项目推进路径可分为成品展示、试点验证、标准沉淀和区域复制四个阶段。网站端和小程序端已具备演示与试用条件，合作方可直接体验上传、分析、查询和回溯流程，对接路径较为明确。</w:t>
      </w:r>
    </w:p>
    <w:p w14:paraId="0BF411FB" w14:textId="77777777" w:rsidR="00680242" w:rsidRDefault="00680242">
      <w:pPr>
        <w:sectPr w:rsidR="00680242">
          <w:pgSz w:w="11906" w:h="16838"/>
          <w:pgMar w:top="1417" w:right="1417" w:bottom="1417" w:left="1417" w:header="850" w:footer="992" w:gutter="0"/>
          <w:cols w:space="720"/>
          <w:docGrid w:linePitch="360"/>
        </w:sectPr>
      </w:pPr>
    </w:p>
    <w:p w14:paraId="2D6277AB" w14:textId="77777777" w:rsidR="00680242" w:rsidRDefault="00B40361">
      <w:pPr>
        <w:pStyle w:val="1"/>
        <w:ind w:firstLine="0"/>
      </w:pPr>
      <w:r>
        <w:rPr>
          <w:rFonts w:ascii="黑体" w:eastAsia="黑体" w:hAnsi="黑体"/>
        </w:rPr>
        <w:lastRenderedPageBreak/>
        <w:t>第四章</w:t>
      </w:r>
      <w:r>
        <w:rPr>
          <w:rFonts w:ascii="黑体" w:eastAsia="黑体" w:hAnsi="黑体"/>
        </w:rPr>
        <w:t xml:space="preserve"> </w:t>
      </w:r>
      <w:r>
        <w:rPr>
          <w:rFonts w:ascii="黑体" w:eastAsia="黑体" w:hAnsi="黑体"/>
        </w:rPr>
        <w:t>市场优势</w:t>
      </w:r>
    </w:p>
    <w:p w14:paraId="3595986A" w14:textId="77777777" w:rsidR="00680242" w:rsidRDefault="00B40361">
      <w:pPr>
        <w:pStyle w:val="21"/>
        <w:ind w:firstLine="0"/>
      </w:pPr>
      <w:r>
        <w:rPr>
          <w:rFonts w:ascii="楷体_GB2312" w:eastAsia="楷体_GB2312" w:hAnsi="楷体_GB2312"/>
        </w:rPr>
        <w:t xml:space="preserve">4.1 </w:t>
      </w:r>
      <w:r>
        <w:rPr>
          <w:rFonts w:ascii="楷体_GB2312" w:eastAsia="楷体_GB2312" w:hAnsi="楷体_GB2312"/>
        </w:rPr>
        <w:t>检测市场分析</w:t>
      </w:r>
    </w:p>
    <w:p w14:paraId="4704E450" w14:textId="77777777" w:rsidR="00680242" w:rsidRDefault="00B40361">
      <w:pPr>
        <w:jc w:val="both"/>
      </w:pPr>
      <w:r>
        <w:rPr>
          <w:rFonts w:ascii="仿宋_GB2312" w:hAnsi="仿宋_GB2312"/>
        </w:rPr>
        <w:t>从行业基本盘看，橙类品质检测与产地识别具有稳定需求。农业农村部公开资料显示，我国柑橘种植面积约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月农产品供需形势分析月报（水果）》显示，</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公斤，同比下降</w:t>
      </w:r>
      <w:r>
        <w:rPr>
          <w:rFonts w:ascii="仿宋_GB2312" w:hAnsi="仿宋_GB2312"/>
        </w:rPr>
        <w:t>12.5%</w:t>
      </w:r>
      <w:r>
        <w:rPr>
          <w:rFonts w:ascii="仿宋_GB2312" w:hAnsi="仿宋_GB2312"/>
        </w:rPr>
        <w:t>。在该市场环境下，分级稳定性、品质说明能力和产地表达能力直接影响渠道稳定性和利润空间。</w:t>
      </w:r>
    </w:p>
    <w:p w14:paraId="21B7A7AF" w14:textId="77777777" w:rsidR="00680242" w:rsidRDefault="00B40361">
      <w:pPr>
        <w:jc w:val="both"/>
      </w:pPr>
      <w:r>
        <w:rPr>
          <w:rFonts w:ascii="仿宋_GB2312" w:hAnsi="仿宋_GB2312"/>
        </w:rPr>
        <w:t>从项目切入场景看，海南特色水果产业给出了明确落点。根据海南省统计局发布的《海南省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年海南水果总产量达到</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澄迈福橙、琼中绿橙等区域品牌果品同时存在等级识别、产地证明和品牌表达需求；礼盒果、电商果、商超定制果和节庆促销果等销售形态的增加，也推动检测需求向快速分析、数据沉淀和报告输出延伸。项目对应的正是这一类业务需求。</w:t>
      </w:r>
    </w:p>
    <w:p w14:paraId="1DA89727" w14:textId="77777777" w:rsidR="00680242" w:rsidRDefault="00B40361">
      <w:pPr>
        <w:pStyle w:val="21"/>
        <w:ind w:firstLine="0"/>
      </w:pPr>
      <w:r>
        <w:rPr>
          <w:rFonts w:ascii="楷体_GB2312" w:eastAsia="楷体_GB2312" w:hAnsi="楷体_GB2312"/>
        </w:rPr>
        <w:t xml:space="preserve">4.2 </w:t>
      </w:r>
      <w:r>
        <w:rPr>
          <w:rFonts w:ascii="楷体_GB2312" w:eastAsia="楷体_GB2312" w:hAnsi="楷体_GB2312"/>
        </w:rPr>
        <w:t>行业痛点与需求结构</w:t>
      </w:r>
    </w:p>
    <w:p w14:paraId="67BB7DF2" w14:textId="77777777" w:rsidR="00680242" w:rsidRDefault="00B40361">
      <w:pPr>
        <w:jc w:val="both"/>
      </w:pPr>
      <w:r>
        <w:rPr>
          <w:rFonts w:ascii="仿宋_GB2312" w:hAnsi="仿宋_GB2312"/>
        </w:rPr>
        <w:t>当前行业痛点主要集中在三个方面。传统理化检测更适合作为验证和仲裁依据，流程长、批量慢，难以承接分选中心、电商出货、节庆礼盒和采购验收中的高频快速判断任务；人工经验分级受人员差异影响较大，果品一旦跨地区流通、跨渠道交付，就很难形成统一口径。</w:t>
      </w:r>
    </w:p>
    <w:p w14:paraId="1EDB9165" w14:textId="77777777" w:rsidR="00680242" w:rsidRDefault="00B40361">
      <w:pPr>
        <w:jc w:val="both"/>
      </w:pPr>
      <w:r>
        <w:rPr>
          <w:rFonts w:ascii="仿宋_GB2312" w:hAnsi="仿宋_GB2312"/>
        </w:rPr>
        <w:t>许多区域品牌果品虽然做过抽检，但检测结果往往停留在内部文件中，没有形成连续样本档案、批次对照数据和图文化材料，难以进入渠道沟通和品牌表达环节。行业需求集中在文件上传、结果复核、历史查询和报告外发一体化工具建设上，橙源智鉴对应的正是这一环节。</w:t>
      </w:r>
    </w:p>
    <w:p w14:paraId="6865996B" w14:textId="77777777" w:rsidR="00680242" w:rsidRDefault="00B40361">
      <w:pPr>
        <w:pStyle w:val="21"/>
        <w:ind w:firstLine="0"/>
      </w:pPr>
      <w:r>
        <w:rPr>
          <w:rFonts w:ascii="楷体_GB2312" w:eastAsia="楷体_GB2312" w:hAnsi="楷体_GB2312"/>
        </w:rPr>
        <w:t xml:space="preserve">4.3 </w:t>
      </w:r>
      <w:r>
        <w:rPr>
          <w:rFonts w:ascii="楷体_GB2312" w:eastAsia="楷体_GB2312" w:hAnsi="楷体_GB2312"/>
        </w:rPr>
        <w:t>用户分析</w:t>
      </w:r>
    </w:p>
    <w:p w14:paraId="1CBB93E3" w14:textId="77777777" w:rsidR="00680242" w:rsidRDefault="00B40361">
      <w:pPr>
        <w:jc w:val="both"/>
      </w:pPr>
      <w:r>
        <w:rPr>
          <w:rFonts w:ascii="仿宋_GB2312" w:hAnsi="仿宋_GB2312"/>
        </w:rPr>
        <w:t>从用户结构看，果园、合作社、分选中心和初加工主体是核心用户之一。该类用户重点关注上传效率、分级准确性和批次记录完整性，因此对网站端的批量分析能力和小程序端的现场回看能力需求较高。</w:t>
      </w:r>
    </w:p>
    <w:p w14:paraId="63252229" w14:textId="77777777" w:rsidR="00680242" w:rsidRDefault="00B40361">
      <w:pPr>
        <w:jc w:val="both"/>
      </w:pPr>
      <w:r>
        <w:rPr>
          <w:rFonts w:ascii="仿宋_GB2312" w:hAnsi="仿宋_GB2312"/>
        </w:rPr>
        <w:lastRenderedPageBreak/>
        <w:t>品牌运营方、电商渠道、商超采购和礼盒定制客户构成另一组核心用户。该类用户除关注结果本身外，还关注结果在议价、展示和对外说明中的使用，因此对报告输出、历史档案、移动查询和分享功能依赖较高。地方监管辅助场景、区域品牌服务机构、高校团队和科研院所则更关注标准流程、样本管理和后续扩展。</w:t>
      </w:r>
    </w:p>
    <w:p w14:paraId="229C6FAA" w14:textId="77777777" w:rsidR="00680242" w:rsidRDefault="00B40361">
      <w:pPr>
        <w:pStyle w:val="21"/>
        <w:ind w:firstLine="0"/>
      </w:pPr>
      <w:r>
        <w:rPr>
          <w:rFonts w:ascii="楷体_GB2312" w:eastAsia="楷体_GB2312" w:hAnsi="楷体_GB2312"/>
        </w:rPr>
        <w:t xml:space="preserve">4.4 </w:t>
      </w:r>
      <w:r>
        <w:rPr>
          <w:rFonts w:ascii="楷体_GB2312" w:eastAsia="楷体_GB2312" w:hAnsi="楷体_GB2312"/>
        </w:rPr>
        <w:t>竞争分析</w:t>
      </w:r>
    </w:p>
    <w:p w14:paraId="66748E65" w14:textId="77777777" w:rsidR="00680242" w:rsidRDefault="00B40361">
      <w:pPr>
        <w:jc w:val="both"/>
      </w:pPr>
      <w:r>
        <w:rPr>
          <w:rFonts w:ascii="仿宋_GB2312" w:hAnsi="仿宋_GB2312"/>
        </w:rPr>
        <w:t>从竞争关系看，传统检测机构和实验室方案的优势在于精密检测和标准仲裁，但其周期较长、场景较重，难以进入高频现场。橙源智鉴主要承担日常分级、验货和品牌表达中的快速判断任务。</w:t>
      </w:r>
    </w:p>
    <w:p w14:paraId="20879707" w14:textId="77777777" w:rsidR="00680242" w:rsidRDefault="00B40361">
      <w:pPr>
        <w:jc w:val="both"/>
      </w:pPr>
      <w:r>
        <w:rPr>
          <w:rFonts w:ascii="仿宋_GB2312" w:hAnsi="仿宋_GB2312"/>
        </w:rPr>
        <w:t>另一类竞争来自通用机器视觉、分选装备和单点光谱设备，这类方案能够处理外观缺陷、颜色判断和尺寸分选，但对内部品质、产地差异和多指标联合表达的支撑仍然有限。橙源智鉴将高光谱采集、等级识别、产地溯源、指标估计、可解释分析和双端报告纳入同一套系统，并以区域样本库、批次历史档案、双端产品闭环和场景案例构成当前阶段的主要竞争壁垒。</w:t>
      </w:r>
    </w:p>
    <w:p w14:paraId="0CB9B552" w14:textId="77777777" w:rsidR="00680242" w:rsidRDefault="00680242">
      <w:pPr>
        <w:sectPr w:rsidR="00680242">
          <w:pgSz w:w="11906" w:h="16838"/>
          <w:pgMar w:top="1417" w:right="1417" w:bottom="1417" w:left="1417" w:header="850" w:footer="992" w:gutter="0"/>
          <w:cols w:space="720"/>
          <w:docGrid w:linePitch="360"/>
        </w:sectPr>
      </w:pPr>
    </w:p>
    <w:p w14:paraId="4B6DD318" w14:textId="77777777" w:rsidR="00680242" w:rsidRDefault="00B40361">
      <w:pPr>
        <w:pStyle w:val="1"/>
        <w:ind w:firstLine="0"/>
      </w:pPr>
      <w:r>
        <w:rPr>
          <w:rFonts w:ascii="黑体" w:eastAsia="黑体" w:hAnsi="黑体"/>
        </w:rPr>
        <w:lastRenderedPageBreak/>
        <w:t>第五章</w:t>
      </w:r>
      <w:r>
        <w:rPr>
          <w:rFonts w:ascii="黑体" w:eastAsia="黑体" w:hAnsi="黑体"/>
        </w:rPr>
        <w:t xml:space="preserve"> </w:t>
      </w:r>
      <w:r>
        <w:rPr>
          <w:rFonts w:ascii="黑体" w:eastAsia="黑体" w:hAnsi="黑体"/>
        </w:rPr>
        <w:t>技术策略</w:t>
      </w:r>
    </w:p>
    <w:p w14:paraId="4F48246C" w14:textId="77777777" w:rsidR="00680242" w:rsidRDefault="00B40361">
      <w:pPr>
        <w:pStyle w:val="21"/>
        <w:ind w:firstLine="0"/>
      </w:pPr>
      <w:r>
        <w:rPr>
          <w:rFonts w:ascii="楷体_GB2312" w:eastAsia="楷体_GB2312" w:hAnsi="楷体_GB2312"/>
        </w:rPr>
        <w:t xml:space="preserve">5.1 </w:t>
      </w:r>
      <w:r>
        <w:rPr>
          <w:rFonts w:ascii="楷体_GB2312" w:eastAsia="楷体_GB2312" w:hAnsi="楷体_GB2312"/>
        </w:rPr>
        <w:t>总体技术路线</w:t>
      </w:r>
    </w:p>
    <w:p w14:paraId="1DAA21DF" w14:textId="77777777" w:rsidR="00680242" w:rsidRDefault="00B40361">
      <w:pPr>
        <w:ind w:firstLine="0"/>
      </w:pPr>
      <w:r>
        <w:rPr>
          <w:rFonts w:ascii="仿宋_GB2312" w:hAnsi="仿宋_GB2312"/>
        </w:rPr>
        <w:t xml:space="preserve">5.1.1 </w:t>
      </w:r>
      <w:r>
        <w:rPr>
          <w:rFonts w:ascii="仿宋_GB2312" w:hAnsi="仿宋_GB2312"/>
        </w:rPr>
        <w:t>样本采集与标签体系</w:t>
      </w:r>
    </w:p>
    <w:p w14:paraId="22E22B4D" w14:textId="77777777" w:rsidR="00680242" w:rsidRDefault="00B40361">
      <w:pPr>
        <w:jc w:val="both"/>
      </w:pPr>
      <w:r>
        <w:rPr>
          <w:rFonts w:ascii="仿宋_GB2312" w:hAnsi="仿宋_GB2312"/>
        </w:rPr>
        <w:t>系统输入侧已明确为高光谱数据文件和标准检测数据文件两类。每个样本需同步关联产地、批次、成熟度、采样时间、糖度（</w:t>
      </w:r>
      <w:r>
        <w:rPr>
          <w:rFonts w:ascii="仿宋_GB2312" w:hAnsi="仿宋_GB2312"/>
        </w:rPr>
        <w:t>SSC</w:t>
      </w:r>
      <w:r>
        <w:rPr>
          <w:rFonts w:ascii="仿宋_GB2312" w:hAnsi="仿宋_GB2312"/>
        </w:rPr>
        <w:t>）、酸度（</w:t>
      </w:r>
      <w:r>
        <w:rPr>
          <w:rFonts w:ascii="仿宋_GB2312" w:hAnsi="仿宋_GB2312"/>
        </w:rPr>
        <w:t>TA</w:t>
      </w:r>
      <w:r>
        <w:rPr>
          <w:rFonts w:ascii="仿宋_GB2312" w:hAnsi="仿宋_GB2312"/>
        </w:rPr>
        <w:t>）、糖酸比、维生素</w:t>
      </w:r>
      <w:r>
        <w:rPr>
          <w:rFonts w:ascii="仿宋_GB2312" w:hAnsi="仿宋_GB2312"/>
        </w:rPr>
        <w:t>C</w:t>
      </w:r>
      <w:r>
        <w:rPr>
          <w:rFonts w:ascii="仿宋_GB2312" w:hAnsi="仿宋_GB2312"/>
        </w:rPr>
        <w:t>等标签，保证上传文件进入系统后能够形成可训练、可查询、可追溯的数据单元。</w:t>
      </w:r>
    </w:p>
    <w:p w14:paraId="59A3E0CB" w14:textId="77777777" w:rsidR="00680242" w:rsidRDefault="00B40361">
      <w:pPr>
        <w:jc w:val="both"/>
      </w:pPr>
      <w:r>
        <w:rPr>
          <w:rFonts w:ascii="仿宋_GB2312" w:hAnsi="仿宋_GB2312"/>
        </w:rPr>
        <w:t>结合现有系统字段设计，项目已经具备产地、品质指标和样本曲线的组织能力。后续重点是将现有样例字段扩展为标准化样本库，确保同一批次文件、理化标签和分析结果能够一一对应。</w:t>
      </w:r>
    </w:p>
    <w:p w14:paraId="7EF3B1F2" w14:textId="77777777" w:rsidR="00680242" w:rsidRDefault="00B40361">
      <w:pPr>
        <w:ind w:firstLine="0"/>
      </w:pPr>
      <w:r>
        <w:rPr>
          <w:rFonts w:ascii="仿宋_GB2312" w:hAnsi="仿宋_GB2312"/>
        </w:rPr>
        <w:t xml:space="preserve">5.1.2 </w:t>
      </w:r>
      <w:r>
        <w:rPr>
          <w:rFonts w:ascii="仿宋_GB2312" w:hAnsi="仿宋_GB2312"/>
        </w:rPr>
        <w:t>数据处理与多任务建模</w:t>
      </w:r>
    </w:p>
    <w:p w14:paraId="65FE87D3" w14:textId="77777777" w:rsidR="00680242" w:rsidRDefault="00B40361">
      <w:pPr>
        <w:jc w:val="both"/>
      </w:pPr>
      <w:r>
        <w:rPr>
          <w:rFonts w:ascii="仿宋_GB2312" w:hAnsi="仿宋_GB2312"/>
        </w:rPr>
        <w:t>数据处理流程采用文件解析、异常值清洗、特征降维和多任务建模的顺序推进。高光谱数据天然维度较高，需要先完成预处理和波段筛选，再进入分类与回归模型，以保证模型效率和结论稳定性。</w:t>
      </w:r>
    </w:p>
    <w:p w14:paraId="70AD8DAE" w14:textId="77777777" w:rsidR="00680242" w:rsidRDefault="00B40361">
      <w:pPr>
        <w:jc w:val="both"/>
      </w:pPr>
      <w:r>
        <w:rPr>
          <w:rFonts w:ascii="仿宋_GB2312" w:hAnsi="仿宋_GB2312"/>
        </w:rPr>
        <w:t>分类模型负责等级识别与产地判定，回归模型负责糖度、酸度等品质指标估计，异常识别模块负责提示偏离样本库分布的批次。多任务并行后，系统可以在一次上传中同时输出分级结论、产地结论和品质指标区间。</w:t>
      </w:r>
    </w:p>
    <w:p w14:paraId="4D2138DB" w14:textId="77777777" w:rsidR="00680242" w:rsidRDefault="00B40361">
      <w:pPr>
        <w:ind w:firstLine="0"/>
      </w:pPr>
      <w:r>
        <w:rPr>
          <w:rFonts w:ascii="仿宋_GB2312" w:hAnsi="仿宋_GB2312"/>
        </w:rPr>
        <w:t xml:space="preserve">5.1.3 </w:t>
      </w:r>
      <w:r>
        <w:rPr>
          <w:rFonts w:ascii="仿宋_GB2312" w:hAnsi="仿宋_GB2312"/>
        </w:rPr>
        <w:t>平台集成与结果输出</w:t>
      </w:r>
    </w:p>
    <w:p w14:paraId="0E8F1216" w14:textId="77777777" w:rsidR="00680242" w:rsidRDefault="00B40361">
      <w:pPr>
        <w:jc w:val="both"/>
      </w:pPr>
      <w:r>
        <w:rPr>
          <w:rFonts w:ascii="仿宋_GB2312" w:hAnsi="仿宋_GB2312"/>
        </w:rPr>
        <w:t>平台集成环节已经完成网站端与小程序端的产品承接。网站端用于批量上传、结果对比、模型解释、历史管理和报告导出，小程序端用于移动采样登记、单样本上传、结果查询和快捷分享。双端输出可使同一批次结果被现场人员、管理人员和品牌方同时调用。当前页面已能够展示</w:t>
      </w:r>
      <w:r>
        <w:rPr>
          <w:rFonts w:ascii="仿宋_GB2312" w:hAnsi="仿宋_GB2312"/>
        </w:rPr>
        <w:t xml:space="preserve"> 1.2 </w:t>
      </w:r>
      <w:r>
        <w:rPr>
          <w:rFonts w:ascii="仿宋_GB2312" w:hAnsi="仿宋_GB2312"/>
        </w:rPr>
        <w:t>秒分析完成、</w:t>
      </w:r>
      <w:r>
        <w:rPr>
          <w:rFonts w:ascii="仿宋_GB2312" w:hAnsi="仿宋_GB2312"/>
        </w:rPr>
        <w:t xml:space="preserve">98.5% </w:t>
      </w:r>
      <w:r>
        <w:rPr>
          <w:rFonts w:ascii="仿宋_GB2312" w:hAnsi="仿宋_GB2312"/>
        </w:rPr>
        <w:t>产地识别置信度、</w:t>
      </w:r>
      <w:r>
        <w:rPr>
          <w:rFonts w:ascii="仿宋_GB2312" w:hAnsi="仿宋_GB2312"/>
        </w:rPr>
        <w:t xml:space="preserve">SSC </w:t>
      </w:r>
      <w:r>
        <w:rPr>
          <w:rFonts w:ascii="仿宋_GB2312" w:hAnsi="仿宋_GB2312"/>
        </w:rPr>
        <w:t>预测误差</w:t>
      </w:r>
      <w:r>
        <w:rPr>
          <w:rFonts w:ascii="仿宋_GB2312" w:hAnsi="仿宋_GB2312"/>
        </w:rPr>
        <w:t xml:space="preserve"> ±0.3% </w:t>
      </w:r>
      <w:r>
        <w:rPr>
          <w:rFonts w:ascii="仿宋_GB2312" w:hAnsi="仿宋_GB2312"/>
        </w:rPr>
        <w:t>等结果卡片，并输出面向业务动作的自然语言报告。</w:t>
      </w:r>
    </w:p>
    <w:p w14:paraId="21B59861" w14:textId="77777777" w:rsidR="00680242" w:rsidRDefault="00B40361">
      <w:pPr>
        <w:jc w:val="both"/>
      </w:pPr>
      <w:r>
        <w:rPr>
          <w:rFonts w:ascii="仿宋_GB2312" w:hAnsi="仿宋_GB2312"/>
        </w:rPr>
        <w:t>报告生成模块将等级结论、产地结果、关键指标区间、样本曲线和历史记录整合为标准化输出，使技术结果能够直接进入基地分级、渠道验货、品牌说明和项目汇报等使用场景。</w:t>
      </w:r>
    </w:p>
    <w:p w14:paraId="4EA39887" w14:textId="77777777" w:rsidR="00680242" w:rsidRDefault="00B40361">
      <w:pPr>
        <w:pStyle w:val="21"/>
        <w:ind w:firstLine="0"/>
      </w:pPr>
      <w:r>
        <w:rPr>
          <w:rFonts w:ascii="楷体_GB2312" w:eastAsia="楷体_GB2312" w:hAnsi="楷体_GB2312"/>
        </w:rPr>
        <w:t xml:space="preserve">5.2 </w:t>
      </w:r>
      <w:r>
        <w:rPr>
          <w:rFonts w:ascii="楷体_GB2312" w:eastAsia="楷体_GB2312" w:hAnsi="楷体_GB2312"/>
        </w:rPr>
        <w:t>实验设计与标准化流程</w:t>
      </w:r>
    </w:p>
    <w:p w14:paraId="751F6455" w14:textId="77777777" w:rsidR="00680242" w:rsidRDefault="00B40361">
      <w:pPr>
        <w:ind w:firstLine="0"/>
      </w:pPr>
      <w:r>
        <w:rPr>
          <w:rFonts w:ascii="仿宋_GB2312" w:hAnsi="仿宋_GB2312"/>
        </w:rPr>
        <w:t xml:space="preserve">5.2.1 </w:t>
      </w:r>
      <w:r>
        <w:rPr>
          <w:rFonts w:ascii="仿宋_GB2312" w:hAnsi="仿宋_GB2312"/>
        </w:rPr>
        <w:t>样本分层设计</w:t>
      </w:r>
    </w:p>
    <w:p w14:paraId="5059034B" w14:textId="77777777" w:rsidR="00680242" w:rsidRDefault="00B40361">
      <w:pPr>
        <w:jc w:val="both"/>
      </w:pPr>
      <w:r>
        <w:rPr>
          <w:rFonts w:ascii="仿宋_GB2312" w:hAnsi="仿宋_GB2312"/>
        </w:rPr>
        <w:lastRenderedPageBreak/>
        <w:t>实验设计需要优先解决样本代表性问题。对于橙类项目而言，至少应围绕不同产地、不同批次、不同成熟度和不同品质区间进行分层采样，避免样本只集中于某一时间段或某一基地，导致模型学到局部特征。若条件允许，还应把同一产地的不同采后天数和不同储运条件纳入样本设计，以增强模型面向真实业务场景的适应性。</w:t>
      </w:r>
    </w:p>
    <w:p w14:paraId="01E03C2D" w14:textId="77777777" w:rsidR="00680242" w:rsidRDefault="00B40361">
      <w:pPr>
        <w:ind w:firstLine="0"/>
      </w:pPr>
      <w:r>
        <w:rPr>
          <w:rFonts w:ascii="仿宋_GB2312" w:hAnsi="仿宋_GB2312"/>
        </w:rPr>
        <w:t xml:space="preserve">5.2.2 </w:t>
      </w:r>
      <w:r>
        <w:rPr>
          <w:rFonts w:ascii="仿宋_GB2312" w:hAnsi="仿宋_GB2312"/>
        </w:rPr>
        <w:t>采集环境与流程规范</w:t>
      </w:r>
    </w:p>
    <w:p w14:paraId="12713B5B" w14:textId="77777777" w:rsidR="00680242" w:rsidRDefault="00B40361">
      <w:pPr>
        <w:jc w:val="both"/>
      </w:pPr>
      <w:r>
        <w:rPr>
          <w:rFonts w:ascii="仿宋_GB2312" w:hAnsi="仿宋_GB2312"/>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1CFEBD99" w14:textId="77777777" w:rsidR="00680242" w:rsidRDefault="00B40361">
      <w:pPr>
        <w:ind w:firstLine="0"/>
      </w:pPr>
      <w:r>
        <w:rPr>
          <w:rFonts w:ascii="仿宋_GB2312" w:hAnsi="仿宋_GB2312"/>
        </w:rPr>
        <w:t xml:space="preserve">5.2.3 </w:t>
      </w:r>
      <w:r>
        <w:rPr>
          <w:rFonts w:ascii="仿宋_GB2312" w:hAnsi="仿宋_GB2312"/>
        </w:rPr>
        <w:t>训练验证与迭代机制</w:t>
      </w:r>
    </w:p>
    <w:p w14:paraId="73BC4F26" w14:textId="77777777" w:rsidR="00680242" w:rsidRDefault="00B40361">
      <w:pPr>
        <w:jc w:val="both"/>
      </w:pPr>
      <w:r>
        <w:rPr>
          <w:rFonts w:ascii="仿宋_GB2312" w:hAnsi="仿宋_GB2312"/>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可复现、可比较的研发台账。</w:t>
      </w:r>
    </w:p>
    <w:p w14:paraId="1A356A54" w14:textId="77777777" w:rsidR="00680242" w:rsidRDefault="00B40361">
      <w:pPr>
        <w:pStyle w:val="21"/>
        <w:ind w:firstLine="0"/>
      </w:pPr>
      <w:r>
        <w:rPr>
          <w:rFonts w:ascii="楷体_GB2312" w:eastAsia="楷体_GB2312" w:hAnsi="楷体_GB2312"/>
        </w:rPr>
        <w:t xml:space="preserve">5.3 </w:t>
      </w:r>
      <w:r>
        <w:rPr>
          <w:rFonts w:ascii="楷体_GB2312" w:eastAsia="楷体_GB2312" w:hAnsi="楷体_GB2312"/>
        </w:rPr>
        <w:t>核心算法与模型策略</w:t>
      </w:r>
    </w:p>
    <w:p w14:paraId="0E3CE65F" w14:textId="77777777" w:rsidR="00680242" w:rsidRDefault="00B40361">
      <w:pPr>
        <w:ind w:firstLine="0"/>
      </w:pPr>
      <w:r>
        <w:rPr>
          <w:rFonts w:ascii="仿宋_GB2312" w:hAnsi="仿宋_GB2312"/>
        </w:rPr>
        <w:t xml:space="preserve">5.3.1 </w:t>
      </w:r>
      <w:r>
        <w:rPr>
          <w:rFonts w:ascii="仿宋_GB2312" w:hAnsi="仿宋_GB2312"/>
        </w:rPr>
        <w:t>产地分类模型路径</w:t>
      </w:r>
    </w:p>
    <w:p w14:paraId="515E736C" w14:textId="77777777" w:rsidR="00680242" w:rsidRDefault="00B40361">
      <w:pPr>
        <w:jc w:val="both"/>
      </w:pPr>
      <w:r>
        <w:rPr>
          <w:rFonts w:ascii="仿宋_GB2312" w:hAnsi="仿宋_GB2312"/>
        </w:rPr>
        <w:t>当前项目已经形成模型对比思路，团队围绕</w:t>
      </w:r>
      <w:r>
        <w:rPr>
          <w:rFonts w:ascii="仿宋_GB2312" w:hAnsi="仿宋_GB2312"/>
        </w:rPr>
        <w:t xml:space="preserve"> 1D-CNN</w:t>
      </w:r>
      <w:r>
        <w:rPr>
          <w:rFonts w:ascii="仿宋_GB2312" w:hAnsi="仿宋_GB2312"/>
        </w:rPr>
        <w:t>、</w:t>
      </w:r>
      <w:r>
        <w:rPr>
          <w:rFonts w:ascii="仿宋_GB2312" w:hAnsi="仿宋_GB2312"/>
        </w:rPr>
        <w:t>SVM</w:t>
      </w:r>
      <w:r>
        <w:rPr>
          <w:rFonts w:ascii="仿宋_GB2312" w:hAnsi="仿宋_GB2312"/>
        </w:rPr>
        <w:t>、</w:t>
      </w:r>
      <w:r>
        <w:rPr>
          <w:rFonts w:ascii="仿宋_GB2312" w:hAnsi="仿宋_GB2312"/>
        </w:rPr>
        <w:t>PLS-DA</w:t>
      </w:r>
      <w:r>
        <w:rPr>
          <w:rFonts w:ascii="仿宋_GB2312" w:hAnsi="仿宋_GB2312"/>
        </w:rPr>
        <w:t>、随机森林等分类路径建立了展示框架。产地识别任务既涉及传统小样本模型的稳定性，也涉及深度模型在复杂特征提取上的能力，因此可先以可解释性较强的基线模型建立参照，再逐步引入</w:t>
      </w:r>
      <w:r>
        <w:rPr>
          <w:rFonts w:ascii="仿宋_GB2312" w:hAnsi="仿宋_GB2312"/>
        </w:rPr>
        <w:t xml:space="preserve"> 1D-CNN </w:t>
      </w:r>
      <w:r>
        <w:rPr>
          <w:rFonts w:ascii="仿宋_GB2312" w:hAnsi="仿宋_GB2312"/>
        </w:rPr>
        <w:t>等模型提升分类能力。当前系统已能够将</w:t>
      </w:r>
      <w:r>
        <w:rPr>
          <w:rFonts w:ascii="仿宋_GB2312" w:hAnsi="仿宋_GB2312"/>
        </w:rPr>
        <w:t>“</w:t>
      </w:r>
      <w:r>
        <w:rPr>
          <w:rFonts w:ascii="仿宋_GB2312" w:hAnsi="仿宋_GB2312"/>
        </w:rPr>
        <w:t>产地置信度</w:t>
      </w:r>
      <w:r>
        <w:rPr>
          <w:rFonts w:ascii="仿宋_GB2312" w:hAnsi="仿宋_GB2312"/>
        </w:rPr>
        <w:t xml:space="preserve"> 98.5%”</w:t>
      </w:r>
      <w:r>
        <w:rPr>
          <w:rFonts w:ascii="仿宋_GB2312" w:hAnsi="仿宋_GB2312"/>
        </w:rPr>
        <w:t>等结论与页面、报告和样本曲线联动呈现。</w:t>
      </w:r>
    </w:p>
    <w:p w14:paraId="2F7ED6D1" w14:textId="77777777" w:rsidR="00680242" w:rsidRDefault="00B40361">
      <w:pPr>
        <w:ind w:firstLine="0"/>
      </w:pPr>
      <w:r>
        <w:rPr>
          <w:rFonts w:ascii="仿宋_GB2312" w:hAnsi="仿宋_GB2312"/>
        </w:rPr>
        <w:t xml:space="preserve">5.3.2 </w:t>
      </w:r>
      <w:r>
        <w:rPr>
          <w:rFonts w:ascii="仿宋_GB2312" w:hAnsi="仿宋_GB2312"/>
        </w:rPr>
        <w:t>品质回归模型路径</w:t>
      </w:r>
    </w:p>
    <w:p w14:paraId="3003EEF0" w14:textId="77777777" w:rsidR="00680242" w:rsidRDefault="00B40361">
      <w:pPr>
        <w:jc w:val="both"/>
      </w:pPr>
      <w:r>
        <w:rPr>
          <w:rFonts w:ascii="仿宋_GB2312" w:hAnsi="仿宋_GB2312"/>
        </w:rPr>
        <w:t>在品质预测方面，项目现有系统已经围绕</w:t>
      </w:r>
      <w:r>
        <w:rPr>
          <w:rFonts w:ascii="仿宋_GB2312" w:hAnsi="仿宋_GB2312"/>
        </w:rPr>
        <w:t xml:space="preserve"> 1D-CNN-Reg</w:t>
      </w:r>
      <w:r>
        <w:rPr>
          <w:rFonts w:ascii="仿宋_GB2312" w:hAnsi="仿宋_GB2312"/>
        </w:rPr>
        <w:t>、</w:t>
      </w:r>
      <w:r>
        <w:rPr>
          <w:rFonts w:ascii="仿宋_GB2312" w:hAnsi="仿宋_GB2312"/>
        </w:rPr>
        <w:t>PLSR</w:t>
      </w:r>
      <w:r>
        <w:rPr>
          <w:rFonts w:ascii="仿宋_GB2312" w:hAnsi="仿宋_GB2312"/>
        </w:rPr>
        <w:t>、</w:t>
      </w:r>
      <w:r>
        <w:rPr>
          <w:rFonts w:ascii="仿宋_GB2312" w:hAnsi="仿宋_GB2312"/>
        </w:rPr>
        <w:t>SVR</w:t>
      </w:r>
      <w:r>
        <w:rPr>
          <w:rFonts w:ascii="仿宋_GB2312" w:hAnsi="仿宋_GB2312"/>
        </w:rPr>
        <w:t>、</w:t>
      </w:r>
      <w:r>
        <w:rPr>
          <w:rFonts w:ascii="仿宋_GB2312" w:hAnsi="仿宋_GB2312"/>
        </w:rPr>
        <w:t xml:space="preserve">XGBoost </w:t>
      </w:r>
      <w:r>
        <w:rPr>
          <w:rFonts w:ascii="仿宋_GB2312" w:hAnsi="仿宋_GB2312"/>
        </w:rPr>
        <w:t>等回归路线构建了展示模块，这与橙类品质预测的任务特征较为契合。糖度、酸度、糖酸比、维生素</w:t>
      </w:r>
      <w:r>
        <w:rPr>
          <w:rFonts w:ascii="仿宋_GB2312" w:hAnsi="仿宋_GB2312"/>
        </w:rPr>
        <w:t>C</w:t>
      </w:r>
      <w:r>
        <w:rPr>
          <w:rFonts w:ascii="仿宋_GB2312" w:hAnsi="仿宋_GB2312"/>
        </w:rPr>
        <w:t>等指标既有一定线性关联，也可能包含非线性结构，因此更适合采用</w:t>
      </w:r>
      <w:r>
        <w:rPr>
          <w:rFonts w:ascii="仿宋_GB2312" w:hAnsi="仿宋_GB2312"/>
        </w:rPr>
        <w:t>“</w:t>
      </w:r>
      <w:r>
        <w:rPr>
          <w:rFonts w:ascii="仿宋_GB2312" w:hAnsi="仿宋_GB2312"/>
        </w:rPr>
        <w:t>传统回归模型做基线</w:t>
      </w:r>
      <w:r>
        <w:rPr>
          <w:rFonts w:ascii="仿宋_GB2312" w:hAnsi="仿宋_GB2312"/>
        </w:rPr>
        <w:t xml:space="preserve"> + </w:t>
      </w:r>
      <w:r>
        <w:rPr>
          <w:rFonts w:ascii="仿宋_GB2312" w:hAnsi="仿宋_GB2312"/>
        </w:rPr>
        <w:t>非线性模型做增强</w:t>
      </w:r>
      <w:r>
        <w:rPr>
          <w:rFonts w:ascii="仿宋_GB2312" w:hAnsi="仿宋_GB2312"/>
        </w:rPr>
        <w:t>”</w:t>
      </w:r>
      <w:r>
        <w:rPr>
          <w:rFonts w:ascii="仿宋_GB2312" w:hAnsi="仿宋_GB2312"/>
        </w:rPr>
        <w:t>的策略，逐步比较不同指标在不同模型</w:t>
      </w:r>
      <w:r>
        <w:rPr>
          <w:rFonts w:ascii="仿宋_GB2312" w:hAnsi="仿宋_GB2312"/>
        </w:rPr>
        <w:lastRenderedPageBreak/>
        <w:t>上的适配度。当前页面演示中已可输出</w:t>
      </w:r>
      <w:r>
        <w:rPr>
          <w:rFonts w:ascii="仿宋_GB2312" w:hAnsi="仿宋_GB2312"/>
        </w:rPr>
        <w:t xml:space="preserve"> SSC </w:t>
      </w:r>
      <w:r>
        <w:rPr>
          <w:rFonts w:ascii="仿宋_GB2312" w:hAnsi="仿宋_GB2312"/>
        </w:rPr>
        <w:t>数值、</w:t>
      </w:r>
      <w:r>
        <w:rPr>
          <w:rFonts w:ascii="仿宋_GB2312" w:hAnsi="仿宋_GB2312"/>
        </w:rPr>
        <w:t xml:space="preserve">TA </w:t>
      </w:r>
      <w:r>
        <w:rPr>
          <w:rFonts w:ascii="仿宋_GB2312" w:hAnsi="仿宋_GB2312"/>
        </w:rPr>
        <w:t>数值、糖酸比和维生素</w:t>
      </w:r>
      <w:r>
        <w:rPr>
          <w:rFonts w:ascii="仿宋_GB2312" w:hAnsi="仿宋_GB2312"/>
        </w:rPr>
        <w:t xml:space="preserve"> C </w:t>
      </w:r>
      <w:r>
        <w:rPr>
          <w:rFonts w:ascii="仿宋_GB2312" w:hAnsi="仿宋_GB2312"/>
        </w:rPr>
        <w:t>结果，并展示</w:t>
      </w:r>
      <w:r>
        <w:rPr>
          <w:rFonts w:ascii="仿宋_GB2312" w:hAnsi="仿宋_GB2312"/>
        </w:rPr>
        <w:t xml:space="preserve"> SSC </w:t>
      </w:r>
      <w:r>
        <w:rPr>
          <w:rFonts w:ascii="仿宋_GB2312" w:hAnsi="仿宋_GB2312"/>
        </w:rPr>
        <w:t>预测误差</w:t>
      </w:r>
      <w:r>
        <w:rPr>
          <w:rFonts w:ascii="仿宋_GB2312" w:hAnsi="仿宋_GB2312"/>
        </w:rPr>
        <w:t xml:space="preserve"> ±0.3% </w:t>
      </w:r>
      <w:r>
        <w:rPr>
          <w:rFonts w:ascii="仿宋_GB2312" w:hAnsi="仿宋_GB2312"/>
        </w:rPr>
        <w:t>的表现口径，为后续试点指标固化提供基础。</w:t>
      </w:r>
    </w:p>
    <w:p w14:paraId="21F22CF4" w14:textId="77777777" w:rsidR="00680242" w:rsidRDefault="00B40361">
      <w:pPr>
        <w:ind w:firstLine="0"/>
      </w:pPr>
      <w:r>
        <w:rPr>
          <w:rFonts w:ascii="仿宋_GB2312" w:hAnsi="仿宋_GB2312"/>
        </w:rPr>
        <w:t xml:space="preserve">5.3.3 </w:t>
      </w:r>
      <w:r>
        <w:rPr>
          <w:rFonts w:ascii="仿宋_GB2312" w:hAnsi="仿宋_GB2312"/>
        </w:rPr>
        <w:t>可解释分析与异常预警</w:t>
      </w:r>
    </w:p>
    <w:p w14:paraId="62B35638" w14:textId="77777777" w:rsidR="00680242" w:rsidRDefault="00B40361">
      <w:pPr>
        <w:jc w:val="both"/>
      </w:pPr>
      <w:r>
        <w:rPr>
          <w:rFonts w:ascii="仿宋_GB2312" w:hAnsi="仿宋_GB2312"/>
        </w:rPr>
        <w:t>考虑到品牌果品场景对可信表达的要求较高，项目需要同步输出判断依据。当前系统已经加入特征重要性与可解释</w:t>
      </w:r>
      <w:r>
        <w:rPr>
          <w:rFonts w:ascii="仿宋_GB2312" w:hAnsi="仿宋_GB2312"/>
        </w:rPr>
        <w:t xml:space="preserve"> AI </w:t>
      </w:r>
      <w:r>
        <w:rPr>
          <w:rFonts w:ascii="仿宋_GB2312" w:hAnsi="仿宋_GB2312"/>
        </w:rPr>
        <w:t>展示模块，后续可围绕关键波段贡献、典型样本对比和异常样本提示继续完善解释层，用于支撑报告模板和试点沟通材料。</w:t>
      </w:r>
    </w:p>
    <w:p w14:paraId="14FF8A6C" w14:textId="77777777" w:rsidR="00680242" w:rsidRDefault="00B40361">
      <w:pPr>
        <w:pStyle w:val="21"/>
        <w:ind w:firstLine="0"/>
      </w:pPr>
      <w:r>
        <w:rPr>
          <w:rFonts w:ascii="楷体_GB2312" w:eastAsia="楷体_GB2312" w:hAnsi="楷体_GB2312"/>
        </w:rPr>
        <w:t xml:space="preserve">5.4 </w:t>
      </w:r>
      <w:r>
        <w:rPr>
          <w:rFonts w:ascii="楷体_GB2312" w:eastAsia="楷体_GB2312" w:hAnsi="楷体_GB2312"/>
        </w:rPr>
        <w:t>光谱机理与特征指纹</w:t>
      </w:r>
    </w:p>
    <w:p w14:paraId="2A6E102D" w14:textId="77777777" w:rsidR="00680242" w:rsidRDefault="00B40361">
      <w:pPr>
        <w:ind w:firstLine="0"/>
      </w:pPr>
      <w:r>
        <w:rPr>
          <w:rFonts w:ascii="仿宋_GB2312" w:hAnsi="仿宋_GB2312"/>
        </w:rPr>
        <w:t xml:space="preserve">5.4.1 </w:t>
      </w:r>
      <w:r>
        <w:rPr>
          <w:rFonts w:ascii="仿宋_GB2312" w:hAnsi="仿宋_GB2312"/>
        </w:rPr>
        <w:t>色素变化与成熟度响应</w:t>
      </w:r>
    </w:p>
    <w:p w14:paraId="5B6F5800" w14:textId="77777777" w:rsidR="00680242" w:rsidRDefault="00B40361">
      <w:pPr>
        <w:jc w:val="both"/>
      </w:pPr>
      <w:r>
        <w:rPr>
          <w:rFonts w:ascii="仿宋_GB2312" w:hAnsi="仿宋_GB2312"/>
        </w:rPr>
        <w:t>橙类样本在成熟过程中，果皮色泽、叶绿素衰减和类胡萝卜素累积会带来可见光波段的显著差异，这也是高光谱技术识别成熟状态和部分产地差异的重要原因之一。上述变化可通过连续波段响应转化为可计算的特征序列，为分类和回归任务提供底层依据。</w:t>
      </w:r>
    </w:p>
    <w:p w14:paraId="598FE70B" w14:textId="77777777" w:rsidR="00680242" w:rsidRDefault="00B40361">
      <w:pPr>
        <w:ind w:firstLine="0"/>
      </w:pPr>
      <w:r>
        <w:rPr>
          <w:rFonts w:ascii="仿宋_GB2312" w:hAnsi="仿宋_GB2312"/>
        </w:rPr>
        <w:t xml:space="preserve">5.4.2 </w:t>
      </w:r>
      <w:r>
        <w:rPr>
          <w:rFonts w:ascii="仿宋_GB2312" w:hAnsi="仿宋_GB2312"/>
        </w:rPr>
        <w:t>水分、糖酸与组织结构信息</w:t>
      </w:r>
    </w:p>
    <w:p w14:paraId="009F722F" w14:textId="77777777" w:rsidR="00680242" w:rsidRDefault="00B40361">
      <w:pPr>
        <w:jc w:val="both"/>
      </w:pPr>
      <w:r>
        <w:rPr>
          <w:rFonts w:ascii="仿宋_GB2312" w:hAnsi="仿宋_GB2312"/>
        </w:rPr>
        <w:t>除了外观色泽相关信息，果品内部的水分状态、糖酸水平和组织结构差异，也会在特定波段形成可利用的响应特征。虽然这些信息最终仍需要通过理化标签完成标定，但高光谱的优势就在于能够把原本难以直接观察的内部品质线索，以非破坏方式转化为建模输入。这正是项目能同时承接产地识别和品质预测双任务的技术基础。</w:t>
      </w:r>
    </w:p>
    <w:p w14:paraId="7FEC18BD" w14:textId="77777777" w:rsidR="00680242" w:rsidRDefault="00B40361">
      <w:pPr>
        <w:ind w:firstLine="0"/>
      </w:pPr>
      <w:r>
        <w:rPr>
          <w:rFonts w:ascii="仿宋_GB2312" w:hAnsi="仿宋_GB2312"/>
        </w:rPr>
        <w:t xml:space="preserve">5.4.3 </w:t>
      </w:r>
      <w:r>
        <w:rPr>
          <w:rFonts w:ascii="仿宋_GB2312" w:hAnsi="仿宋_GB2312"/>
        </w:rPr>
        <w:t>特征波段库与区域指纹沉淀</w:t>
      </w:r>
    </w:p>
    <w:p w14:paraId="1F7DF630" w14:textId="77777777" w:rsidR="00680242" w:rsidRDefault="00B40361">
      <w:pPr>
        <w:jc w:val="both"/>
      </w:pPr>
      <w:r>
        <w:rPr>
          <w:rFonts w:ascii="仿宋_GB2312" w:hAnsi="仿宋_GB2312"/>
        </w:rPr>
        <w:t>项目需要逐步沉淀稳定的特征波段库与区域样本指纹库。后续重点是确认哪些波段对澄迈、琼中等区域样本具有较强区分价值，哪些特征组合对等级识别结果影响更大。随着样本不断增加，项目可积累产地特征对照数据、等级区间对照数据和异常样本案例库，作为后续模型迭代的基础。</w:t>
      </w:r>
    </w:p>
    <w:p w14:paraId="3E5A4144" w14:textId="77777777" w:rsidR="00680242" w:rsidRDefault="00680242">
      <w:pPr>
        <w:sectPr w:rsidR="00680242">
          <w:pgSz w:w="11906" w:h="16838"/>
          <w:pgMar w:top="1417" w:right="1417" w:bottom="1417" w:left="1417" w:header="850" w:footer="992" w:gutter="0"/>
          <w:cols w:space="720"/>
          <w:docGrid w:linePitch="360"/>
        </w:sectPr>
      </w:pPr>
    </w:p>
    <w:p w14:paraId="27869F87" w14:textId="77777777" w:rsidR="00680242" w:rsidRDefault="00B40361">
      <w:pPr>
        <w:pStyle w:val="1"/>
        <w:ind w:firstLine="0"/>
      </w:pPr>
      <w:r>
        <w:rPr>
          <w:rFonts w:ascii="黑体" w:eastAsia="黑体" w:hAnsi="黑体"/>
        </w:rPr>
        <w:lastRenderedPageBreak/>
        <w:t>第六章</w:t>
      </w:r>
      <w:r>
        <w:rPr>
          <w:rFonts w:ascii="黑体" w:eastAsia="黑体" w:hAnsi="黑体"/>
        </w:rPr>
        <w:t xml:space="preserve"> </w:t>
      </w:r>
      <w:r>
        <w:rPr>
          <w:rFonts w:ascii="黑体" w:eastAsia="黑体" w:hAnsi="黑体"/>
        </w:rPr>
        <w:t>产品策略</w:t>
      </w:r>
    </w:p>
    <w:p w14:paraId="72A2BF01" w14:textId="77777777" w:rsidR="00680242" w:rsidRDefault="00B40361">
      <w:pPr>
        <w:pStyle w:val="21"/>
        <w:ind w:firstLine="0"/>
      </w:pPr>
      <w:r>
        <w:rPr>
          <w:rFonts w:ascii="楷体_GB2312" w:eastAsia="楷体_GB2312" w:hAnsi="楷体_GB2312"/>
        </w:rPr>
        <w:t xml:space="preserve">6.1 </w:t>
      </w:r>
      <w:r>
        <w:rPr>
          <w:rFonts w:ascii="楷体_GB2312" w:eastAsia="楷体_GB2312" w:hAnsi="楷体_GB2312"/>
        </w:rPr>
        <w:t>产品定位与交付形态</w:t>
      </w:r>
    </w:p>
    <w:p w14:paraId="688675B5" w14:textId="77777777" w:rsidR="00680242" w:rsidRDefault="00B40361">
      <w:pPr>
        <w:jc w:val="both"/>
      </w:pPr>
      <w:r>
        <w:rPr>
          <w:rFonts w:ascii="仿宋_GB2312" w:hAnsi="仿宋_GB2312"/>
        </w:rPr>
        <w:t>橙源智鉴的产品定位为可进入真实业务链路的双端系统。网站端承担批量分析、数据可视化、模型解释、历史管理和报告导出，小程序端承担移动上传、采样登记、结果查询和历史回看，两端共同完成</w:t>
      </w:r>
      <w:r>
        <w:rPr>
          <w:rFonts w:ascii="仿宋_GB2312" w:hAnsi="仿宋_GB2312"/>
        </w:rPr>
        <w:t>“</w:t>
      </w:r>
      <w:r>
        <w:rPr>
          <w:rFonts w:ascii="仿宋_GB2312" w:hAnsi="仿宋_GB2312"/>
        </w:rPr>
        <w:t>样本录入</w:t>
      </w:r>
      <w:r>
        <w:rPr>
          <w:rFonts w:ascii="仿宋_GB2312" w:hAnsi="仿宋_GB2312"/>
        </w:rPr>
        <w:t xml:space="preserve"> - </w:t>
      </w:r>
      <w:r>
        <w:rPr>
          <w:rFonts w:ascii="仿宋_GB2312" w:hAnsi="仿宋_GB2312"/>
        </w:rPr>
        <w:t>模型推理</w:t>
      </w:r>
      <w:r>
        <w:rPr>
          <w:rFonts w:ascii="仿宋_GB2312" w:hAnsi="仿宋_GB2312"/>
        </w:rPr>
        <w:t xml:space="preserve"> - </w:t>
      </w:r>
      <w:r>
        <w:rPr>
          <w:rFonts w:ascii="仿宋_GB2312" w:hAnsi="仿宋_GB2312"/>
        </w:rPr>
        <w:t>结果解释</w:t>
      </w:r>
      <w:r>
        <w:rPr>
          <w:rFonts w:ascii="仿宋_GB2312" w:hAnsi="仿宋_GB2312"/>
        </w:rPr>
        <w:t xml:space="preserve"> - </w:t>
      </w:r>
      <w:r>
        <w:rPr>
          <w:rFonts w:ascii="仿宋_GB2312" w:hAnsi="仿宋_GB2312"/>
        </w:rPr>
        <w:t>历史沉淀</w:t>
      </w:r>
      <w:r>
        <w:rPr>
          <w:rFonts w:ascii="仿宋_GB2312" w:hAnsi="仿宋_GB2312"/>
        </w:rPr>
        <w:t xml:space="preserve"> - </w:t>
      </w:r>
      <w:r>
        <w:rPr>
          <w:rFonts w:ascii="仿宋_GB2312" w:hAnsi="仿宋_GB2312"/>
        </w:rPr>
        <w:t>报告输出</w:t>
      </w:r>
      <w:r>
        <w:rPr>
          <w:rFonts w:ascii="仿宋_GB2312" w:hAnsi="仿宋_GB2312"/>
        </w:rPr>
        <w:t>”</w:t>
      </w:r>
      <w:r>
        <w:rPr>
          <w:rFonts w:ascii="仿宋_GB2312" w:hAnsi="仿宋_GB2312"/>
        </w:rPr>
        <w:t>的闭环。</w:t>
      </w:r>
    </w:p>
    <w:p w14:paraId="095E93C6" w14:textId="77777777" w:rsidR="00680242" w:rsidRDefault="00B40361">
      <w:pPr>
        <w:jc w:val="both"/>
      </w:pPr>
      <w:r>
        <w:rPr>
          <w:rFonts w:ascii="仿宋_GB2312" w:hAnsi="仿宋_GB2312"/>
        </w:rPr>
        <w:t>项目交付形态由网站端、小程序端和报告材料三部分构成。网站端用于批量分析与档案管理，小程序端用于移动上传与现场查询，报告材料负责结果归档、品牌表达和合作沟通，三部分共同构成项目面向试点和合作的基本交付体系。</w:t>
      </w:r>
    </w:p>
    <w:p w14:paraId="0C57BF71" w14:textId="77777777" w:rsidR="00680242" w:rsidRDefault="00B40361">
      <w:pPr>
        <w:pStyle w:val="21"/>
        <w:ind w:firstLine="0"/>
      </w:pPr>
      <w:r>
        <w:rPr>
          <w:rFonts w:ascii="楷体_GB2312" w:eastAsia="楷体_GB2312" w:hAnsi="楷体_GB2312"/>
        </w:rPr>
        <w:t xml:space="preserve">6.2 </w:t>
      </w:r>
      <w:r>
        <w:rPr>
          <w:rFonts w:ascii="楷体_GB2312" w:eastAsia="楷体_GB2312" w:hAnsi="楷体_GB2312"/>
        </w:rPr>
        <w:t>产品分层与收费思路</w:t>
      </w:r>
    </w:p>
    <w:p w14:paraId="1D58017C" w14:textId="77777777" w:rsidR="00680242" w:rsidRDefault="00B40361">
      <w:pPr>
        <w:jc w:val="both"/>
      </w:pPr>
      <w:r>
        <w:rPr>
          <w:rFonts w:ascii="仿宋_GB2312" w:hAnsi="仿宋_GB2312"/>
        </w:rPr>
        <w:t>围绕当前成品，项目产品可分为展示合作版和试点服务版两个阶段。展示合作版主要用于项目展示和合作对接；试点服务版面向果园、合作社、区域品牌主体和相关服务机构，交付内容包括文件上传分析、等级识别、产地溯源、批次结论、报告输出和书面复盘，可按</w:t>
      </w:r>
      <w:r>
        <w:rPr>
          <w:rFonts w:ascii="仿宋_GB2312" w:hAnsi="仿宋_GB2312"/>
        </w:rPr>
        <w:t>“</w:t>
      </w:r>
      <w:r>
        <w:rPr>
          <w:rFonts w:ascii="仿宋_GB2312" w:hAnsi="仿宋_GB2312"/>
        </w:rPr>
        <w:t>分析服务费</w:t>
      </w:r>
      <w:r>
        <w:rPr>
          <w:rFonts w:ascii="仿宋_GB2312" w:hAnsi="仿宋_GB2312"/>
        </w:rPr>
        <w:t xml:space="preserve"> + </w:t>
      </w:r>
      <w:r>
        <w:rPr>
          <w:rFonts w:ascii="仿宋_GB2312" w:hAnsi="仿宋_GB2312"/>
        </w:rPr>
        <w:t>数据整理费</w:t>
      </w:r>
      <w:r>
        <w:rPr>
          <w:rFonts w:ascii="仿宋_GB2312" w:hAnsi="仿宋_GB2312"/>
        </w:rPr>
        <w:t xml:space="preserve"> + </w:t>
      </w:r>
      <w:r>
        <w:rPr>
          <w:rFonts w:ascii="仿宋_GB2312" w:hAnsi="仿宋_GB2312"/>
        </w:rPr>
        <w:t>报告输出费</w:t>
      </w:r>
      <w:r>
        <w:rPr>
          <w:rFonts w:ascii="仿宋_GB2312" w:hAnsi="仿宋_GB2312"/>
        </w:rPr>
        <w:t>”</w:t>
      </w:r>
      <w:r>
        <w:rPr>
          <w:rFonts w:ascii="仿宋_GB2312" w:hAnsi="仿宋_GB2312"/>
        </w:rPr>
        <w:t>的组合方式收费。</w:t>
      </w:r>
    </w:p>
    <w:p w14:paraId="543DA4B3" w14:textId="77777777" w:rsidR="00680242" w:rsidRDefault="00B40361">
      <w:pPr>
        <w:jc w:val="both"/>
      </w:pPr>
      <w:r>
        <w:rPr>
          <w:rFonts w:ascii="仿宋_GB2312" w:hAnsi="仿宋_GB2312"/>
        </w:rPr>
        <w:t>当样本积累、案例沉淀和双端稳定性继续提高后，项目可进入平台订阅与定制阶段。该阶段可提供企业账号体系、历史样本管理、定制模型、专属报告模板、网站端管理权限和小程序端专属入口，形成年度服务费、专项服务费和定制开发费等收入结构。</w:t>
      </w:r>
    </w:p>
    <w:p w14:paraId="5BE438C6" w14:textId="77777777" w:rsidR="00680242" w:rsidRDefault="00B40361">
      <w:pPr>
        <w:pStyle w:val="21"/>
        <w:ind w:firstLine="0"/>
      </w:pPr>
      <w:r>
        <w:rPr>
          <w:rFonts w:ascii="楷体_GB2312" w:eastAsia="楷体_GB2312" w:hAnsi="楷体_GB2312"/>
        </w:rPr>
        <w:t xml:space="preserve">6.3 </w:t>
      </w:r>
      <w:r>
        <w:rPr>
          <w:rFonts w:ascii="楷体_GB2312" w:eastAsia="楷体_GB2312" w:hAnsi="楷体_GB2312"/>
        </w:rPr>
        <w:t>实施与交付策略</w:t>
      </w:r>
    </w:p>
    <w:p w14:paraId="5D62E449" w14:textId="77777777" w:rsidR="00680242" w:rsidRDefault="00B40361">
      <w:pPr>
        <w:jc w:val="both"/>
      </w:pPr>
      <w:r>
        <w:rPr>
          <w:rFonts w:ascii="仿宋_GB2312" w:hAnsi="仿宋_GB2312"/>
        </w:rPr>
        <w:t>实施与交付可按</w:t>
      </w:r>
      <w:r>
        <w:rPr>
          <w:rFonts w:ascii="仿宋_GB2312" w:hAnsi="仿宋_GB2312"/>
        </w:rPr>
        <w:t>“</w:t>
      </w:r>
      <w:r>
        <w:rPr>
          <w:rFonts w:ascii="仿宋_GB2312" w:hAnsi="仿宋_GB2312"/>
        </w:rPr>
        <w:t>试点前准备</w:t>
      </w:r>
      <w:r>
        <w:rPr>
          <w:rFonts w:ascii="仿宋_GB2312" w:hAnsi="仿宋_GB2312"/>
        </w:rPr>
        <w:t xml:space="preserve"> - </w:t>
      </w:r>
      <w:r>
        <w:rPr>
          <w:rFonts w:ascii="仿宋_GB2312" w:hAnsi="仿宋_GB2312"/>
        </w:rPr>
        <w:t>现场部署</w:t>
      </w:r>
      <w:r>
        <w:rPr>
          <w:rFonts w:ascii="仿宋_GB2312" w:hAnsi="仿宋_GB2312"/>
        </w:rPr>
        <w:t xml:space="preserve"> - </w:t>
      </w:r>
      <w:r>
        <w:rPr>
          <w:rFonts w:ascii="仿宋_GB2312" w:hAnsi="仿宋_GB2312"/>
        </w:rPr>
        <w:t>复盘迭代</w:t>
      </w:r>
      <w:r>
        <w:rPr>
          <w:rFonts w:ascii="仿宋_GB2312" w:hAnsi="仿宋_GB2312"/>
        </w:rPr>
        <w:t>”</w:t>
      </w:r>
      <w:r>
        <w:rPr>
          <w:rFonts w:ascii="仿宋_GB2312" w:hAnsi="仿宋_GB2312"/>
        </w:rPr>
        <w:t>的顺序推进。试点前应明确样本范围、交付目标、文件格式、采样流程、理化标签、输出形式和复盘方式，形成写清样本清单、采样时间、数据口径、上传方式、展示方式、交付时间点和责任边界的试点说明书。</w:t>
      </w:r>
    </w:p>
    <w:p w14:paraId="35DCB4FD" w14:textId="77777777" w:rsidR="00680242" w:rsidRDefault="00B40361">
      <w:pPr>
        <w:jc w:val="both"/>
      </w:pPr>
      <w:r>
        <w:rPr>
          <w:rFonts w:ascii="仿宋_GB2312" w:hAnsi="仿宋_GB2312"/>
        </w:rPr>
        <w:t>进入现场后，团队需要完成数据接入、文件校验、网站端分析演示和小程序端使用培训，确保样本编号、理化结果、分析结果和页面展示能够准确对应，并让合作方清楚知道结果的使用边界。试点结束后，再通过批次结果报告、内部问题清单和更新后的页面或报告模板完成复盘，使每一轮实施都能真正推动系统升级。</w:t>
      </w:r>
    </w:p>
    <w:p w14:paraId="6F181A09" w14:textId="77777777" w:rsidR="00680242" w:rsidRDefault="00B40361">
      <w:pPr>
        <w:pStyle w:val="21"/>
        <w:ind w:firstLine="0"/>
      </w:pPr>
      <w:r>
        <w:rPr>
          <w:rFonts w:ascii="楷体_GB2312" w:eastAsia="楷体_GB2312" w:hAnsi="楷体_GB2312"/>
        </w:rPr>
        <w:lastRenderedPageBreak/>
        <w:t xml:space="preserve">6.4 </w:t>
      </w:r>
      <w:r>
        <w:rPr>
          <w:rFonts w:ascii="楷体_GB2312" w:eastAsia="楷体_GB2312" w:hAnsi="楷体_GB2312"/>
        </w:rPr>
        <w:t>推广与销售模式</w:t>
      </w:r>
    </w:p>
    <w:p w14:paraId="0AABBA18" w14:textId="77777777" w:rsidR="00680242" w:rsidRDefault="00B40361">
      <w:pPr>
        <w:jc w:val="both"/>
      </w:pPr>
      <w:r>
        <w:rPr>
          <w:rFonts w:ascii="仿宋_GB2312" w:hAnsi="仿宋_GB2312"/>
        </w:rPr>
        <w:t>推广与销售工作以标杆场景建设为主。澄迈福橙、琼中绿橙等对象兼具区域品牌属性和案例展示价值，适合作为项目早期推广的主要突破口。</w:t>
      </w:r>
    </w:p>
    <w:p w14:paraId="790ED0B4" w14:textId="77777777" w:rsidR="00680242" w:rsidRDefault="00B40361">
      <w:pPr>
        <w:jc w:val="both"/>
      </w:pPr>
      <w:r>
        <w:rPr>
          <w:rFonts w:ascii="仿宋_GB2312" w:hAnsi="仿宋_GB2312"/>
        </w:rPr>
        <w:t>在路径上，项目更适合采取校地合作、项目联动和场景共建的方式，通过地方农业服务机构、品牌果品主体和区域服务平台寻找试点对象，再借助赛事和路演扩大影响；后续能力稳定后，还可以与检测服务机构、农业数字化平台或区域品牌服务单位形成联合方案，把橙源智鉴作为核心分析模块接入现有渠道。</w:t>
      </w:r>
    </w:p>
    <w:p w14:paraId="48698D1D" w14:textId="77777777" w:rsidR="00680242" w:rsidRDefault="00680242">
      <w:pPr>
        <w:sectPr w:rsidR="00680242">
          <w:pgSz w:w="11906" w:h="16838"/>
          <w:pgMar w:top="1417" w:right="1417" w:bottom="1417" w:left="1417" w:header="850" w:footer="992" w:gutter="0"/>
          <w:cols w:space="720"/>
          <w:docGrid w:linePitch="360"/>
        </w:sectPr>
      </w:pPr>
    </w:p>
    <w:p w14:paraId="145777F7" w14:textId="77777777" w:rsidR="00680242" w:rsidRDefault="00B40361">
      <w:pPr>
        <w:pStyle w:val="1"/>
        <w:ind w:firstLine="0"/>
      </w:pPr>
      <w:r>
        <w:rPr>
          <w:rFonts w:ascii="黑体" w:eastAsia="黑体" w:hAnsi="黑体"/>
        </w:rPr>
        <w:lastRenderedPageBreak/>
        <w:t>第七章</w:t>
      </w:r>
      <w:r>
        <w:rPr>
          <w:rFonts w:ascii="黑体" w:eastAsia="黑体" w:hAnsi="黑体"/>
        </w:rPr>
        <w:t xml:space="preserve"> </w:t>
      </w:r>
      <w:r>
        <w:rPr>
          <w:rFonts w:ascii="黑体" w:eastAsia="黑体" w:hAnsi="黑体"/>
        </w:rPr>
        <w:t>运营策略</w:t>
      </w:r>
    </w:p>
    <w:p w14:paraId="7AA1FDD1" w14:textId="77777777" w:rsidR="00680242" w:rsidRDefault="00B40361">
      <w:pPr>
        <w:pStyle w:val="21"/>
        <w:ind w:firstLine="0"/>
      </w:pPr>
      <w:r>
        <w:rPr>
          <w:rFonts w:ascii="楷体_GB2312" w:eastAsia="楷体_GB2312" w:hAnsi="楷体_GB2312"/>
        </w:rPr>
        <w:t xml:space="preserve">7.1 </w:t>
      </w:r>
      <w:r>
        <w:rPr>
          <w:rFonts w:ascii="楷体_GB2312" w:eastAsia="楷体_GB2312" w:hAnsi="楷体_GB2312"/>
        </w:rPr>
        <w:t>运营定位与目标</w:t>
      </w:r>
    </w:p>
    <w:p w14:paraId="339338E2" w14:textId="77777777" w:rsidR="00680242" w:rsidRDefault="00B40361">
      <w:pPr>
        <w:jc w:val="both"/>
      </w:pPr>
      <w:r>
        <w:rPr>
          <w:rFonts w:ascii="仿宋_GB2312" w:hAnsi="仿宋_GB2312"/>
        </w:rPr>
        <w:t>项目运营以澄迈福橙、琼中绿橙等代表性对象的样板建设为主。重点产区的样本库、批次分析和结果表达稳定后，再向其他橙类场景扩展，可控制文件标准和样本标准不统一带来的风险。</w:t>
      </w:r>
    </w:p>
    <w:p w14:paraId="31F9F69E" w14:textId="77777777" w:rsidR="00680242" w:rsidRDefault="00B40361">
      <w:pPr>
        <w:jc w:val="both"/>
      </w:pPr>
      <w:r>
        <w:rPr>
          <w:rFonts w:ascii="仿宋_GB2312" w:hAnsi="仿宋_GB2312"/>
        </w:rPr>
        <w:t>每一次上传分析都应沉淀样本文件、批次标签、等级结论、产地结论、报告版本和使用反馈，用于反哺模型训练、阈值校准和报告模板优化。运营工作需要逐步统一采样登记、文件命名、报告模板、权限分工和回访记录，为后续区域复制打基础。</w:t>
      </w:r>
    </w:p>
    <w:p w14:paraId="5D76CDEF" w14:textId="77777777" w:rsidR="00680242" w:rsidRDefault="00B40361">
      <w:pPr>
        <w:jc w:val="both"/>
      </w:pPr>
      <w:r>
        <w:rPr>
          <w:rFonts w:ascii="仿宋_GB2312" w:hAnsi="仿宋_GB2312"/>
        </w:rPr>
        <w:t>运营目标应同时覆盖样本、客户和交付三条主线。样本侧要求持续提高有效标签率和批次覆盖率，客户侧要求逐步提升上传频次、复购率和报告使用深度，交付侧则要求缩短分析响应时间、降低返工率并稳定报告格式。只有三条主线同步推进，项目运营才能从试点展示过渡到稳定服务。</w:t>
      </w:r>
    </w:p>
    <w:p w14:paraId="31C72F0E" w14:textId="77777777" w:rsidR="00680242" w:rsidRDefault="00B40361">
      <w:pPr>
        <w:jc w:val="both"/>
      </w:pPr>
      <w:r>
        <w:rPr>
          <w:rFonts w:ascii="仿宋_GB2312" w:hAnsi="仿宋_GB2312"/>
        </w:rPr>
        <w:t>围绕上述目标，项目应建立固定的月度运营节奏，包括样本补录计划、客户回访计划、报告复核计划和问题清单更新机制。每月形成一次经营与技术联合复盘，集中处理样本异常、模型波动、客户反馈和交付阻塞事项，避免问题在多轮试点中重复出现。</w:t>
      </w:r>
    </w:p>
    <w:p w14:paraId="4164EEC6" w14:textId="77777777" w:rsidR="00680242" w:rsidRDefault="00B40361">
      <w:pPr>
        <w:pStyle w:val="21"/>
        <w:ind w:firstLine="0"/>
      </w:pPr>
      <w:r>
        <w:rPr>
          <w:rFonts w:ascii="楷体_GB2312" w:eastAsia="楷体_GB2312" w:hAnsi="楷体_GB2312"/>
        </w:rPr>
        <w:t xml:space="preserve">7.2 </w:t>
      </w:r>
      <w:r>
        <w:rPr>
          <w:rFonts w:ascii="楷体_GB2312" w:eastAsia="楷体_GB2312" w:hAnsi="楷体_GB2312"/>
        </w:rPr>
        <w:t>阶段运营安排</w:t>
      </w:r>
    </w:p>
    <w:p w14:paraId="5828EEBB" w14:textId="77777777" w:rsidR="00680242" w:rsidRDefault="00B40361">
      <w:pPr>
        <w:jc w:val="both"/>
      </w:pPr>
      <w:r>
        <w:rPr>
          <w:rFonts w:ascii="仿宋_GB2312" w:hAnsi="仿宋_GB2312"/>
        </w:rPr>
        <w:t>阶段运营可以分为三个层次。第一阶段重点是样本补强与系统完善，完成产区样本补录、文件清洗和双端稳定运行，形成统一的样本编号规则、字段口径和报告模板；第二阶段围绕基地分级、渠道验货和品牌说明三类场景开展批次验证，通过合作社、品牌方和渠道方的实际使用形成样板案例。</w:t>
      </w:r>
    </w:p>
    <w:p w14:paraId="355B5CBE" w14:textId="77777777" w:rsidR="00680242" w:rsidRDefault="00B40361">
      <w:pPr>
        <w:jc w:val="both"/>
      </w:pPr>
      <w:r>
        <w:rPr>
          <w:rFonts w:ascii="仿宋_GB2312" w:hAnsi="仿宋_GB2312"/>
        </w:rPr>
        <w:t>当样板场景稳定后，再进入第三阶段，即标准沉淀与区域复制。此时要把样本规范、文件模板、报告格式、权限设置和回访机制整理为区域服务包，使项目能够支持多产区、多批次和多主体持续使用。</w:t>
      </w:r>
    </w:p>
    <w:p w14:paraId="0D01B294" w14:textId="77777777" w:rsidR="00680242" w:rsidRDefault="00B40361">
      <w:pPr>
        <w:jc w:val="both"/>
      </w:pPr>
      <w:r>
        <w:rPr>
          <w:rFonts w:ascii="仿宋_GB2312" w:hAnsi="仿宋_GB2312"/>
        </w:rPr>
        <w:t>阶段推进过程中，各阶段的验收标准应保持明确。第一阶段重点看样本数量、标签完整度和双端稳定性；第二阶段重点看批次分析准确性、报告可用性和客户实际调</w:t>
      </w:r>
      <w:r>
        <w:rPr>
          <w:rFonts w:ascii="仿宋_GB2312" w:hAnsi="仿宋_GB2312"/>
        </w:rPr>
        <w:lastRenderedPageBreak/>
        <w:t>用情况；第三阶段重点看标准文档完整度、区域复用能力和服务流程可复制性。阶段目标明确后，团队才能避免</w:t>
      </w:r>
      <w:r>
        <w:rPr>
          <w:rFonts w:ascii="仿宋_GB2312" w:hAnsi="仿宋_GB2312"/>
        </w:rPr>
        <w:t>“</w:t>
      </w:r>
      <w:r>
        <w:rPr>
          <w:rFonts w:ascii="仿宋_GB2312" w:hAnsi="仿宋_GB2312"/>
        </w:rPr>
        <w:t>做了很多事但难以复盘</w:t>
      </w:r>
      <w:r>
        <w:rPr>
          <w:rFonts w:ascii="仿宋_GB2312" w:hAnsi="仿宋_GB2312"/>
        </w:rPr>
        <w:t>”</w:t>
      </w:r>
      <w:r>
        <w:rPr>
          <w:rFonts w:ascii="仿宋_GB2312" w:hAnsi="仿宋_GB2312"/>
        </w:rPr>
        <w:t>的运营问题。</w:t>
      </w:r>
    </w:p>
    <w:p w14:paraId="152C8B2B" w14:textId="77777777" w:rsidR="00680242" w:rsidRDefault="00B40361">
      <w:pPr>
        <w:pStyle w:val="21"/>
        <w:ind w:firstLine="0"/>
      </w:pPr>
      <w:r>
        <w:rPr>
          <w:rFonts w:ascii="楷体_GB2312" w:eastAsia="楷体_GB2312" w:hAnsi="楷体_GB2312"/>
        </w:rPr>
        <w:t xml:space="preserve">7.3 </w:t>
      </w:r>
      <w:r>
        <w:rPr>
          <w:rFonts w:ascii="楷体_GB2312" w:eastAsia="楷体_GB2312" w:hAnsi="楷体_GB2312"/>
        </w:rPr>
        <w:t>核心运营模块</w:t>
      </w:r>
    </w:p>
    <w:p w14:paraId="68E3BB53" w14:textId="77777777" w:rsidR="00680242" w:rsidRDefault="00B40361">
      <w:pPr>
        <w:jc w:val="both"/>
      </w:pPr>
      <w:r>
        <w:rPr>
          <w:rFonts w:ascii="仿宋_GB2312" w:hAnsi="仿宋_GB2312"/>
        </w:rPr>
        <w:t>在具体执行上，核心运营模块主要由样本与数据运营、客户成功与项目运营、平台内容与报告运营、合作与渠道运营四部分构成。样本与数据运营负责采样登记、文件校验、标签补录、异常样本归档和历史库维护，这是等级识别与产地溯源模型稳定运行的基础；客户成功与项目运营负责合作需求确认、批次排期、结果反馈、复检沟通和季度复盘，保证分析结果真正进入分级、验货和品牌使用流程。</w:t>
      </w:r>
    </w:p>
    <w:p w14:paraId="03963CAB" w14:textId="77777777" w:rsidR="00680242" w:rsidRDefault="00B40361">
      <w:pPr>
        <w:jc w:val="both"/>
      </w:pPr>
      <w:r>
        <w:rPr>
          <w:rFonts w:ascii="仿宋_GB2312" w:hAnsi="仿宋_GB2312"/>
        </w:rPr>
        <w:t>平台内容与报告运营负责将等级结论、产地结论、关键指标区间和图表结果整理为标准化报告，用于品牌说明、渠道沟通和项目汇报；合作与渠道运营则负责对接高校、产区、品牌和服务机构资源，推动样本共建、联合试点和年度服务签约。四个模块分别对应数据、交付、表达和合作四条链路，缺一不可。</w:t>
      </w:r>
    </w:p>
    <w:p w14:paraId="35A2139C" w14:textId="77777777" w:rsidR="00680242" w:rsidRDefault="00B40361">
      <w:pPr>
        <w:jc w:val="both"/>
      </w:pPr>
      <w:r>
        <w:rPr>
          <w:rFonts w:ascii="仿宋_GB2312" w:hAnsi="仿宋_GB2312"/>
        </w:rPr>
        <w:t>四个模块之间还需要建立固定交接机制。样本与数据运营输出可用样本和异常清单，客户成功模块据此安排复检与回访，平台内容模块负责把结果转化为可直接发送的标准报告，合作与渠道模块再根据报告和案例推进下一轮试点或服务签约。若模块之间缺少稳定交接，运营工作就容易停留在局部推进，难以形成连续成果。</w:t>
      </w:r>
    </w:p>
    <w:p w14:paraId="25D716F3" w14:textId="77777777" w:rsidR="00680242" w:rsidRDefault="00B40361">
      <w:pPr>
        <w:jc w:val="both"/>
      </w:pPr>
      <w:r>
        <w:rPr>
          <w:rFonts w:ascii="仿宋_GB2312" w:hAnsi="仿宋_GB2312"/>
        </w:rPr>
        <w:t>为提高运营效率，项目可同步设置一组核心运营指标，包括月度上传批次数、有效样本比例、报告输出时长、报告返工率、客户复购率、季度回访完成率和重点客户留存率。上述指标既是日常运营的观测依据，也是后续项目扩张和人员分工调整的重要参考。</w:t>
      </w:r>
      <w:r>
        <w:rPr>
          <w:rFonts w:ascii="仿宋_GB2312" w:hAnsi="仿宋_GB2312"/>
        </w:rPr>
        <w:t xml:space="preserve"> </w:t>
      </w:r>
    </w:p>
    <w:p w14:paraId="4798227F" w14:textId="77777777" w:rsidR="00680242" w:rsidRDefault="00680242">
      <w:pPr>
        <w:sectPr w:rsidR="00680242">
          <w:pgSz w:w="11906" w:h="16838"/>
          <w:pgMar w:top="1417" w:right="1417" w:bottom="1417" w:left="1417" w:header="850" w:footer="992" w:gutter="0"/>
          <w:cols w:space="720"/>
          <w:docGrid w:linePitch="360"/>
        </w:sectPr>
      </w:pPr>
    </w:p>
    <w:p w14:paraId="32704126" w14:textId="77777777" w:rsidR="00680242" w:rsidRDefault="00B40361">
      <w:pPr>
        <w:pStyle w:val="1"/>
        <w:ind w:firstLine="0"/>
      </w:pPr>
      <w:r>
        <w:rPr>
          <w:rFonts w:ascii="黑体" w:eastAsia="黑体" w:hAnsi="黑体"/>
        </w:rPr>
        <w:lastRenderedPageBreak/>
        <w:t>第八章</w:t>
      </w:r>
      <w:r>
        <w:rPr>
          <w:rFonts w:ascii="黑体" w:eastAsia="黑体" w:hAnsi="黑体"/>
        </w:rPr>
        <w:t xml:space="preserve"> </w:t>
      </w:r>
      <w:r>
        <w:rPr>
          <w:rFonts w:ascii="黑体" w:eastAsia="黑体" w:hAnsi="黑体"/>
        </w:rPr>
        <w:t>团队介绍</w:t>
      </w:r>
    </w:p>
    <w:p w14:paraId="17800E92" w14:textId="77777777" w:rsidR="00680242" w:rsidRDefault="00B40361">
      <w:pPr>
        <w:pStyle w:val="21"/>
        <w:ind w:firstLine="0"/>
      </w:pPr>
      <w:r>
        <w:rPr>
          <w:rFonts w:ascii="楷体_GB2312" w:eastAsia="楷体_GB2312" w:hAnsi="楷体_GB2312"/>
        </w:rPr>
        <w:t xml:space="preserve">8.1 </w:t>
      </w:r>
      <w:r>
        <w:rPr>
          <w:rFonts w:ascii="楷体_GB2312" w:eastAsia="楷体_GB2312" w:hAnsi="楷体_GB2312"/>
        </w:rPr>
        <w:t>团队组织架构</w:t>
      </w:r>
    </w:p>
    <w:p w14:paraId="26BBC09F" w14:textId="77777777" w:rsidR="00680242" w:rsidRDefault="00B40361">
      <w:pPr>
        <w:jc w:val="both"/>
      </w:pPr>
      <w:r>
        <w:rPr>
          <w:rFonts w:ascii="仿宋_GB2312" w:hAnsi="仿宋_GB2312"/>
        </w:rPr>
        <w:t>技术部</w:t>
      </w:r>
    </w:p>
    <w:p w14:paraId="0BD9557A" w14:textId="77777777" w:rsidR="00680242" w:rsidRDefault="00B40361">
      <w:pPr>
        <w:jc w:val="both"/>
      </w:pPr>
      <w:r>
        <w:rPr>
          <w:rFonts w:ascii="仿宋_GB2312" w:hAnsi="仿宋_GB2312"/>
        </w:rPr>
        <w:t>技术部负责数据文件解析、模型训练、网站与小程序联调、系统部署与版本维护，保障等级识别、产地溯源和报告生成链路稳定运行。该部门直接承担样本字段设计、算法调优、接口开发、异常排查和上线测试等核心工作。</w:t>
      </w:r>
    </w:p>
    <w:p w14:paraId="2BB0E843" w14:textId="77777777" w:rsidR="00680242" w:rsidRDefault="00B40361">
      <w:pPr>
        <w:jc w:val="both"/>
      </w:pPr>
      <w:r>
        <w:rPr>
          <w:rFonts w:ascii="仿宋_GB2312" w:hAnsi="仿宋_GB2312"/>
        </w:rPr>
        <w:t>团队技术成员具备</w:t>
      </w:r>
      <w:r>
        <w:rPr>
          <w:rFonts w:ascii="仿宋_GB2312" w:hAnsi="仿宋_GB2312"/>
        </w:rPr>
        <w:t xml:space="preserve"> Python</w:t>
      </w:r>
      <w:r>
        <w:rPr>
          <w:rFonts w:ascii="仿宋_GB2312" w:hAnsi="仿宋_GB2312"/>
        </w:rPr>
        <w:t>、</w:t>
      </w:r>
      <w:r>
        <w:rPr>
          <w:rFonts w:ascii="仿宋_GB2312" w:hAnsi="仿宋_GB2312"/>
        </w:rPr>
        <w:t>Java</w:t>
      </w:r>
      <w:r>
        <w:rPr>
          <w:rFonts w:ascii="仿宋_GB2312" w:hAnsi="仿宋_GB2312"/>
        </w:rPr>
        <w:t>、</w:t>
      </w:r>
      <w:r>
        <w:rPr>
          <w:rFonts w:ascii="仿宋_GB2312" w:hAnsi="仿宋_GB2312"/>
        </w:rPr>
        <w:t>C++</w:t>
      </w:r>
      <w:r>
        <w:rPr>
          <w:rFonts w:ascii="仿宋_GB2312" w:hAnsi="仿宋_GB2312"/>
        </w:rPr>
        <w:t>、前后端开发、模型部署和高光谱数据处理能力，能够在同一项目内完成样本处理、算法实现、页面接入和双端功能联动。</w:t>
      </w:r>
    </w:p>
    <w:p w14:paraId="3CCB1BFF" w14:textId="77777777" w:rsidR="00680242" w:rsidRDefault="00B40361">
      <w:pPr>
        <w:jc w:val="both"/>
      </w:pPr>
      <w:r>
        <w:rPr>
          <w:rFonts w:ascii="仿宋_GB2312" w:hAnsi="仿宋_GB2312"/>
        </w:rPr>
        <w:t>市场营销部</w:t>
      </w:r>
    </w:p>
    <w:p w14:paraId="56FDCE51" w14:textId="77777777" w:rsidR="00680242" w:rsidRDefault="00B40361">
      <w:pPr>
        <w:jc w:val="both"/>
      </w:pPr>
      <w:r>
        <w:rPr>
          <w:rFonts w:ascii="仿宋_GB2312" w:hAnsi="仿宋_GB2312"/>
        </w:rPr>
        <w:t>市场营销部负责产区调研、用户需求访谈、竞品分析、试点对接和合作转化，重点围绕果园、合作社、品牌方和渠道方制定推广材料与服务方案，确保产品表达与客户需求保持一致。</w:t>
      </w:r>
    </w:p>
    <w:p w14:paraId="61E0DA9B" w14:textId="77777777" w:rsidR="00680242" w:rsidRDefault="00B40361">
      <w:pPr>
        <w:jc w:val="both"/>
      </w:pPr>
      <w:r>
        <w:rPr>
          <w:rFonts w:ascii="仿宋_GB2312" w:hAnsi="仿宋_GB2312"/>
        </w:rPr>
        <w:t>财务部</w:t>
      </w:r>
    </w:p>
    <w:p w14:paraId="0A2F5CB4" w14:textId="77777777" w:rsidR="00680242" w:rsidRDefault="00B40361">
      <w:pPr>
        <w:jc w:val="both"/>
      </w:pPr>
      <w:r>
        <w:rPr>
          <w:rFonts w:ascii="仿宋_GB2312" w:hAnsi="仿宋_GB2312"/>
        </w:rPr>
        <w:t>财务部负责收入模型测算、预算控制、成本复盘、合作报价与资金统筹，重点保障样本采集、服务器、差旅实施和知识产权支出处于可控区间，并为年度服务定价和融资节奏提供依据。</w:t>
      </w:r>
    </w:p>
    <w:p w14:paraId="56042A8C" w14:textId="77777777" w:rsidR="00680242" w:rsidRDefault="00B40361">
      <w:pPr>
        <w:jc w:val="both"/>
      </w:pPr>
      <w:r>
        <w:rPr>
          <w:rFonts w:ascii="仿宋_GB2312" w:hAnsi="仿宋_GB2312"/>
        </w:rPr>
        <w:t>行政部</w:t>
      </w:r>
    </w:p>
    <w:p w14:paraId="78E12FCC" w14:textId="77777777" w:rsidR="00680242" w:rsidRDefault="00B40361">
      <w:pPr>
        <w:jc w:val="both"/>
      </w:pPr>
      <w:r>
        <w:rPr>
          <w:rFonts w:ascii="仿宋_GB2312" w:hAnsi="仿宋_GB2312"/>
        </w:rPr>
        <w:t>行政部负责进度排期、资料归档、赛事申报、校内外资源协调和合作文书管理，保障样本、模型、产品、财务和合作信息能够形成统一台账。</w:t>
      </w:r>
    </w:p>
    <w:p w14:paraId="71F3975F" w14:textId="77777777" w:rsidR="00680242" w:rsidRDefault="00B40361">
      <w:pPr>
        <w:pStyle w:val="21"/>
        <w:ind w:firstLine="0"/>
      </w:pPr>
      <w:r>
        <w:rPr>
          <w:rFonts w:ascii="楷体_GB2312" w:eastAsia="楷体_GB2312" w:hAnsi="楷体_GB2312"/>
        </w:rPr>
        <w:t xml:space="preserve">8.2 </w:t>
      </w:r>
      <w:r>
        <w:rPr>
          <w:rFonts w:ascii="楷体_GB2312" w:eastAsia="楷体_GB2312" w:hAnsi="楷体_GB2312"/>
        </w:rPr>
        <w:t>专家顾问团队</w:t>
      </w:r>
    </w:p>
    <w:p w14:paraId="290317DE" w14:textId="77777777" w:rsidR="00680242" w:rsidRDefault="00B40361">
      <w:pPr>
        <w:jc w:val="both"/>
      </w:pPr>
      <w:r>
        <w:rPr>
          <w:rFonts w:ascii="仿宋_GB2312" w:hAnsi="仿宋_GB2312"/>
        </w:rPr>
        <w:t>团队聘请人工智能、深度学习和经济管理领域的三位教师担任顾问，分别在算法路线、模型优化、商业落地与供应链场景方面提供专业指导，为项目研发和推广提供学术与实践支撑。</w:t>
      </w:r>
    </w:p>
    <w:p w14:paraId="76B758F7" w14:textId="77777777" w:rsidR="00680242" w:rsidRDefault="00B40361">
      <w:pPr>
        <w:ind w:firstLine="0"/>
      </w:pPr>
      <w:r>
        <w:rPr>
          <w:rFonts w:ascii="仿宋_GB2312" w:hAnsi="仿宋_GB2312"/>
        </w:rPr>
        <w:t xml:space="preserve">8.2.1 </w:t>
      </w:r>
      <w:r>
        <w:rPr>
          <w:rFonts w:ascii="仿宋_GB2312" w:hAnsi="仿宋_GB2312"/>
        </w:rPr>
        <w:t>刘波副教授：算法建模顾问</w:t>
      </w:r>
    </w:p>
    <w:p w14:paraId="72DCFA35" w14:textId="77777777" w:rsidR="00680242" w:rsidRDefault="00B40361">
      <w:pPr>
        <w:jc w:val="both"/>
      </w:pPr>
      <w:r>
        <w:rPr>
          <w:rFonts w:ascii="仿宋_GB2312" w:hAnsi="仿宋_GB2312"/>
        </w:rPr>
        <w:t>刘波老师现任海南师范大学信息科学技术学院副教授、人工智能系主任，毕业于电子科技大学，获物理学博士学位。其学术研究深耕复杂网络信息挖掘、高阶网络、复杂性科学与人工智能理论等前沿领域，以第一作者或通讯作者身份在</w:t>
      </w:r>
      <w:r>
        <w:rPr>
          <w:rFonts w:ascii="仿宋_GB2312" w:hAnsi="仿宋_GB2312"/>
        </w:rPr>
        <w:t xml:space="preserve"> Expert </w:t>
      </w:r>
      <w:r>
        <w:rPr>
          <w:rFonts w:ascii="仿宋_GB2312" w:hAnsi="仿宋_GB2312"/>
        </w:rPr>
        <w:lastRenderedPageBreak/>
        <w:t>Systems with Applications</w:t>
      </w:r>
      <w:r>
        <w:rPr>
          <w:rFonts w:ascii="仿宋_GB2312" w:hAnsi="仿宋_GB2312"/>
        </w:rPr>
        <w:t>、</w:t>
      </w:r>
      <w:r>
        <w:rPr>
          <w:rFonts w:ascii="仿宋_GB2312" w:hAnsi="仿宋_GB2312"/>
        </w:rPr>
        <w:t>Chaos</w:t>
      </w:r>
      <w:r>
        <w:rPr>
          <w:rFonts w:ascii="仿宋_GB2312" w:hAnsi="仿宋_GB2312"/>
        </w:rPr>
        <w:t>、《物理学报》等国内外权威</w:t>
      </w:r>
      <w:r>
        <w:rPr>
          <w:rFonts w:ascii="仿宋_GB2312" w:hAnsi="仿宋_GB2312"/>
        </w:rPr>
        <w:t>SCI</w:t>
      </w:r>
      <w:r>
        <w:rPr>
          <w:rFonts w:ascii="仿宋_GB2312" w:hAnsi="仿宋_GB2312"/>
        </w:rPr>
        <w:t>期刊发表学术论文</w:t>
      </w:r>
      <w:r>
        <w:rPr>
          <w:rFonts w:ascii="仿宋_GB2312" w:hAnsi="仿宋_GB2312"/>
        </w:rPr>
        <w:t>7</w:t>
      </w:r>
      <w:r>
        <w:rPr>
          <w:rFonts w:ascii="仿宋_GB2312" w:hAnsi="仿宋_GB2312"/>
        </w:rPr>
        <w:t>篇，申请国家发明专利</w:t>
      </w:r>
      <w:r>
        <w:rPr>
          <w:rFonts w:ascii="仿宋_GB2312" w:hAnsi="仿宋_GB2312"/>
        </w:rPr>
        <w:t>8</w:t>
      </w:r>
      <w:r>
        <w:rPr>
          <w:rFonts w:ascii="仿宋_GB2312" w:hAnsi="仿宋_GB2312"/>
        </w:rPr>
        <w:t>项。主持或参与海南省教育厅高校科研项目、科技部脑科学重大项目等多项省部级及以上课题，现担任中国自动化学会计算社会与社会智能专委会委员，并受聘为多家</w:t>
      </w:r>
      <w:r>
        <w:rPr>
          <w:rFonts w:ascii="仿宋_GB2312" w:hAnsi="仿宋_GB2312"/>
        </w:rPr>
        <w:t>SCI</w:t>
      </w:r>
      <w:r>
        <w:rPr>
          <w:rFonts w:ascii="仿宋_GB2312" w:hAnsi="仿宋_GB2312"/>
        </w:rPr>
        <w:t>期刊独立审稿人。</w:t>
      </w:r>
    </w:p>
    <w:p w14:paraId="2277B479" w14:textId="77777777" w:rsidR="00680242" w:rsidRDefault="00B40361">
      <w:pPr>
        <w:jc w:val="both"/>
      </w:pPr>
      <w:r>
        <w:rPr>
          <w:rFonts w:ascii="仿宋_GB2312" w:hAnsi="仿宋_GB2312"/>
        </w:rPr>
        <w:t>顾问职责：刘波老师主要指导高光谱数据建模、复杂样本抗干扰处理和特征波段筛选，并协助团队对接实验条件和算法研究资源，提升等级识别与产地溯源模型的稳定性。</w:t>
      </w:r>
    </w:p>
    <w:p w14:paraId="65534B1D" w14:textId="77777777" w:rsidR="00680242" w:rsidRDefault="00B40361">
      <w:pPr>
        <w:ind w:firstLine="0"/>
      </w:pPr>
      <w:r>
        <w:rPr>
          <w:rFonts w:ascii="仿宋_GB2312" w:hAnsi="仿宋_GB2312"/>
        </w:rPr>
        <w:t xml:space="preserve">8.2.2 </w:t>
      </w:r>
      <w:r>
        <w:rPr>
          <w:rFonts w:ascii="仿宋_GB2312" w:hAnsi="仿宋_GB2312"/>
        </w:rPr>
        <w:t>龙海侠教授：深度学习顾问</w:t>
      </w:r>
    </w:p>
    <w:p w14:paraId="47758A7A" w14:textId="77777777" w:rsidR="00680242" w:rsidRDefault="00B40361">
      <w:pPr>
        <w:jc w:val="both"/>
      </w:pPr>
      <w:r>
        <w:rPr>
          <w:rFonts w:ascii="仿宋_GB2312" w:hAnsi="仿宋_GB2312"/>
        </w:rPr>
        <w:t>龙海侠教授现任海南师范大学计算机科学与技术学科教授、博士生导师，系海南省南海名家、高层次拔尖人才，同时担任国家自然科学基金函评专家。其研究方向聚焦人工智能（机器学习</w:t>
      </w:r>
      <w:r>
        <w:rPr>
          <w:rFonts w:ascii="仿宋_GB2312" w:hAnsi="仿宋_GB2312"/>
        </w:rPr>
        <w:t>/</w:t>
      </w:r>
      <w:r>
        <w:rPr>
          <w:rFonts w:ascii="仿宋_GB2312" w:hAnsi="仿宋_GB2312"/>
        </w:rPr>
        <w:t>深度学习）与网络空间安全两大核心领域，主持国家自然科学基金项目</w:t>
      </w:r>
      <w:r>
        <w:rPr>
          <w:rFonts w:ascii="仿宋_GB2312" w:hAnsi="仿宋_GB2312"/>
        </w:rPr>
        <w:t>2</w:t>
      </w:r>
      <w:r>
        <w:rPr>
          <w:rFonts w:ascii="仿宋_GB2312" w:hAnsi="仿宋_GB2312"/>
        </w:rPr>
        <w:t>项、海南省自然科学基金项目</w:t>
      </w:r>
      <w:r>
        <w:rPr>
          <w:rFonts w:ascii="仿宋_GB2312" w:hAnsi="仿宋_GB2312"/>
        </w:rPr>
        <w:t>4</w:t>
      </w:r>
      <w:r>
        <w:rPr>
          <w:rFonts w:ascii="仿宋_GB2312" w:hAnsi="仿宋_GB2312"/>
        </w:rPr>
        <w:t>项，以第一作者或通讯作者发表高水平学术论文</w:t>
      </w:r>
      <w:r>
        <w:rPr>
          <w:rFonts w:ascii="仿宋_GB2312" w:hAnsi="仿宋_GB2312"/>
        </w:rPr>
        <w:t>60</w:t>
      </w:r>
      <w:r>
        <w:rPr>
          <w:rFonts w:ascii="仿宋_GB2312" w:hAnsi="仿宋_GB2312"/>
        </w:rPr>
        <w:t>余篇，出版学术专著</w:t>
      </w:r>
      <w:r>
        <w:rPr>
          <w:rFonts w:ascii="仿宋_GB2312" w:hAnsi="仿宋_GB2312"/>
        </w:rPr>
        <w:t>3</w:t>
      </w:r>
      <w:r>
        <w:rPr>
          <w:rFonts w:ascii="仿宋_GB2312" w:hAnsi="仿宋_GB2312"/>
        </w:rPr>
        <w:t>部，获授权专利</w:t>
      </w:r>
      <w:r>
        <w:rPr>
          <w:rFonts w:ascii="仿宋_GB2312" w:hAnsi="仿宋_GB2312"/>
        </w:rPr>
        <w:t>11</w:t>
      </w:r>
      <w:r>
        <w:rPr>
          <w:rFonts w:ascii="仿宋_GB2312" w:hAnsi="仿宋_GB2312"/>
        </w:rPr>
        <w:t>项，拥有丰富的人工智能领域科研积累与产业化落地经验，在业界享有较高学术声誉。</w:t>
      </w:r>
    </w:p>
    <w:p w14:paraId="034E363A" w14:textId="77777777" w:rsidR="00680242" w:rsidRDefault="00B40361">
      <w:pPr>
        <w:jc w:val="both"/>
      </w:pPr>
      <w:r>
        <w:rPr>
          <w:rFonts w:ascii="仿宋_GB2312" w:hAnsi="仿宋_GB2312"/>
        </w:rPr>
        <w:t>顾问职责：龙海侠教授主要指导深度学习模型架构、训练策略、产业化转化与知识产权布局，帮助团队提升模型精度、工程化能力和后续落地水平。</w:t>
      </w:r>
    </w:p>
    <w:p w14:paraId="6A83029E" w14:textId="77777777" w:rsidR="00680242" w:rsidRDefault="00B40361">
      <w:pPr>
        <w:ind w:firstLine="0"/>
      </w:pPr>
      <w:r>
        <w:rPr>
          <w:rFonts w:ascii="仿宋_GB2312" w:hAnsi="仿宋_GB2312"/>
        </w:rPr>
        <w:t xml:space="preserve">8.2.3 </w:t>
      </w:r>
      <w:r>
        <w:rPr>
          <w:rFonts w:ascii="仿宋_GB2312" w:hAnsi="仿宋_GB2312"/>
        </w:rPr>
        <w:t>程明雄副教授：商业与供应链顾问</w:t>
      </w:r>
    </w:p>
    <w:p w14:paraId="3F086668" w14:textId="77777777" w:rsidR="00680242" w:rsidRDefault="00B40361">
      <w:pPr>
        <w:jc w:val="both"/>
      </w:pPr>
      <w:r>
        <w:rPr>
          <w:rFonts w:ascii="仿宋_GB2312" w:hAnsi="仿宋_GB2312"/>
        </w:rP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w:t>
      </w:r>
      <w:r>
        <w:rPr>
          <w:rFonts w:ascii="仿宋_GB2312" w:hAnsi="仿宋_GB2312"/>
        </w:rPr>
        <w:t>2020</w:t>
      </w:r>
      <w:r>
        <w:rPr>
          <w:rFonts w:ascii="仿宋_GB2312" w:hAnsi="仿宋_GB2312"/>
        </w:rPr>
        <w:t>年入选海南省现代物流业专家库，在海南省产业经济与物流领域具有较高的实践影响力。</w:t>
      </w:r>
    </w:p>
    <w:p w14:paraId="404D69B1" w14:textId="77777777" w:rsidR="00680242" w:rsidRDefault="00B40361">
      <w:pPr>
        <w:jc w:val="both"/>
      </w:pPr>
      <w:r>
        <w:rPr>
          <w:rFonts w:ascii="仿宋_GB2312" w:hAnsi="仿宋_GB2312"/>
        </w:rPr>
        <w:t>顾问职责：程明雄副教授主要指导项目的市场布局、供应链协同、区域合作和财务分析，帮助团队把产品能力与海南本地产业需求进行对接。</w:t>
      </w:r>
    </w:p>
    <w:p w14:paraId="74DC70D5" w14:textId="77777777" w:rsidR="00680242" w:rsidRDefault="00B40361">
      <w:pPr>
        <w:pStyle w:val="21"/>
        <w:ind w:firstLine="0"/>
      </w:pPr>
      <w:r>
        <w:rPr>
          <w:rFonts w:ascii="楷体_GB2312" w:eastAsia="楷体_GB2312" w:hAnsi="楷体_GB2312"/>
        </w:rPr>
        <w:t xml:space="preserve">8.3 </w:t>
      </w:r>
      <w:r>
        <w:rPr>
          <w:rFonts w:ascii="楷体_GB2312" w:eastAsia="楷体_GB2312" w:hAnsi="楷体_GB2312"/>
        </w:rPr>
        <w:t>核心团队成员介绍</w:t>
      </w:r>
    </w:p>
    <w:p w14:paraId="47E18ACC" w14:textId="77777777" w:rsidR="00680242" w:rsidRDefault="00B40361">
      <w:pPr>
        <w:jc w:val="both"/>
      </w:pPr>
      <w:r>
        <w:rPr>
          <w:rFonts w:ascii="仿宋_GB2312" w:hAnsi="仿宋_GB2312"/>
        </w:rPr>
        <w:t>团队核心成员覆盖算法研发、后端服务、前端产品、双端集成和项目管理，分工直接对应</w:t>
      </w:r>
      <w:r>
        <w:rPr>
          <w:rFonts w:ascii="仿宋_GB2312" w:hAnsi="仿宋_GB2312"/>
        </w:rPr>
        <w:t>“</w:t>
      </w:r>
      <w:r>
        <w:rPr>
          <w:rFonts w:ascii="仿宋_GB2312" w:hAnsi="仿宋_GB2312"/>
        </w:rPr>
        <w:t>文件上传</w:t>
      </w:r>
      <w:r>
        <w:rPr>
          <w:rFonts w:ascii="仿宋_GB2312" w:hAnsi="仿宋_GB2312"/>
        </w:rPr>
        <w:t xml:space="preserve"> - </w:t>
      </w:r>
      <w:r>
        <w:rPr>
          <w:rFonts w:ascii="仿宋_GB2312" w:hAnsi="仿宋_GB2312"/>
        </w:rPr>
        <w:t>智能分析</w:t>
      </w:r>
      <w:r>
        <w:rPr>
          <w:rFonts w:ascii="仿宋_GB2312" w:hAnsi="仿宋_GB2312"/>
        </w:rPr>
        <w:t xml:space="preserve"> - </w:t>
      </w:r>
      <w:r>
        <w:rPr>
          <w:rFonts w:ascii="仿宋_GB2312" w:hAnsi="仿宋_GB2312"/>
        </w:rPr>
        <w:t>报告输出</w:t>
      </w:r>
      <w:r>
        <w:rPr>
          <w:rFonts w:ascii="仿宋_GB2312" w:hAnsi="仿宋_GB2312"/>
        </w:rPr>
        <w:t xml:space="preserve"> - </w:t>
      </w:r>
      <w:r>
        <w:rPr>
          <w:rFonts w:ascii="仿宋_GB2312" w:hAnsi="仿宋_GB2312"/>
        </w:rPr>
        <w:t>历史管理</w:t>
      </w:r>
      <w:r>
        <w:rPr>
          <w:rFonts w:ascii="仿宋_GB2312" w:hAnsi="仿宋_GB2312"/>
        </w:rPr>
        <w:t>”</w:t>
      </w:r>
      <w:r>
        <w:rPr>
          <w:rFonts w:ascii="仿宋_GB2312" w:hAnsi="仿宋_GB2312"/>
        </w:rPr>
        <w:t>这条产品链路。</w:t>
      </w:r>
    </w:p>
    <w:p w14:paraId="329691D9" w14:textId="77777777" w:rsidR="00680242" w:rsidRDefault="00B40361">
      <w:pPr>
        <w:ind w:firstLine="0"/>
      </w:pPr>
      <w:r>
        <w:rPr>
          <w:rFonts w:ascii="仿宋_GB2312" w:hAnsi="仿宋_GB2312"/>
        </w:rPr>
        <w:lastRenderedPageBreak/>
        <w:t xml:space="preserve">8.3.1 </w:t>
      </w:r>
      <w:r>
        <w:rPr>
          <w:rFonts w:ascii="仿宋_GB2312" w:hAnsi="仿宋_GB2312"/>
        </w:rPr>
        <w:t>彭斯逸：项目负责人</w:t>
      </w:r>
    </w:p>
    <w:p w14:paraId="5565EE39" w14:textId="77777777" w:rsidR="00680242" w:rsidRDefault="00B40361">
      <w:pPr>
        <w:jc w:val="both"/>
      </w:pPr>
      <w:r>
        <w:rPr>
          <w:rFonts w:ascii="仿宋_GB2312" w:hAnsi="仿宋_GB2312"/>
        </w:rPr>
        <w:t>彭斯逸负责项目总体路线设计、成员协调、外部合作对接和核心算法方案把控，重点负责样本体系搭建、等级识别逻辑设计和产地溯源模型路线规划。</w:t>
      </w:r>
    </w:p>
    <w:p w14:paraId="4270E9FB" w14:textId="77777777" w:rsidR="00680242" w:rsidRDefault="00B40361">
      <w:pPr>
        <w:jc w:val="both"/>
      </w:pPr>
      <w:r>
        <w:rPr>
          <w:rFonts w:ascii="仿宋_GB2312" w:hAnsi="仿宋_GB2312"/>
        </w:rPr>
        <w:t>其职责覆盖目标拆解、技术路线协调、结果边界把控和对外表达统一，是团队的总负责人。</w:t>
      </w:r>
    </w:p>
    <w:p w14:paraId="00CD23E5" w14:textId="77777777" w:rsidR="00680242" w:rsidRDefault="00B40361">
      <w:pPr>
        <w:ind w:firstLine="0"/>
      </w:pPr>
      <w:r>
        <w:rPr>
          <w:rFonts w:ascii="仿宋_GB2312" w:hAnsi="仿宋_GB2312"/>
        </w:rPr>
        <w:t xml:space="preserve">8.3.2 </w:t>
      </w:r>
      <w:r>
        <w:rPr>
          <w:rFonts w:ascii="仿宋_GB2312" w:hAnsi="仿宋_GB2312"/>
        </w:rPr>
        <w:t>唐天赐：算法与后端开发</w:t>
      </w:r>
    </w:p>
    <w:p w14:paraId="58E6B645" w14:textId="77777777" w:rsidR="00680242" w:rsidRDefault="00B40361">
      <w:pPr>
        <w:jc w:val="both"/>
      </w:pPr>
      <w:r>
        <w:rPr>
          <w:rFonts w:ascii="仿宋_GB2312" w:hAnsi="仿宋_GB2312"/>
        </w:rPr>
        <w:t>唐天赐负责数据处理、特征提取、后端接口和分析服务开发，承担文件上传后的任务调度、结果存储、模型调用与报告生成等关键链路。</w:t>
      </w:r>
    </w:p>
    <w:p w14:paraId="25EB6A1C" w14:textId="77777777" w:rsidR="00680242" w:rsidRDefault="00B40361">
      <w:pPr>
        <w:jc w:val="both"/>
      </w:pPr>
      <w:r>
        <w:rPr>
          <w:rFonts w:ascii="仿宋_GB2312" w:hAnsi="仿宋_GB2312"/>
        </w:rPr>
        <w:t>他重点保障高光谱数据进入分析服务后的稳定处理，并负责将算法结果转化为网站端与小程序端可直接调用的数据接口。</w:t>
      </w:r>
    </w:p>
    <w:p w14:paraId="53526879" w14:textId="77777777" w:rsidR="00680242" w:rsidRDefault="00B40361">
      <w:pPr>
        <w:ind w:firstLine="0"/>
      </w:pPr>
      <w:r>
        <w:rPr>
          <w:rFonts w:ascii="仿宋_GB2312" w:hAnsi="仿宋_GB2312"/>
        </w:rPr>
        <w:t xml:space="preserve">8.3.3 </w:t>
      </w:r>
      <w:r>
        <w:rPr>
          <w:rFonts w:ascii="仿宋_GB2312" w:hAnsi="仿宋_GB2312"/>
        </w:rPr>
        <w:t>艾舜杰：平台集成与前端开发</w:t>
      </w:r>
    </w:p>
    <w:p w14:paraId="1B7EBB8E" w14:textId="77777777" w:rsidR="00680242" w:rsidRDefault="00B40361">
      <w:pPr>
        <w:jc w:val="both"/>
      </w:pPr>
      <w:r>
        <w:rPr>
          <w:rFonts w:ascii="仿宋_GB2312" w:hAnsi="仿宋_GB2312"/>
        </w:rPr>
        <w:t>艾舜杰负责网站端、小程序端页面实现和双端交互逻辑开发，承担分析页、历史页、可视化页和移动端查询流程的产品落地。</w:t>
      </w:r>
    </w:p>
    <w:p w14:paraId="67EE0901" w14:textId="77777777" w:rsidR="00680242" w:rsidRDefault="00B40361">
      <w:pPr>
        <w:jc w:val="both"/>
      </w:pPr>
      <w:r>
        <w:rPr>
          <w:rFonts w:ascii="仿宋_GB2312" w:hAnsi="仿宋_GB2312"/>
        </w:rPr>
        <w:t>他重点处理页面展示、结果回看、交互体验和双端联调，保证文件上传、结果展示、历史查询和报告下载在产品层面形成闭环。</w:t>
      </w:r>
    </w:p>
    <w:p w14:paraId="31DC6413" w14:textId="77777777" w:rsidR="00680242" w:rsidRDefault="00B40361">
      <w:pPr>
        <w:pStyle w:val="21"/>
        <w:ind w:firstLine="0"/>
      </w:pPr>
      <w:r>
        <w:rPr>
          <w:rFonts w:ascii="楷体_GB2312" w:eastAsia="楷体_GB2312" w:hAnsi="楷体_GB2312"/>
        </w:rPr>
        <w:t xml:space="preserve">8.4 </w:t>
      </w:r>
      <w:r>
        <w:rPr>
          <w:rFonts w:ascii="楷体_GB2312" w:eastAsia="楷体_GB2312" w:hAnsi="楷体_GB2312"/>
        </w:rPr>
        <w:t>团队核心优势</w:t>
      </w:r>
    </w:p>
    <w:p w14:paraId="6EF7F847" w14:textId="77777777" w:rsidR="00680242" w:rsidRDefault="00B40361">
      <w:pPr>
        <w:jc w:val="both"/>
      </w:pPr>
      <w:r>
        <w:rPr>
          <w:rFonts w:ascii="仿宋_GB2312" w:hAnsi="仿宋_GB2312"/>
        </w:rPr>
        <w:t>专业结构较为完整</w:t>
      </w:r>
    </w:p>
    <w:p w14:paraId="39FCB1A8" w14:textId="77777777" w:rsidR="00680242" w:rsidRDefault="00B40361">
      <w:pPr>
        <w:jc w:val="both"/>
      </w:pPr>
      <w:r>
        <w:rPr>
          <w:rFonts w:ascii="仿宋_GB2312" w:hAnsi="仿宋_GB2312"/>
        </w:rPr>
        <w:t>团队成员覆盖人工智能算法、全栈开发、高光谱数据处理、市场运营、财务管理和行政统筹，能独立完成样本、算法、系统、报告和合作沟通全链路工作。</w:t>
      </w:r>
    </w:p>
    <w:p w14:paraId="2E38493B" w14:textId="77777777" w:rsidR="00680242" w:rsidRDefault="00B40361">
      <w:pPr>
        <w:jc w:val="both"/>
      </w:pPr>
      <w:r>
        <w:rPr>
          <w:rFonts w:ascii="仿宋_GB2312" w:hAnsi="仿宋_GB2312"/>
        </w:rPr>
        <w:t>校内资源与顾问支持扎实</w:t>
      </w:r>
    </w:p>
    <w:p w14:paraId="405E360C" w14:textId="77777777" w:rsidR="00680242" w:rsidRDefault="00B40361">
      <w:pPr>
        <w:jc w:val="both"/>
      </w:pPr>
      <w:r>
        <w:rPr>
          <w:rFonts w:ascii="仿宋_GB2312" w:hAnsi="仿宋_GB2312"/>
        </w:rPr>
        <w:t>团队依托海南师范大学信息科学技术学院、经济与管理学院的师资和实验条件，同时获得顾问团队在算法建模、深度学习、商业落地与供应链管理等方面的持续指导。</w:t>
      </w:r>
    </w:p>
    <w:p w14:paraId="794C4D7D" w14:textId="77777777" w:rsidR="00680242" w:rsidRDefault="00B40361">
      <w:pPr>
        <w:jc w:val="both"/>
      </w:pPr>
      <w:r>
        <w:rPr>
          <w:rFonts w:ascii="仿宋_GB2312" w:hAnsi="仿宋_GB2312"/>
        </w:rPr>
        <w:t>项目执行与竞赛表达基础较好</w:t>
      </w:r>
    </w:p>
    <w:p w14:paraId="7F459A29" w14:textId="77777777" w:rsidR="00680242" w:rsidRDefault="00B40361">
      <w:pPr>
        <w:jc w:val="both"/>
      </w:pPr>
      <w:r>
        <w:rPr>
          <w:rFonts w:ascii="仿宋_GB2312" w:hAnsi="仿宋_GB2312"/>
        </w:rPr>
        <w:t>团队具备竞赛文本撰写、产品演示、方案答辩和工程实现能力，能把模型结果直接转化为计划书、双端页面和标准化报告。</w:t>
      </w:r>
    </w:p>
    <w:p w14:paraId="2C380A83" w14:textId="77777777" w:rsidR="00680242" w:rsidRDefault="00B40361">
      <w:pPr>
        <w:jc w:val="both"/>
      </w:pPr>
      <w:r>
        <w:rPr>
          <w:rFonts w:ascii="仿宋_GB2312" w:hAnsi="仿宋_GB2312"/>
        </w:rPr>
        <w:t>海南在地场景认知较强</w:t>
      </w:r>
    </w:p>
    <w:p w14:paraId="7CF8018D" w14:textId="77777777" w:rsidR="00680242" w:rsidRDefault="00B40361">
      <w:pPr>
        <w:jc w:val="both"/>
      </w:pPr>
      <w:r>
        <w:rPr>
          <w:rFonts w:ascii="仿宋_GB2312" w:hAnsi="仿宋_GB2312"/>
        </w:rPr>
        <w:lastRenderedPageBreak/>
        <w:t>团队长期在海南学习和实践，对本地特色水果产业、区域品牌果品和校地合作资源有直接理解，适合从澄迈福橙、琼中绿橙等对象切入，先做样板，再做复制。</w:t>
      </w:r>
    </w:p>
    <w:p w14:paraId="516086BE" w14:textId="77777777" w:rsidR="00680242" w:rsidRDefault="00B40361">
      <w:pPr>
        <w:pStyle w:val="1"/>
        <w:ind w:firstLine="0"/>
      </w:pPr>
      <w:r>
        <w:rPr>
          <w:rFonts w:ascii="黑体" w:eastAsia="黑体" w:hAnsi="黑体"/>
        </w:rPr>
        <w:t>第九章</w:t>
      </w:r>
      <w:r>
        <w:rPr>
          <w:rFonts w:ascii="黑体" w:eastAsia="黑体" w:hAnsi="黑体"/>
        </w:rPr>
        <w:t xml:space="preserve"> </w:t>
      </w:r>
      <w:r>
        <w:rPr>
          <w:rFonts w:ascii="黑体" w:eastAsia="黑体" w:hAnsi="黑体"/>
        </w:rPr>
        <w:t>财务预测</w:t>
      </w:r>
    </w:p>
    <w:p w14:paraId="7F1DFF10" w14:textId="77777777" w:rsidR="00680242" w:rsidRDefault="00B40361">
      <w:pPr>
        <w:pStyle w:val="21"/>
        <w:ind w:firstLine="0"/>
      </w:pPr>
      <w:r>
        <w:rPr>
          <w:rFonts w:ascii="楷体_GB2312" w:eastAsia="楷体_GB2312" w:hAnsi="楷体_GB2312"/>
        </w:rPr>
        <w:t xml:space="preserve">9.1 </w:t>
      </w:r>
      <w:r>
        <w:rPr>
          <w:rFonts w:ascii="楷体_GB2312" w:eastAsia="楷体_GB2312" w:hAnsi="楷体_GB2312"/>
        </w:rPr>
        <w:t>财务假设前提</w:t>
      </w:r>
    </w:p>
    <w:p w14:paraId="3CCEF310" w14:textId="77777777" w:rsidR="00680242" w:rsidRDefault="00B40361">
      <w:pPr>
        <w:jc w:val="both"/>
      </w:pPr>
      <w:r>
        <w:rPr>
          <w:rFonts w:ascii="仿宋_GB2312" w:hAnsi="仿宋_GB2312"/>
        </w:rPr>
        <w:t>本章财务测算按照轻资产数字化服务模式进行，默认项目已完成网站端与小程序端开发，并具备面向合作社、品牌方、渠道方和区域服务机构提供分析服务的基础条件。测算口径以批次分析服务、年度账号服务和定制化服务为主，不将硬件销售、大规模政府采购、未签约渠道合作和一次性非经营性收入计入主营业务，保证预测结果与现阶段产品能力保持一致。</w:t>
      </w:r>
    </w:p>
    <w:p w14:paraId="6A4F762A" w14:textId="77777777" w:rsidR="00680242" w:rsidRDefault="00B40361">
      <w:pPr>
        <w:jc w:val="both"/>
      </w:pPr>
      <w:r>
        <w:rPr>
          <w:rFonts w:ascii="仿宋_GB2312" w:hAnsi="仿宋_GB2312"/>
        </w:rPr>
        <w:t>收入端主要来源于三类业务。第一类为单批次分析与报告输出服务，对应分选、验货、复检和阶段性样本判断等高频场景；第二类为年度账号服务，对应持续使用网站端、小程序端、历史档案和报告模板的稳定客户；第三类为区域品牌共建、定制模型、专属报告模板和专项数据服务，对应重点客户和区域合作项目。三类收入之间并非并列孤立，而是由单次合作逐步转化为长期服务的递进关系。</w:t>
      </w:r>
    </w:p>
    <w:p w14:paraId="057522CC" w14:textId="77777777" w:rsidR="00680242" w:rsidRDefault="00B40361">
      <w:pPr>
        <w:jc w:val="both"/>
      </w:pPr>
      <w:r>
        <w:rPr>
          <w:rFonts w:ascii="仿宋_GB2312" w:hAnsi="仿宋_GB2312"/>
        </w:rPr>
        <w:t>成本端主要包括样本采集与理化标定、模型训练与迭代、云服务器与存储、小程序与网站维护、现场实施以及商务差旅等支出。项目早期成本压力集中在样本建设和系统稳定性提升，中后期则更多表现为交付扩张、客户维护和模型迭代的持续投入。因此，本章所有测算均以</w:t>
      </w:r>
      <w:r>
        <w:rPr>
          <w:rFonts w:ascii="仿宋_GB2312" w:hAnsi="仿宋_GB2312"/>
        </w:rPr>
        <w:t>“</w:t>
      </w:r>
      <w:r>
        <w:rPr>
          <w:rFonts w:ascii="仿宋_GB2312" w:hAnsi="仿宋_GB2312"/>
        </w:rPr>
        <w:t>已有成品、已有样本、逐步放量</w:t>
      </w:r>
      <w:r>
        <w:rPr>
          <w:rFonts w:ascii="仿宋_GB2312" w:hAnsi="仿宋_GB2312"/>
        </w:rPr>
        <w:t>”</w:t>
      </w:r>
      <w:r>
        <w:rPr>
          <w:rFonts w:ascii="仿宋_GB2312" w:hAnsi="仿宋_GB2312"/>
        </w:rPr>
        <w:t>的稳健假设为基础，不使用过度乐观的扩张前提。</w:t>
      </w:r>
      <w:r>
        <w:rPr>
          <w:rFonts w:ascii="仿宋_GB2312" w:hAnsi="仿宋_GB2312"/>
        </w:rPr>
        <w:t xml:space="preserve"> </w:t>
      </w:r>
    </w:p>
    <w:p w14:paraId="79C4910C" w14:textId="77777777" w:rsidR="00680242" w:rsidRDefault="00B40361">
      <w:pPr>
        <w:pStyle w:val="21"/>
        <w:ind w:firstLine="0"/>
      </w:pPr>
      <w:r>
        <w:rPr>
          <w:rFonts w:ascii="楷体_GB2312" w:eastAsia="楷体_GB2312" w:hAnsi="楷体_GB2312"/>
        </w:rPr>
        <w:t xml:space="preserve">9.2 </w:t>
      </w:r>
      <w:r>
        <w:rPr>
          <w:rFonts w:ascii="楷体_GB2312" w:eastAsia="楷体_GB2312" w:hAnsi="楷体_GB2312"/>
        </w:rPr>
        <w:t>三情景核心假设对比</w:t>
      </w:r>
    </w:p>
    <w:p w14:paraId="04FD6842" w14:textId="77777777" w:rsidR="00680242" w:rsidRDefault="00B40361">
      <w:pPr>
        <w:jc w:val="both"/>
      </w:pPr>
      <w:r>
        <w:rPr>
          <w:rFonts w:ascii="仿宋_GB2312" w:hAnsi="仿宋_GB2312"/>
        </w:rPr>
        <w:t>乐观、中性和保守三种情景的差异主要体现在有效客户数、年度账号转化率、续费率、定制服务数量和区域共建进度五项变量上。乐观情景假设项目在澄迈福橙、琼中绿橙等区域品牌果品中较快形成稳定案例，品牌方愿意围绕报告、档案和定制分析持续付费，年度账号增长速度较快；中性情景假设项目按现有产品成熟度稳步推进，每年形成若干新增客户，批次分析维持基础现金流，年度账号从试用客户中逐步转化；保守情景则假设客户更多停留在单批次分析和试用阶段，年度账号转化与续费慢于预期，定制服务落地节奏较慢。</w:t>
      </w:r>
    </w:p>
    <w:p w14:paraId="089558DD" w14:textId="77777777" w:rsidR="00680242" w:rsidRDefault="00B40361">
      <w:pPr>
        <w:jc w:val="both"/>
      </w:pPr>
      <w:r>
        <w:rPr>
          <w:rFonts w:ascii="仿宋_GB2312" w:hAnsi="仿宋_GB2312"/>
        </w:rPr>
        <w:lastRenderedPageBreak/>
        <w:t>三种情景的核心差别不在于单次订单价格，而在于客户是否愿意持续使用平台、是否愿意将分析结果纳入品牌经营和渠道管理流程，以及项目能否把单批次合作逐步转化为长期账号和定制化服务。就现阶段产品形态而言，中性情景最符合项目当前基础，也是本计划书默认采用的财务预测口径。</w:t>
      </w:r>
      <w:r>
        <w:rPr>
          <w:rFonts w:ascii="仿宋_GB2312" w:hAnsi="仿宋_GB2312"/>
        </w:rPr>
        <w:t xml:space="preserve"> </w:t>
      </w:r>
    </w:p>
    <w:p w14:paraId="647EC231" w14:textId="77777777" w:rsidR="00680242" w:rsidRDefault="00B40361">
      <w:pPr>
        <w:pStyle w:val="21"/>
        <w:ind w:firstLine="0"/>
      </w:pPr>
      <w:r>
        <w:rPr>
          <w:rFonts w:ascii="楷体_GB2312" w:eastAsia="楷体_GB2312" w:hAnsi="楷体_GB2312"/>
        </w:rPr>
        <w:t xml:space="preserve">9.3 </w:t>
      </w:r>
      <w:r>
        <w:rPr>
          <w:rFonts w:ascii="楷体_GB2312" w:eastAsia="楷体_GB2312" w:hAnsi="楷体_GB2312"/>
        </w:rPr>
        <w:t>五年损益预测</w:t>
      </w:r>
    </w:p>
    <w:p w14:paraId="6DECBC92" w14:textId="77777777" w:rsidR="00680242" w:rsidRDefault="00B40361">
      <w:pPr>
        <w:jc w:val="both"/>
      </w:pPr>
      <w:r>
        <w:rPr>
          <w:rFonts w:ascii="仿宋_GB2312" w:hAnsi="仿宋_GB2312"/>
        </w:rPr>
        <w:t>按中性情景测算，项目前两年利润水平相对有限，主要原因在于样本库建设、模型验证、系统维护和场景试点投入先于规模化收入释放。该阶段的核心任务并非追求利润最大化，而是完成样本扩充、报告模板沉淀、客户流程磨合和双端稳定运行，为后续年度服务打基础。样本库、历史档案和模型表现一旦稳定，网站端与小程序端的边际复用能力便会逐步体现，损益结构也将进入改善阶段。</w:t>
      </w:r>
    </w:p>
    <w:p w14:paraId="2E0B2706" w14:textId="77777777" w:rsidR="00680242" w:rsidRDefault="00B40361">
      <w:pPr>
        <w:jc w:val="both"/>
      </w:pPr>
      <w:r>
        <w:rPr>
          <w:rFonts w:ascii="仿宋_GB2312" w:hAnsi="仿宋_GB2312"/>
        </w:rPr>
        <w:t>盈利拐点主要取决于两项因素：一是年度账号客户是否达到稳定规模，二是批次分析服务能否持续导入续费客户。结合当前产品结构和服务模式判断，项目形成</w:t>
      </w:r>
      <w:r>
        <w:rPr>
          <w:rFonts w:ascii="仿宋_GB2312" w:hAnsi="仿宋_GB2312"/>
        </w:rPr>
        <w:t xml:space="preserve"> 12 </w:t>
      </w:r>
      <w:r>
        <w:rPr>
          <w:rFonts w:ascii="仿宋_GB2312" w:hAnsi="仿宋_GB2312"/>
        </w:rPr>
        <w:t>至</w:t>
      </w:r>
      <w:r>
        <w:rPr>
          <w:rFonts w:ascii="仿宋_GB2312" w:hAnsi="仿宋_GB2312"/>
        </w:rPr>
        <w:t xml:space="preserve"> 15 </w:t>
      </w:r>
      <w:r>
        <w:rPr>
          <w:rFonts w:ascii="仿宋_GB2312" w:hAnsi="仿宋_GB2312"/>
        </w:rPr>
        <w:t>家稳定年度客户，或形成</w:t>
      </w:r>
      <w:r>
        <w:rPr>
          <w:rFonts w:ascii="仿宋_GB2312" w:hAnsi="仿宋_GB2312"/>
        </w:rPr>
        <w:t xml:space="preserve"> 8 </w:t>
      </w:r>
      <w:r>
        <w:rPr>
          <w:rFonts w:ascii="仿宋_GB2312" w:hAnsi="仿宋_GB2312"/>
        </w:rPr>
        <w:t>家年度客户叠加持续批次分析订单后，即可基本跨越低利润阶段，进入较稳的盈利区间。该判断并非依赖单一大客户，而是建立在多客户、多批次、多场景持续使用的基础之上。</w:t>
      </w:r>
    </w:p>
    <w:p w14:paraId="7CE4DFED" w14:textId="77777777" w:rsidR="00680242" w:rsidRDefault="00B40361">
      <w:pPr>
        <w:jc w:val="both"/>
      </w:pPr>
      <w:r>
        <w:rPr>
          <w:rFonts w:ascii="仿宋_GB2312" w:hAnsi="仿宋_GB2312"/>
        </w:rPr>
        <w:t>五年损益走势的关键在于收入结构优化速度。若持续收入占比逐年提高，模型和系统成本被更多客户分摊，利润率将随之改善；若收入长期停留在单次分析层面，利润弹性会明显受限。因此，本项目的盈利逻辑本质上是由服务复购率和平台复用率驱动，而不是由短期合同数量单独决定。</w:t>
      </w:r>
      <w:r>
        <w:rPr>
          <w:rFonts w:ascii="仿宋_GB2312" w:hAnsi="仿宋_GB2312"/>
        </w:rPr>
        <w:t xml:space="preserve"> </w:t>
      </w:r>
    </w:p>
    <w:p w14:paraId="736F83A0" w14:textId="77777777" w:rsidR="00680242" w:rsidRDefault="00B40361">
      <w:pPr>
        <w:pStyle w:val="21"/>
        <w:ind w:firstLine="0"/>
      </w:pPr>
      <w:r>
        <w:rPr>
          <w:rFonts w:ascii="楷体_GB2312" w:eastAsia="楷体_GB2312" w:hAnsi="楷体_GB2312"/>
        </w:rPr>
        <w:t xml:space="preserve">9.4 </w:t>
      </w:r>
      <w:r>
        <w:rPr>
          <w:rFonts w:ascii="楷体_GB2312" w:eastAsia="楷体_GB2312" w:hAnsi="楷体_GB2312"/>
        </w:rPr>
        <w:t>五年现金流量预测</w:t>
      </w:r>
    </w:p>
    <w:p w14:paraId="18198D22" w14:textId="77777777" w:rsidR="00680242" w:rsidRDefault="00B40361">
      <w:pPr>
        <w:jc w:val="both"/>
      </w:pPr>
      <w:r>
        <w:rPr>
          <w:rFonts w:ascii="仿宋_GB2312" w:hAnsi="仿宋_GB2312"/>
        </w:rPr>
        <w:t>现金流预测与损益预测相比，更强调合同结构和回款节奏。批次分析服务回款速度较快，但单次金额相对有限；年度账号与定制服务单笔金额更高，但签约和验收周期更长，回款节点通常滞后于交付节点。因此，项目现金流管理需要同时覆盖短周期订单的日常周转和中长期合同的阶段性垫付支出。</w:t>
      </w:r>
    </w:p>
    <w:p w14:paraId="27481C82" w14:textId="77777777" w:rsidR="00680242" w:rsidRDefault="00B40361">
      <w:pPr>
        <w:jc w:val="both"/>
      </w:pPr>
      <w:r>
        <w:rPr>
          <w:rFonts w:ascii="仿宋_GB2312" w:hAnsi="仿宋_GB2312"/>
        </w:rPr>
        <w:t>现金流压力通常集中在样本集中采集期、模型集中训练期和试点密集交付期。上述阶段往往伴随服务器、标定、差旅和现场支持等支出上升，而收入确认和客户回款无法完全同步。为保证系统稳定运行，项目应预留</w:t>
      </w:r>
      <w:r>
        <w:rPr>
          <w:rFonts w:ascii="仿宋_GB2312" w:hAnsi="仿宋_GB2312"/>
        </w:rPr>
        <w:t xml:space="preserve"> 6 </w:t>
      </w:r>
      <w:r>
        <w:rPr>
          <w:rFonts w:ascii="仿宋_GB2312" w:hAnsi="仿宋_GB2312"/>
        </w:rPr>
        <w:t>至</w:t>
      </w:r>
      <w:r>
        <w:rPr>
          <w:rFonts w:ascii="仿宋_GB2312" w:hAnsi="仿宋_GB2312"/>
        </w:rPr>
        <w:t xml:space="preserve"> 9 </w:t>
      </w:r>
      <w:r>
        <w:rPr>
          <w:rFonts w:ascii="仿宋_GB2312" w:hAnsi="仿宋_GB2312"/>
        </w:rPr>
        <w:t>个月的资金安全垫，优先</w:t>
      </w:r>
      <w:r>
        <w:rPr>
          <w:rFonts w:ascii="仿宋_GB2312" w:hAnsi="仿宋_GB2312"/>
        </w:rPr>
        <w:lastRenderedPageBreak/>
        <w:t>覆盖服务器、样本标定、人员补贴和现场实施等核心支出，并通过提高预付款比例、优化结算节点和缩短验收周期降低现金流波动。</w:t>
      </w:r>
      <w:r>
        <w:rPr>
          <w:rFonts w:ascii="仿宋_GB2312" w:hAnsi="仿宋_GB2312"/>
        </w:rPr>
        <w:t xml:space="preserve"> </w:t>
      </w:r>
    </w:p>
    <w:p w14:paraId="147A61D3" w14:textId="77777777" w:rsidR="00680242" w:rsidRDefault="00B40361">
      <w:pPr>
        <w:pStyle w:val="21"/>
        <w:ind w:firstLine="0"/>
      </w:pPr>
      <w:r>
        <w:rPr>
          <w:rFonts w:ascii="楷体_GB2312" w:eastAsia="楷体_GB2312" w:hAnsi="楷体_GB2312"/>
        </w:rPr>
        <w:t xml:space="preserve">9.5 </w:t>
      </w:r>
      <w:r>
        <w:rPr>
          <w:rFonts w:ascii="楷体_GB2312" w:eastAsia="楷体_GB2312" w:hAnsi="楷体_GB2312"/>
        </w:rPr>
        <w:t>资产负债结构判断</w:t>
      </w:r>
    </w:p>
    <w:p w14:paraId="360790C7" w14:textId="77777777" w:rsidR="00680242" w:rsidRDefault="00B40361">
      <w:pPr>
        <w:jc w:val="both"/>
      </w:pPr>
      <w:r>
        <w:rPr>
          <w:rFonts w:ascii="仿宋_GB2312" w:hAnsi="仿宋_GB2312"/>
        </w:rPr>
        <w:t>项目资产以区域样本库、模型参数、软件系统、报告模板、客户档案和历史分析记录为主，属于典型轻资产数字化项目。与传统重资产项目相比，本项目核心价值不在于设备堆积，而在于样本质量、模型表现、报告可信度和客户持续使用能力。区域样本库与历史分析档案一旦形成规模，既能够提升模型识别能力，也能够提高报告稳定性与续费意愿，是项目最重要的资产沉淀方向。</w:t>
      </w:r>
    </w:p>
    <w:p w14:paraId="5B49F3D0" w14:textId="77777777" w:rsidR="00680242" w:rsidRDefault="00B40361">
      <w:pPr>
        <w:jc w:val="both"/>
      </w:pPr>
      <w:r>
        <w:rPr>
          <w:rFonts w:ascii="仿宋_GB2312" w:hAnsi="仿宋_GB2312"/>
        </w:rPr>
        <w:t>负债安排应保持审慎原则。项目扩张应优先使用校内科研资源、订单回款、项目经费和阶段性融资支撑，不宜通过高杠杆方式换取表面增长。对现阶段项目而言，保持资金使用效率、维持系统稳定和控制试点成本，比追求过快扩张更符合财务安全要求。</w:t>
      </w:r>
      <w:r>
        <w:rPr>
          <w:rFonts w:ascii="仿宋_GB2312" w:hAnsi="仿宋_GB2312"/>
        </w:rPr>
        <w:t xml:space="preserve"> </w:t>
      </w:r>
    </w:p>
    <w:p w14:paraId="3F1B6461" w14:textId="77777777" w:rsidR="00680242" w:rsidRDefault="00B40361">
      <w:pPr>
        <w:pStyle w:val="21"/>
        <w:ind w:firstLine="0"/>
      </w:pPr>
      <w:r>
        <w:rPr>
          <w:rFonts w:ascii="楷体_GB2312" w:eastAsia="楷体_GB2312" w:hAnsi="楷体_GB2312"/>
        </w:rPr>
        <w:t xml:space="preserve">9.6 </w:t>
      </w:r>
      <w:r>
        <w:rPr>
          <w:rFonts w:ascii="楷体_GB2312" w:eastAsia="楷体_GB2312" w:hAnsi="楷体_GB2312"/>
        </w:rPr>
        <w:t>三情景营收与盈利对比</w:t>
      </w:r>
    </w:p>
    <w:p w14:paraId="18E6B3B5" w14:textId="77777777" w:rsidR="00680242" w:rsidRDefault="00B40361">
      <w:pPr>
        <w:jc w:val="both"/>
      </w:pPr>
      <w:r>
        <w:rPr>
          <w:rFonts w:ascii="仿宋_GB2312" w:hAnsi="仿宋_GB2312"/>
        </w:rPr>
        <w:t>三情景对比显示，影响项目营收和盈利上限的关键，并非一次性分析单量，而是年度账号收入和定制服务收入的占比。乐观情景下，持续收入增长更快，客户关系更长，报告模板和样本数据复用效率更高，因此利润释放速度明显快于中性与保守情景；保守情景中，项目收入长期依赖单次分析，虽然可维持基础现金流，但利润改善速度较慢，盈亏平衡点也相应后移。</w:t>
      </w:r>
    </w:p>
    <w:p w14:paraId="6588F1C1" w14:textId="77777777" w:rsidR="00680242" w:rsidRDefault="00B40361">
      <w:pPr>
        <w:jc w:val="both"/>
      </w:pPr>
      <w:r>
        <w:rPr>
          <w:rFonts w:ascii="仿宋_GB2312" w:hAnsi="仿宋_GB2312"/>
        </w:rPr>
        <w:t>就盈利弹性而言，项目具有明显的平台型特征。网站端、小程序端和模型能力一旦成熟，新增客户不需要同比例增加研发支出，边际服务成本相对可控。也正因如此，后续营收结构越偏向长期账号、持续报告和区域共建，项目利润表现就越稳定。</w:t>
      </w:r>
      <w:r>
        <w:rPr>
          <w:rFonts w:ascii="仿宋_GB2312" w:hAnsi="仿宋_GB2312"/>
        </w:rPr>
        <w:t xml:space="preserve"> </w:t>
      </w:r>
    </w:p>
    <w:p w14:paraId="51AF727F" w14:textId="77777777" w:rsidR="00680242" w:rsidRDefault="00B40361">
      <w:pPr>
        <w:pStyle w:val="21"/>
        <w:ind w:firstLine="0"/>
      </w:pPr>
      <w:r>
        <w:rPr>
          <w:rFonts w:ascii="楷体_GB2312" w:eastAsia="楷体_GB2312" w:hAnsi="楷体_GB2312"/>
        </w:rPr>
        <w:t xml:space="preserve">9.7 </w:t>
      </w:r>
      <w:r>
        <w:rPr>
          <w:rFonts w:ascii="楷体_GB2312" w:eastAsia="楷体_GB2312" w:hAnsi="楷体_GB2312"/>
        </w:rPr>
        <w:t>盈亏平衡分析</w:t>
      </w:r>
    </w:p>
    <w:p w14:paraId="52C855DE" w14:textId="77777777" w:rsidR="00680242" w:rsidRDefault="00B40361">
      <w:pPr>
        <w:jc w:val="both"/>
      </w:pPr>
      <w:r>
        <w:rPr>
          <w:rFonts w:ascii="仿宋_GB2312" w:hAnsi="仿宋_GB2312"/>
        </w:rPr>
        <w:t>盈亏平衡点可按</w:t>
      </w:r>
      <w:r>
        <w:rPr>
          <w:rFonts w:ascii="仿宋_GB2312" w:hAnsi="仿宋_GB2312"/>
        </w:rPr>
        <w:t>“</w:t>
      </w:r>
      <w:r>
        <w:rPr>
          <w:rFonts w:ascii="仿宋_GB2312" w:hAnsi="仿宋_GB2312"/>
        </w:rPr>
        <w:t>固定成本</w:t>
      </w:r>
      <w:r>
        <w:rPr>
          <w:rFonts w:ascii="仿宋_GB2312" w:hAnsi="仿宋_GB2312"/>
        </w:rPr>
        <w:t xml:space="preserve"> / </w:t>
      </w:r>
      <w:r>
        <w:rPr>
          <w:rFonts w:ascii="仿宋_GB2312" w:hAnsi="仿宋_GB2312"/>
        </w:rPr>
        <w:t>单客户年贡献</w:t>
      </w:r>
      <w:r>
        <w:rPr>
          <w:rFonts w:ascii="仿宋_GB2312" w:hAnsi="仿宋_GB2312"/>
        </w:rPr>
        <w:t>”</w:t>
      </w:r>
      <w:r>
        <w:rPr>
          <w:rFonts w:ascii="仿宋_GB2312" w:hAnsi="仿宋_GB2312"/>
        </w:rPr>
        <w:t>进行测算。项目固定成本主要包括系统维护、云服务、样本更新、质量复核和基础管理支出；单客户年贡献则由年度账号服务、批次分析服务和附加报告服务共同构成。按当前收入结构估计，项目达到</w:t>
      </w:r>
      <w:r>
        <w:rPr>
          <w:rFonts w:ascii="仿宋_GB2312" w:hAnsi="仿宋_GB2312"/>
        </w:rPr>
        <w:t xml:space="preserve"> 12 </w:t>
      </w:r>
      <w:r>
        <w:rPr>
          <w:rFonts w:ascii="仿宋_GB2312" w:hAnsi="仿宋_GB2312"/>
        </w:rPr>
        <w:t>至</w:t>
      </w:r>
      <w:r>
        <w:rPr>
          <w:rFonts w:ascii="仿宋_GB2312" w:hAnsi="仿宋_GB2312"/>
        </w:rPr>
        <w:t xml:space="preserve"> 15 </w:t>
      </w:r>
      <w:r>
        <w:rPr>
          <w:rFonts w:ascii="仿宋_GB2312" w:hAnsi="仿宋_GB2312"/>
        </w:rPr>
        <w:t>家稳定年度客户，或形成</w:t>
      </w:r>
      <w:r>
        <w:rPr>
          <w:rFonts w:ascii="仿宋_GB2312" w:hAnsi="仿宋_GB2312"/>
        </w:rPr>
        <w:t xml:space="preserve"> 8 </w:t>
      </w:r>
      <w:r>
        <w:rPr>
          <w:rFonts w:ascii="仿宋_GB2312" w:hAnsi="仿宋_GB2312"/>
        </w:rPr>
        <w:t>家年度客户叠加持续批次分析订单时，即可基本覆盖固定成本。</w:t>
      </w:r>
    </w:p>
    <w:p w14:paraId="6A92F66B" w14:textId="77777777" w:rsidR="00680242" w:rsidRDefault="00B40361">
      <w:pPr>
        <w:jc w:val="both"/>
      </w:pPr>
      <w:r>
        <w:rPr>
          <w:rFonts w:ascii="仿宋_GB2312" w:hAnsi="仿宋_GB2312"/>
        </w:rPr>
        <w:lastRenderedPageBreak/>
        <w:t>越过平衡点后，增长重点不应继续停留在单次分析量扩张，而应转向提高续费率、扩大品牌方使用深度和增加区域共建项目。只有客户价值在同一套产品体系内持续放大，项目财务表现才会保持稳定改善。</w:t>
      </w:r>
      <w:r>
        <w:rPr>
          <w:rFonts w:ascii="仿宋_GB2312" w:hAnsi="仿宋_GB2312"/>
        </w:rPr>
        <w:t xml:space="preserve"> </w:t>
      </w:r>
    </w:p>
    <w:p w14:paraId="23045FBC" w14:textId="77777777" w:rsidR="00680242" w:rsidRDefault="00B40361">
      <w:pPr>
        <w:pStyle w:val="21"/>
        <w:ind w:firstLine="0"/>
      </w:pPr>
      <w:r>
        <w:rPr>
          <w:rFonts w:ascii="楷体_GB2312" w:eastAsia="楷体_GB2312" w:hAnsi="楷体_GB2312"/>
        </w:rPr>
        <w:t xml:space="preserve">9.8 </w:t>
      </w:r>
      <w:r>
        <w:rPr>
          <w:rFonts w:ascii="楷体_GB2312" w:eastAsia="楷体_GB2312" w:hAnsi="楷体_GB2312"/>
        </w:rPr>
        <w:t>敏感性分析</w:t>
      </w:r>
    </w:p>
    <w:p w14:paraId="79D9623F" w14:textId="77777777" w:rsidR="00680242" w:rsidRDefault="00B40361">
      <w:pPr>
        <w:jc w:val="both"/>
      </w:pPr>
      <w:r>
        <w:rPr>
          <w:rFonts w:ascii="仿宋_GB2312" w:hAnsi="仿宋_GB2312"/>
        </w:rPr>
        <w:t>对项目影响最大的敏感变量主要包括年度账号转化率、续费率、模型准确度和区域样本扩充速度。年度账号转化率决定收入厚度，续费率决定收入稳定性，模型准确度决定客户信任和报告使用深度，样本扩充速度则直接决定模型泛化能力和服务边界。上述变量均与业务推进和技术迭代同步变化，因此财务预测必须与产品实际表现联动判断。</w:t>
      </w:r>
    </w:p>
    <w:p w14:paraId="239AF882" w14:textId="77777777" w:rsidR="00680242" w:rsidRDefault="00B40361">
      <w:pPr>
        <w:jc w:val="both"/>
      </w:pPr>
      <w:r>
        <w:rPr>
          <w:rFonts w:ascii="仿宋_GB2312" w:hAnsi="仿宋_GB2312"/>
        </w:rPr>
        <w:t>敏感变量出现波动时，管理重点也应同步调整。若转化率下降，应优先检查试用流程、报告价值和客户导入机制；若续费率下降，应重点检查网站端和小程序端的使用频次、查询便利性和结果实用度；若模型准确度波动，应回到样本分层、标签质量和异常样本处理机制。财务改进的前提，始终是业务链路和技术链路的稳定。</w:t>
      </w:r>
      <w:r>
        <w:rPr>
          <w:rFonts w:ascii="仿宋_GB2312" w:hAnsi="仿宋_GB2312"/>
        </w:rPr>
        <w:t xml:space="preserve"> </w:t>
      </w:r>
    </w:p>
    <w:p w14:paraId="0B3C632E" w14:textId="77777777" w:rsidR="00680242" w:rsidRDefault="00B40361">
      <w:pPr>
        <w:pStyle w:val="21"/>
        <w:ind w:firstLine="0"/>
      </w:pPr>
      <w:r>
        <w:rPr>
          <w:rFonts w:ascii="楷体_GB2312" w:eastAsia="楷体_GB2312" w:hAnsi="楷体_GB2312"/>
        </w:rPr>
        <w:t xml:space="preserve">9.9 </w:t>
      </w:r>
      <w:r>
        <w:rPr>
          <w:rFonts w:ascii="楷体_GB2312" w:eastAsia="楷体_GB2312" w:hAnsi="楷体_GB2312"/>
        </w:rPr>
        <w:t>关键财务比率趋势</w:t>
      </w:r>
    </w:p>
    <w:p w14:paraId="26B587EC" w14:textId="77777777" w:rsidR="00680242" w:rsidRDefault="00B40361">
      <w:pPr>
        <w:jc w:val="both"/>
      </w:pPr>
      <w:r>
        <w:rPr>
          <w:rFonts w:ascii="仿宋_GB2312" w:hAnsi="仿宋_GB2312"/>
        </w:rPr>
        <w:t>关键财务指标应围绕客户获取成本、年度账号续费率、单客户年收入、毛利率、回款周期和定制服务占比展开。上述指标中，年度账号续费率和单客户年收入最能反映网站端、小程序端和报告体系的真实使用价值；毛利率和回款周期则直接反映服务结构和资金效率。</w:t>
      </w:r>
    </w:p>
    <w:p w14:paraId="1D2C22A8" w14:textId="77777777" w:rsidR="00680242" w:rsidRDefault="00B40361">
      <w:pPr>
        <w:jc w:val="both"/>
      </w:pPr>
      <w:r>
        <w:rPr>
          <w:rFonts w:ascii="仿宋_GB2312" w:hAnsi="仿宋_GB2312"/>
        </w:rPr>
        <w:t>若毛利率、续费率和回款周期同步改善，说明项目正由单次分析服务逐步走向稳定平台服务；若相关指标长期停滞，则需要重新审视定价方式、报告价值、客户结构和交付效率。财务比率的变化不只是会计结果，也反映产品成熟度和客户黏性。</w:t>
      </w:r>
      <w:r>
        <w:rPr>
          <w:rFonts w:ascii="仿宋_GB2312" w:hAnsi="仿宋_GB2312"/>
        </w:rPr>
        <w:t xml:space="preserve"> </w:t>
      </w:r>
    </w:p>
    <w:p w14:paraId="413A4A2B" w14:textId="77777777" w:rsidR="00680242" w:rsidRDefault="00B40361">
      <w:pPr>
        <w:pStyle w:val="21"/>
        <w:ind w:firstLine="0"/>
      </w:pPr>
      <w:r>
        <w:rPr>
          <w:rFonts w:ascii="楷体_GB2312" w:eastAsia="楷体_GB2312" w:hAnsi="楷体_GB2312"/>
        </w:rPr>
        <w:t xml:space="preserve">9.10 </w:t>
      </w:r>
      <w:r>
        <w:rPr>
          <w:rFonts w:ascii="楷体_GB2312" w:eastAsia="楷体_GB2312" w:hAnsi="楷体_GB2312"/>
        </w:rPr>
        <w:t>资本需求与融资规划</w:t>
      </w:r>
    </w:p>
    <w:p w14:paraId="743C23DE" w14:textId="77777777" w:rsidR="00680242" w:rsidRDefault="00B40361">
      <w:pPr>
        <w:jc w:val="both"/>
      </w:pPr>
      <w:r>
        <w:rPr>
          <w:rFonts w:ascii="仿宋_GB2312" w:hAnsi="仿宋_GB2312"/>
        </w:rPr>
        <w:t>项目前期资金需求主要集中在样本库扩充、理化标定、模型迭代、双端稳定性优化和区域示范案例打造等方面。现阶段引入外部资金的主要作用，是放大已经形成基础的产品能力和样板案例，而不是替代前期验证工作。若产品成熟度、案例质量和交付能力尚未稳定，过早放大投入反而会抬高风险。</w:t>
      </w:r>
    </w:p>
    <w:p w14:paraId="4238EA18" w14:textId="77777777" w:rsidR="00680242" w:rsidRDefault="00B40361">
      <w:pPr>
        <w:jc w:val="both"/>
      </w:pPr>
      <w:r>
        <w:rPr>
          <w:rFonts w:ascii="仿宋_GB2312" w:hAnsi="仿宋_GB2312"/>
        </w:rPr>
        <w:lastRenderedPageBreak/>
        <w:t>融资节奏应与产品成熟度保持一致。项目应先完成区域样本库补强、网站端和小程序端稳定运行、重点客户试点验证以及报告模板沉淀，再逐步引入更大规模资金支持市场扩张和区域共建。资金使用方向应优先投向样本补强、关键算法迭代、平台稳定性优化、知识产权申报和试点场景落地，不宜提前投入与主营能力无关的重资产扩张。</w:t>
      </w:r>
    </w:p>
    <w:p w14:paraId="1C796AAB" w14:textId="77777777" w:rsidR="00680242" w:rsidRDefault="00B40361">
      <w:pPr>
        <w:jc w:val="both"/>
      </w:pPr>
      <w:r>
        <w:rPr>
          <w:rFonts w:ascii="仿宋_GB2312" w:hAnsi="仿宋_GB2312"/>
        </w:rPr>
        <w:t>从长期看，项目更适合通过</w:t>
      </w:r>
      <w:r>
        <w:rPr>
          <w:rFonts w:ascii="仿宋_GB2312" w:hAnsi="仿宋_GB2312"/>
        </w:rPr>
        <w:t>“</w:t>
      </w:r>
      <w:r>
        <w:rPr>
          <w:rFonts w:ascii="仿宋_GB2312" w:hAnsi="仿宋_GB2312"/>
        </w:rPr>
        <w:t>订单回款</w:t>
      </w:r>
      <w:r>
        <w:rPr>
          <w:rFonts w:ascii="仿宋_GB2312" w:hAnsi="仿宋_GB2312"/>
        </w:rPr>
        <w:t xml:space="preserve"> + </w:t>
      </w:r>
      <w:r>
        <w:rPr>
          <w:rFonts w:ascii="仿宋_GB2312" w:hAnsi="仿宋_GB2312"/>
        </w:rPr>
        <w:t>阶段性融资</w:t>
      </w:r>
      <w:r>
        <w:rPr>
          <w:rFonts w:ascii="仿宋_GB2312" w:hAnsi="仿宋_GB2312"/>
        </w:rPr>
        <w:t xml:space="preserve"> + </w:t>
      </w:r>
      <w:r>
        <w:rPr>
          <w:rFonts w:ascii="仿宋_GB2312" w:hAnsi="仿宋_GB2312"/>
        </w:rPr>
        <w:t>项目经费</w:t>
      </w:r>
      <w:r>
        <w:rPr>
          <w:rFonts w:ascii="仿宋_GB2312" w:hAnsi="仿宋_GB2312"/>
        </w:rPr>
        <w:t>”</w:t>
      </w:r>
      <w:r>
        <w:rPr>
          <w:rFonts w:ascii="仿宋_GB2312" w:hAnsi="仿宋_GB2312"/>
        </w:rPr>
        <w:t>组合方式形成资本支持结构，以保证资金使用效率与项目主线保持一致。只有在模型、报告、样本和客户结构均形成稳定基础后，资本投入才会真正转化为可持续增长。</w:t>
      </w:r>
      <w:r>
        <w:rPr>
          <w:rFonts w:ascii="仿宋_GB2312" w:hAnsi="仿宋_GB2312"/>
        </w:rPr>
        <w:t xml:space="preserve"> </w:t>
      </w:r>
    </w:p>
    <w:p w14:paraId="78FDF4B0" w14:textId="77777777" w:rsidR="00680242" w:rsidRDefault="00B40361">
      <w:pPr>
        <w:pStyle w:val="1"/>
        <w:ind w:firstLine="0"/>
      </w:pPr>
      <w:r>
        <w:rPr>
          <w:rFonts w:ascii="黑体" w:eastAsia="黑体" w:hAnsi="黑体"/>
        </w:rPr>
        <w:t>第十章</w:t>
      </w:r>
      <w:r>
        <w:rPr>
          <w:rFonts w:ascii="黑体" w:eastAsia="黑体" w:hAnsi="黑体"/>
        </w:rPr>
        <w:t xml:space="preserve"> </w:t>
      </w:r>
      <w:r>
        <w:rPr>
          <w:rFonts w:ascii="黑体" w:eastAsia="黑体" w:hAnsi="黑体"/>
        </w:rPr>
        <w:t>风险分析</w:t>
      </w:r>
    </w:p>
    <w:p w14:paraId="41A10A95" w14:textId="77777777" w:rsidR="00680242" w:rsidRDefault="00B40361">
      <w:pPr>
        <w:pStyle w:val="21"/>
        <w:ind w:firstLine="0"/>
      </w:pPr>
      <w:r>
        <w:rPr>
          <w:rFonts w:ascii="楷体_GB2312" w:eastAsia="楷体_GB2312" w:hAnsi="楷体_GB2312"/>
        </w:rPr>
        <w:t xml:space="preserve">10.1 </w:t>
      </w:r>
      <w:r>
        <w:rPr>
          <w:rFonts w:ascii="楷体_GB2312" w:eastAsia="楷体_GB2312" w:hAnsi="楷体_GB2312"/>
        </w:rPr>
        <w:t>分析假设条件声明</w:t>
      </w:r>
    </w:p>
    <w:p w14:paraId="5A1FDFB4" w14:textId="77777777" w:rsidR="00680242" w:rsidRDefault="00B40361">
      <w:pPr>
        <w:jc w:val="both"/>
      </w:pPr>
      <w:r>
        <w:rPr>
          <w:rFonts w:ascii="仿宋_GB2312" w:hAnsi="仿宋_GB2312"/>
        </w:rPr>
        <w:t>本章风险分析以项目已完成网站端与小程序端开发、具备基本样本和报告输出能力、并开始进入试点推广为前提展开。风险识别范围覆盖数据输入、模型输出、客户使用、商务回款、团队维护和成果保护等关键环节，重点分析会直接影响项目交付、客户信任和系统稳定性的主要因素。</w:t>
      </w:r>
    </w:p>
    <w:p w14:paraId="13D5D39C" w14:textId="77777777" w:rsidR="00680242" w:rsidRDefault="00B40361">
      <w:pPr>
        <w:jc w:val="both"/>
      </w:pPr>
      <w:r>
        <w:rPr>
          <w:rFonts w:ascii="仿宋_GB2312" w:hAnsi="仿宋_GB2312"/>
        </w:rPr>
        <w:t>风险判断采用影响程度、发生概率和可控制性三个维度进行综合评估，不将与当前阶段关联较弱的远期风险纳入重点分析。对于竞赛型项目而言，真正需要提前处理的风险，不是抽象意义上的</w:t>
      </w:r>
      <w:r>
        <w:rPr>
          <w:rFonts w:ascii="仿宋_GB2312" w:hAnsi="仿宋_GB2312"/>
        </w:rPr>
        <w:t>“</w:t>
      </w:r>
      <w:r>
        <w:rPr>
          <w:rFonts w:ascii="仿宋_GB2312" w:hAnsi="仿宋_GB2312"/>
        </w:rPr>
        <w:t>未来不确定性</w:t>
      </w:r>
      <w:r>
        <w:rPr>
          <w:rFonts w:ascii="仿宋_GB2312" w:hAnsi="仿宋_GB2312"/>
        </w:rPr>
        <w:t>”</w:t>
      </w:r>
      <w:r>
        <w:rPr>
          <w:rFonts w:ascii="仿宋_GB2312" w:hAnsi="仿宋_GB2312"/>
        </w:rPr>
        <w:t>，而是样本是否可靠、结果是否稳定、交付是否顺畅和客户是否愿意持续使用。</w:t>
      </w:r>
      <w:r>
        <w:rPr>
          <w:rFonts w:ascii="仿宋_GB2312" w:hAnsi="仿宋_GB2312"/>
        </w:rPr>
        <w:t xml:space="preserve"> </w:t>
      </w:r>
    </w:p>
    <w:p w14:paraId="0D23CBA3" w14:textId="77777777" w:rsidR="00680242" w:rsidRDefault="00B40361">
      <w:pPr>
        <w:pStyle w:val="21"/>
        <w:ind w:firstLine="0"/>
      </w:pPr>
      <w:r>
        <w:rPr>
          <w:rFonts w:ascii="楷体_GB2312" w:eastAsia="楷体_GB2312" w:hAnsi="楷体_GB2312"/>
        </w:rPr>
        <w:t xml:space="preserve">10.2 </w:t>
      </w:r>
      <w:r>
        <w:rPr>
          <w:rFonts w:ascii="楷体_GB2312" w:eastAsia="楷体_GB2312" w:hAnsi="楷体_GB2312"/>
        </w:rPr>
        <w:t>财务风险维度分析</w:t>
      </w:r>
    </w:p>
    <w:p w14:paraId="3147D607" w14:textId="77777777" w:rsidR="00680242" w:rsidRDefault="00B40361">
      <w:pPr>
        <w:jc w:val="both"/>
      </w:pPr>
      <w:r>
        <w:rPr>
          <w:rFonts w:ascii="仿宋_GB2312" w:hAnsi="仿宋_GB2312"/>
        </w:rPr>
        <w:t>财务风险主要来自客户付费节奏、续费率波动和样本投入前置。网站端、小程序端和智能分析服务持续运行都依赖服务器、样本标定、模型训练和现场支持等稳定投入，一旦收入结构长期停留在单次分析层面，现金流抗压能力就会明显下降。项目财务安全的核心，不在于某一笔大订单，而在于能否形成稳定账号客户和连续回款。</w:t>
      </w:r>
    </w:p>
    <w:p w14:paraId="2BEA8BA8" w14:textId="77777777" w:rsidR="00680242" w:rsidRDefault="00B40361">
      <w:pPr>
        <w:jc w:val="both"/>
      </w:pPr>
      <w:r>
        <w:rPr>
          <w:rFonts w:ascii="仿宋_GB2312" w:hAnsi="仿宋_GB2312"/>
        </w:rPr>
        <w:t>现金流缺口通常出现在样本集中补强、模型集中优化和试点集中交付阶段。若该阶段恰好叠加客户回款延迟或签约进度放缓，项目会同时承受研发、运维和实施支出压力。因此，财务风险控制需要从合同结构、预付款比例、阶段性结算和成本节奏四方面同步管理，以维持核心系统和样本工作的连续性。</w:t>
      </w:r>
      <w:r>
        <w:rPr>
          <w:rFonts w:ascii="仿宋_GB2312" w:hAnsi="仿宋_GB2312"/>
        </w:rPr>
        <w:t xml:space="preserve"> </w:t>
      </w:r>
    </w:p>
    <w:p w14:paraId="5FFC7FF3" w14:textId="77777777" w:rsidR="00680242" w:rsidRDefault="00B40361">
      <w:pPr>
        <w:pStyle w:val="21"/>
        <w:ind w:firstLine="0"/>
      </w:pPr>
      <w:r>
        <w:rPr>
          <w:rFonts w:ascii="楷体_GB2312" w:eastAsia="楷体_GB2312" w:hAnsi="楷体_GB2312"/>
        </w:rPr>
        <w:lastRenderedPageBreak/>
        <w:t xml:space="preserve">10.3 </w:t>
      </w:r>
      <w:r>
        <w:rPr>
          <w:rFonts w:ascii="楷体_GB2312" w:eastAsia="楷体_GB2312" w:hAnsi="楷体_GB2312"/>
        </w:rPr>
        <w:t>市场风险维度分析</w:t>
      </w:r>
    </w:p>
    <w:p w14:paraId="74C577E6" w14:textId="77777777" w:rsidR="00680242" w:rsidRDefault="00B40361">
      <w:pPr>
        <w:jc w:val="both"/>
      </w:pPr>
      <w:r>
        <w:rPr>
          <w:rFonts w:ascii="仿宋_GB2312" w:hAnsi="仿宋_GB2312"/>
        </w:rPr>
        <w:t>市场风险主要来自客户接受速度、案例集中度和替代方案竞争。项目虽然切入点明确，但客户是否愿意将系统纳入日常分级、验货和品牌管理流程，仍取决于试点效果和持续使用体验。若客户只将平台用于展示而未纳入作业流程，上传频次、复购速度和报告使用深度都会受到影响，市场转化节奏也会随之放缓。</w:t>
      </w:r>
    </w:p>
    <w:p w14:paraId="56959E9A" w14:textId="77777777" w:rsidR="00680242" w:rsidRDefault="00B40361">
      <w:pPr>
        <w:jc w:val="both"/>
      </w:pPr>
      <w:r>
        <w:rPr>
          <w:rFonts w:ascii="仿宋_GB2312" w:hAnsi="仿宋_GB2312"/>
        </w:rPr>
        <w:t>此外，早期案例若过度集中于少数区域品牌或单一合作方，一旦预算收紧、采购延后或合作中止，推广节奏就会受到较大波动。因此，市场端在形成首批代表性样板后，应尽快向合作社、品牌方、渠道方和区域服务机构等不同客户类型适度分散，避免过度依赖单一客户结构。</w:t>
      </w:r>
      <w:r>
        <w:rPr>
          <w:rFonts w:ascii="仿宋_GB2312" w:hAnsi="仿宋_GB2312"/>
        </w:rPr>
        <w:t xml:space="preserve"> </w:t>
      </w:r>
    </w:p>
    <w:p w14:paraId="44F25116" w14:textId="77777777" w:rsidR="00680242" w:rsidRDefault="00B40361">
      <w:pPr>
        <w:pStyle w:val="21"/>
        <w:ind w:firstLine="0"/>
      </w:pPr>
      <w:r>
        <w:rPr>
          <w:rFonts w:ascii="楷体_GB2312" w:eastAsia="楷体_GB2312" w:hAnsi="楷体_GB2312"/>
        </w:rPr>
        <w:t xml:space="preserve">10.4 </w:t>
      </w:r>
      <w:r>
        <w:rPr>
          <w:rFonts w:ascii="楷体_GB2312" w:eastAsia="楷体_GB2312" w:hAnsi="楷体_GB2312"/>
        </w:rPr>
        <w:t>运营风险维度分析</w:t>
      </w:r>
    </w:p>
    <w:p w14:paraId="1F1D9C59" w14:textId="77777777" w:rsidR="00680242" w:rsidRDefault="00B40361">
      <w:pPr>
        <w:jc w:val="both"/>
      </w:pPr>
      <w:r>
        <w:rPr>
          <w:rFonts w:ascii="仿宋_GB2312" w:hAnsi="仿宋_GB2312"/>
        </w:rPr>
        <w:t>运营风险主要体现在样本组织、文件标准、双端协同和交付排期四个方面。采样不连续、标签不齐全、文件命名不规范、理化记录缺失或高峰期报告输出延迟，都会直接影响模型表现、报告质量和客户体验。对橙类智能分析项目而言，运营问题往往先于技术问题暴露，并会迅速传导到交付端。</w:t>
      </w:r>
    </w:p>
    <w:p w14:paraId="4E03D6A0" w14:textId="77777777" w:rsidR="00680242" w:rsidRDefault="00B40361">
      <w:pPr>
        <w:jc w:val="both"/>
      </w:pPr>
      <w:r>
        <w:rPr>
          <w:rFonts w:ascii="仿宋_GB2312" w:hAnsi="仿宋_GB2312"/>
        </w:rPr>
        <w:t>团队协同也是重要运营风险来源。若代码、模型版本、报告模板和合作记录缺少统一文档管理，系统维护依赖少数成员，一旦人员分工变化，双端产品和分析服务都可能受到影响。因此，项目需要同步建立样本台账、版本台账、模板台账和合作台账，保证研发、交付和运营信息能够连续留存。</w:t>
      </w:r>
      <w:r>
        <w:rPr>
          <w:rFonts w:ascii="仿宋_GB2312" w:hAnsi="仿宋_GB2312"/>
        </w:rPr>
        <w:t xml:space="preserve"> </w:t>
      </w:r>
    </w:p>
    <w:p w14:paraId="044D9F3B" w14:textId="77777777" w:rsidR="00680242" w:rsidRDefault="00B40361">
      <w:pPr>
        <w:pStyle w:val="21"/>
        <w:ind w:firstLine="0"/>
      </w:pPr>
      <w:r>
        <w:rPr>
          <w:rFonts w:ascii="楷体_GB2312" w:eastAsia="楷体_GB2312" w:hAnsi="楷体_GB2312"/>
        </w:rPr>
        <w:t xml:space="preserve">10.5 </w:t>
      </w:r>
      <w:r>
        <w:rPr>
          <w:rFonts w:ascii="楷体_GB2312" w:eastAsia="楷体_GB2312" w:hAnsi="楷体_GB2312"/>
        </w:rPr>
        <w:t>技术与合规风险维度分析</w:t>
      </w:r>
    </w:p>
    <w:p w14:paraId="30E24B83" w14:textId="77777777" w:rsidR="00680242" w:rsidRDefault="00B40361">
      <w:pPr>
        <w:jc w:val="both"/>
      </w:pPr>
      <w:r>
        <w:rPr>
          <w:rFonts w:ascii="仿宋_GB2312" w:hAnsi="仿宋_GB2312"/>
        </w:rPr>
        <w:t>技术与合规风险主要集中在跨批次模型稳定性、文件格式兼容性、数据授权和成果保护四个方面。模型若在不同季节、不同产区、不同批次之间波动较大，合作方就难以将结果作为长期依据；文件格式兼容性不足，则会直接影响上传成功率和平台可用性；数据授权边界不清，则会对样本使用、报告展示和模型迭代带来持续隐患。</w:t>
      </w:r>
    </w:p>
    <w:p w14:paraId="7477B974" w14:textId="77777777" w:rsidR="00680242" w:rsidRDefault="00B40361">
      <w:pPr>
        <w:jc w:val="both"/>
      </w:pPr>
      <w:r>
        <w:rPr>
          <w:rFonts w:ascii="仿宋_GB2312" w:hAnsi="仿宋_GB2312"/>
        </w:rPr>
        <w:t>合规层面，项目需要明确客户样本、批次文件、分析报告和模型参数在共享、展示和合作使用中的权限边界，并通过授权协议、权限控制和成果保护机制保障各方权益。对区域品牌和长期合作场景而言，技术表现与合规管理并不是两条分开的工作线，而是同一项合作可信度建设的两个组成部分。</w:t>
      </w:r>
      <w:r>
        <w:rPr>
          <w:rFonts w:ascii="仿宋_GB2312" w:hAnsi="仿宋_GB2312"/>
        </w:rPr>
        <w:t xml:space="preserve"> </w:t>
      </w:r>
    </w:p>
    <w:p w14:paraId="30128151" w14:textId="77777777" w:rsidR="00680242" w:rsidRDefault="00B40361">
      <w:pPr>
        <w:pStyle w:val="21"/>
        <w:ind w:firstLine="0"/>
      </w:pPr>
      <w:r>
        <w:rPr>
          <w:rFonts w:ascii="楷体_GB2312" w:eastAsia="楷体_GB2312" w:hAnsi="楷体_GB2312"/>
        </w:rPr>
        <w:lastRenderedPageBreak/>
        <w:t xml:space="preserve">10.6 </w:t>
      </w:r>
      <w:r>
        <w:rPr>
          <w:rFonts w:ascii="楷体_GB2312" w:eastAsia="楷体_GB2312" w:hAnsi="楷体_GB2312"/>
        </w:rPr>
        <w:t>风险量化评估矩阵</w:t>
      </w:r>
    </w:p>
    <w:p w14:paraId="50F7C2BD" w14:textId="77777777" w:rsidR="00680242" w:rsidRDefault="00B40361">
      <w:pPr>
        <w:jc w:val="both"/>
      </w:pPr>
      <w:r>
        <w:rPr>
          <w:rFonts w:ascii="仿宋_GB2312" w:hAnsi="仿宋_GB2312"/>
        </w:rPr>
        <w:t>综合影响程度、发生概率和可控制性进行评估后，项目高风险事项主要包括模型泛化能力不足、年度客户转化不及预期以及现金流安全垫不足；中风险事项主要包括市场教育周期偏长、文件标准执行不严和团队阶段性协同失衡；低风险事项则主要包括非核心硬件投入和外围合作扩张节奏偏慢。上述分层结果表明，项目风险重心集中在样本、模型、客户和现金流四个核心变量上。</w:t>
      </w:r>
    </w:p>
    <w:p w14:paraId="4BF69CFC" w14:textId="77777777" w:rsidR="00680242" w:rsidRDefault="00B40361">
      <w:pPr>
        <w:jc w:val="both"/>
      </w:pPr>
      <w:r>
        <w:rPr>
          <w:rFonts w:ascii="仿宋_GB2312" w:hAnsi="仿宋_GB2312"/>
        </w:rPr>
        <w:t>风险量化的目的不是为文本增设复杂结构，而是为资源配置提供依据。高风险事项应安排明确负责人和周期性复盘机制，中风险事项应纳入日常运营监控，低风险事项则在确保主线稳定的前提下动态调整。</w:t>
      </w:r>
      <w:r>
        <w:rPr>
          <w:rFonts w:ascii="仿宋_GB2312" w:hAnsi="仿宋_GB2312"/>
        </w:rPr>
        <w:t xml:space="preserve"> </w:t>
      </w:r>
    </w:p>
    <w:p w14:paraId="4EF13E98" w14:textId="77777777" w:rsidR="00680242" w:rsidRDefault="00B40361">
      <w:pPr>
        <w:pStyle w:val="21"/>
        <w:ind w:firstLine="0"/>
      </w:pPr>
      <w:r>
        <w:rPr>
          <w:rFonts w:ascii="楷体_GB2312" w:eastAsia="楷体_GB2312" w:hAnsi="楷体_GB2312"/>
        </w:rPr>
        <w:t xml:space="preserve">10.7 </w:t>
      </w:r>
      <w:r>
        <w:rPr>
          <w:rFonts w:ascii="楷体_GB2312" w:eastAsia="楷体_GB2312" w:hAnsi="楷体_GB2312"/>
        </w:rPr>
        <w:t>三情景风险演变路径</w:t>
      </w:r>
    </w:p>
    <w:p w14:paraId="17FB3F43" w14:textId="77777777" w:rsidR="00680242" w:rsidRDefault="00B40361">
      <w:pPr>
        <w:jc w:val="both"/>
      </w:pPr>
      <w:r>
        <w:rPr>
          <w:rFonts w:ascii="仿宋_GB2312" w:hAnsi="仿宋_GB2312"/>
        </w:rPr>
        <w:t>不同发展情景下，风险重心会发生变化。乐观情景中，技术可用性和样本基础相对稳定，主要风险会转向交付标准化、客户扩张节奏和服务质量一致性；中性情景中，样本质量、客户转化和现金流仍是主要矛盾；保守情景中，成本控制、核心场景保留和人员投入节奏将成为重点。</w:t>
      </w:r>
    </w:p>
    <w:p w14:paraId="1CB6B25A" w14:textId="77777777" w:rsidR="00680242" w:rsidRDefault="00B40361">
      <w:pPr>
        <w:jc w:val="both"/>
      </w:pPr>
      <w:r>
        <w:rPr>
          <w:rFonts w:ascii="仿宋_GB2312" w:hAnsi="仿宋_GB2312"/>
        </w:rPr>
        <w:t>因此，风险管理不应停留在静态识别层面，而应结合项目进展动态调整工作重心。样本、模型、交付和客户结构越稳定，风险重心就越会从</w:t>
      </w:r>
      <w:r>
        <w:rPr>
          <w:rFonts w:ascii="仿宋_GB2312" w:hAnsi="仿宋_GB2312"/>
        </w:rPr>
        <w:t>“</w:t>
      </w:r>
      <w:r>
        <w:rPr>
          <w:rFonts w:ascii="仿宋_GB2312" w:hAnsi="仿宋_GB2312"/>
        </w:rPr>
        <w:t>能否做成</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如何稳步放大</w:t>
      </w:r>
      <w:r>
        <w:rPr>
          <w:rFonts w:ascii="仿宋_GB2312" w:hAnsi="仿宋_GB2312"/>
        </w:rPr>
        <w:t>”</w:t>
      </w:r>
      <w:r>
        <w:rPr>
          <w:rFonts w:ascii="仿宋_GB2312" w:hAnsi="仿宋_GB2312"/>
        </w:rPr>
        <w:t>；反之，则需要继续把资源放在样本补强、场景验证和资金节奏控制上。</w:t>
      </w:r>
      <w:r>
        <w:rPr>
          <w:rFonts w:ascii="仿宋_GB2312" w:hAnsi="仿宋_GB2312"/>
        </w:rPr>
        <w:t xml:space="preserve"> </w:t>
      </w:r>
    </w:p>
    <w:p w14:paraId="27E4E556" w14:textId="77777777" w:rsidR="00680242" w:rsidRDefault="00B40361">
      <w:pPr>
        <w:pStyle w:val="21"/>
        <w:ind w:firstLine="0"/>
      </w:pPr>
      <w:r>
        <w:rPr>
          <w:rFonts w:ascii="楷体_GB2312" w:eastAsia="楷体_GB2312" w:hAnsi="楷体_GB2312"/>
        </w:rPr>
        <w:t xml:space="preserve">10.8 </w:t>
      </w:r>
      <w:r>
        <w:rPr>
          <w:rFonts w:ascii="楷体_GB2312" w:eastAsia="楷体_GB2312" w:hAnsi="楷体_GB2312"/>
        </w:rPr>
        <w:t>风险应对策略矩阵</w:t>
      </w:r>
    </w:p>
    <w:p w14:paraId="133EE864" w14:textId="77777777" w:rsidR="00680242" w:rsidRDefault="00B40361">
      <w:pPr>
        <w:jc w:val="both"/>
      </w:pPr>
      <w:r>
        <w:rPr>
          <w:rFonts w:ascii="仿宋_GB2312" w:hAnsi="仿宋_GB2312"/>
        </w:rPr>
        <w:t>项目风险应对可归纳为规避、缓释、转移和预案四类。规避类措施主要用于模型尚未稳定、文件格式尚未统一、续费结构尚未形成的阶段，避免项目过早承诺超出验证边界的分析结论；缓释类措施主要用于样本库更新、文件校验、结果复核、客户回访和资金看板等日常机制建设，通过持续运营降低风险暴露强度。</w:t>
      </w:r>
    </w:p>
    <w:p w14:paraId="6F65F720" w14:textId="77777777" w:rsidR="00680242" w:rsidRDefault="00B40361">
      <w:pPr>
        <w:jc w:val="both"/>
      </w:pPr>
      <w:r>
        <w:rPr>
          <w:rFonts w:ascii="仿宋_GB2312" w:hAnsi="仿宋_GB2312"/>
        </w:rPr>
        <w:t>转移与预案类措施主要用于数据授权、保密协议、服务器备份、关键岗位交接和异常情况处置等环节，目的在于防止单点问题演变为系统性风险。对当前项目而言，最有效的风险策略不是增加形式化条目，而是把样本、系统、合同和交付流程中的关键节点固化成标准动作。</w:t>
      </w:r>
      <w:r>
        <w:rPr>
          <w:rFonts w:ascii="仿宋_GB2312" w:hAnsi="仿宋_GB2312"/>
        </w:rPr>
        <w:t xml:space="preserve"> </w:t>
      </w:r>
    </w:p>
    <w:p w14:paraId="35C68CAC" w14:textId="77777777" w:rsidR="00680242" w:rsidRDefault="00B40361">
      <w:pPr>
        <w:pStyle w:val="21"/>
        <w:ind w:firstLine="0"/>
      </w:pPr>
      <w:r>
        <w:rPr>
          <w:rFonts w:ascii="楷体_GB2312" w:eastAsia="楷体_GB2312" w:hAnsi="楷体_GB2312"/>
        </w:rPr>
        <w:lastRenderedPageBreak/>
        <w:t xml:space="preserve">10.9 </w:t>
      </w:r>
      <w:r>
        <w:rPr>
          <w:rFonts w:ascii="楷体_GB2312" w:eastAsia="楷体_GB2312" w:hAnsi="楷体_GB2312"/>
        </w:rPr>
        <w:t>关键风险指标监控建议</w:t>
      </w:r>
    </w:p>
    <w:p w14:paraId="1D0F7AAD" w14:textId="77777777" w:rsidR="00680242" w:rsidRDefault="00B40361">
      <w:pPr>
        <w:jc w:val="both"/>
      </w:pPr>
      <w:r>
        <w:rPr>
          <w:rFonts w:ascii="仿宋_GB2312" w:hAnsi="仿宋_GB2312"/>
        </w:rPr>
        <w:t>关键风险指标应覆盖业务、技术和组织三个层面。业务层面重点关注年度账号转化率、回款周期、客户复购率和可用现金覆盖月数；技术层面重点关注样本新增数量、有效标签率、跨批次准确率、文件解析成功率和模型迭代周期；组织层面重点关注报告返工率、关键成员稳定度、核心任务交接完整度和合作复盘完成率。上述指标能够较早反映项目运行状态变化，是后续风险复盘的重要依据。</w:t>
      </w:r>
    </w:p>
    <w:p w14:paraId="75E210AB" w14:textId="77777777" w:rsidR="00680242" w:rsidRDefault="00B40361">
      <w:pPr>
        <w:jc w:val="both"/>
      </w:pPr>
      <w:r>
        <w:rPr>
          <w:rFonts w:ascii="仿宋_GB2312" w:hAnsi="仿宋_GB2312"/>
        </w:rPr>
        <w:t>建议按月形成经营与技术联合复盘机制，对高频指标进行持续跟踪，对异常波动指标及时定位到样本、模型、交付或客户流程。对竞赛型项目而言，真正决定后续落地质量的不是文本中的风险分类数量，而是能否把关键指标长期记录并据此调整策略。</w:t>
      </w:r>
      <w:r>
        <w:rPr>
          <w:rFonts w:ascii="仿宋_GB2312" w:hAnsi="仿宋_GB2312"/>
        </w:rPr>
        <w:t xml:space="preserve"> </w:t>
      </w:r>
    </w:p>
    <w:sectPr w:rsidR="00680242" w:rsidSect="00034616">
      <w:pgSz w:w="11906" w:h="16838"/>
      <w:pgMar w:top="1417" w:right="1417" w:bottom="1417" w:left="1417" w:header="850" w:footer="99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BC31951" w14:textId="77777777" w:rsidR="00B40361" w:rsidRDefault="00B40361">
      <w:pPr>
        <w:spacing w:line="240" w:lineRule="auto"/>
      </w:pPr>
      <w:r>
        <w:separator/>
      </w:r>
    </w:p>
  </w:endnote>
  <w:endnote w:type="continuationSeparator" w:id="0">
    <w:p w14:paraId="0FA56E35" w14:textId="77777777" w:rsidR="00B40361" w:rsidRDefault="00B4036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仿宋_GB2312">
    <w:altName w:val="宋体"/>
    <w:panose1 w:val="00000000000000000000"/>
    <w:charset w:val="86"/>
    <w:family w:val="roman"/>
    <w:notTrueType/>
    <w:pitch w:val="default"/>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楷体_GB2312">
    <w:altName w:val="宋体"/>
    <w:panose1 w:val="00000000000000000000"/>
    <w:charset w:val="86"/>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FF2D55" w14:textId="77777777" w:rsidR="00680242" w:rsidRDefault="00B40361">
    <w:pPr>
      <w:pStyle w:val="a7"/>
      <w:spacing w:line="500" w:lineRule="exact"/>
      <w:ind w:firstLine="0"/>
      <w:jc w:val="center"/>
    </w:pPr>
    <w:r>
      <w:rPr>
        <w:rFonts w:eastAsia="Times New Roman"/>
      </w:rPr>
      <w:fldChar w:fldCharType="begin"/>
    </w:r>
    <w:r>
      <w:rPr>
        <w:rFonts w:eastAsia="Times New Roman"/>
      </w:rPr>
      <w:instrText>PAGE</w:instrText>
    </w:r>
    <w:r w:rsidR="008052DE">
      <w:rPr>
        <w:rFonts w:eastAsia="Times New Roman"/>
      </w:rPr>
      <w:fldChar w:fldCharType="separate"/>
    </w:r>
    <w:r w:rsidR="008052DE">
      <w:rPr>
        <w:rFonts w:eastAsia="Times New Roman"/>
        <w:noProof/>
      </w:rPr>
      <w:t>1</w:t>
    </w:r>
    <w:r>
      <w:rPr>
        <w:rFonts w:eastAsia="Times New Roman"/>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986ACDD" w14:textId="77777777" w:rsidR="00B40361" w:rsidRDefault="00B40361">
      <w:pPr>
        <w:spacing w:line="240" w:lineRule="auto"/>
      </w:pPr>
      <w:r>
        <w:separator/>
      </w:r>
    </w:p>
  </w:footnote>
  <w:footnote w:type="continuationSeparator" w:id="0">
    <w:p w14:paraId="4808EFE9" w14:textId="77777777" w:rsidR="00B40361" w:rsidRDefault="00B40361">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30"/>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20"/>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a"/>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a0"/>
      <w:lvlText w:val=""/>
      <w:lvlJc w:val="left"/>
      <w:pPr>
        <w:tabs>
          <w:tab w:val="num" w:pos="360"/>
        </w:tabs>
        <w:ind w:left="360" w:hanging="360"/>
      </w:pPr>
      <w:rPr>
        <w:rFonts w:ascii="Symbol" w:hAnsi="Symbol" w:hint="default"/>
      </w:rPr>
    </w:lvl>
  </w:abstractNum>
  <w:num w:numId="1" w16cid:durableId="784889000">
    <w:abstractNumId w:val="8"/>
  </w:num>
  <w:num w:numId="2" w16cid:durableId="1029379608">
    <w:abstractNumId w:val="6"/>
  </w:num>
  <w:num w:numId="3" w16cid:durableId="2038386333">
    <w:abstractNumId w:val="5"/>
  </w:num>
  <w:num w:numId="4" w16cid:durableId="492374921">
    <w:abstractNumId w:val="4"/>
  </w:num>
  <w:num w:numId="5" w16cid:durableId="1075396770">
    <w:abstractNumId w:val="7"/>
  </w:num>
  <w:num w:numId="6" w16cid:durableId="480774783">
    <w:abstractNumId w:val="3"/>
  </w:num>
  <w:num w:numId="7" w16cid:durableId="660238281">
    <w:abstractNumId w:val="2"/>
  </w:num>
  <w:num w:numId="8" w16cid:durableId="2098939422">
    <w:abstractNumId w:val="1"/>
  </w:num>
  <w:num w:numId="9" w16cid:durableId="127509607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34616"/>
    <w:rsid w:val="0006063C"/>
    <w:rsid w:val="0015074B"/>
    <w:rsid w:val="0029639D"/>
    <w:rsid w:val="00326F90"/>
    <w:rsid w:val="00680242"/>
    <w:rsid w:val="008052DE"/>
    <w:rsid w:val="00AA1D8D"/>
    <w:rsid w:val="00B40361"/>
    <w:rsid w:val="00B47730"/>
    <w:rsid w:val="00CB0664"/>
    <w:rsid w:val="00E1656B"/>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43C37EBA"/>
  <w14:defaultImageDpi w14:val="300"/>
  <w15:docId w15:val="{14ADCF7E-ADF3-4F78-B018-B3FB65A1485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FC693F"/>
    <w:pPr>
      <w:spacing w:after="0" w:line="500" w:lineRule="exact"/>
      <w:ind w:firstLine="480"/>
    </w:pPr>
    <w:rPr>
      <w:rFonts w:ascii="Times New Roman" w:eastAsia="仿宋_GB2312" w:hAnsi="Times New Roman"/>
      <w:sz w:val="24"/>
    </w:rPr>
  </w:style>
  <w:style w:type="paragraph" w:styleId="1">
    <w:name w:val="heading 1"/>
    <w:basedOn w:val="a1"/>
    <w:next w:val="a1"/>
    <w:link w:val="10"/>
    <w:uiPriority w:val="9"/>
    <w:qFormat/>
    <w:rsid w:val="00FC693F"/>
    <w:pPr>
      <w:keepNext/>
      <w:keepLines/>
      <w:outlineLvl w:val="0"/>
    </w:pPr>
    <w:rPr>
      <w:rFonts w:asciiTheme="majorHAnsi" w:eastAsiaTheme="majorEastAsia" w:hAnsiTheme="majorHAnsi" w:cstheme="majorBidi"/>
      <w:bCs/>
      <w:color w:val="365F91" w:themeColor="accent1" w:themeShade="BF"/>
      <w:sz w:val="32"/>
      <w:szCs w:val="28"/>
    </w:rPr>
  </w:style>
  <w:style w:type="paragraph" w:styleId="21">
    <w:name w:val="heading 2"/>
    <w:basedOn w:val="a1"/>
    <w:next w:val="a1"/>
    <w:link w:val="22"/>
    <w:uiPriority w:val="9"/>
    <w:unhideWhenUsed/>
    <w:qFormat/>
    <w:rsid w:val="00FC693F"/>
    <w:pPr>
      <w:keepNext/>
      <w:keepLines/>
      <w:outlineLvl w:val="1"/>
    </w:pPr>
    <w:rPr>
      <w:rFonts w:asciiTheme="majorHAnsi" w:eastAsiaTheme="majorEastAsia" w:hAnsiTheme="majorHAnsi" w:cstheme="majorBidi"/>
      <w:bCs/>
      <w:color w:val="4F81BD" w:themeColor="accent1"/>
      <w:sz w:val="32"/>
      <w:szCs w:val="26"/>
    </w:rPr>
  </w:style>
  <w:style w:type="paragraph" w:styleId="31">
    <w:name w:val="heading 3"/>
    <w:basedOn w:val="a1"/>
    <w:next w:val="a1"/>
    <w:link w:val="32"/>
    <w:uiPriority w:val="9"/>
    <w:unhideWhenUsed/>
    <w:qFormat/>
    <w:rsid w:val="00FC693F"/>
    <w:pPr>
      <w:keepNext/>
      <w:keepLines/>
      <w:outlineLvl w:val="2"/>
    </w:pPr>
    <w:rPr>
      <w:rFonts w:asciiTheme="majorHAnsi" w:eastAsiaTheme="majorEastAsia" w:hAnsiTheme="majorHAnsi" w:cstheme="majorBidi"/>
      <w:bCs/>
      <w:color w:val="4F81BD" w:themeColor="accent1"/>
      <w:sz w:val="28"/>
    </w:rPr>
  </w:style>
  <w:style w:type="paragraph" w:styleId="4">
    <w:name w:val="heading 4"/>
    <w:basedOn w:val="a1"/>
    <w:next w:val="a1"/>
    <w:link w:val="40"/>
    <w:uiPriority w:val="9"/>
    <w:semiHidden/>
    <w:unhideWhenUsed/>
    <w:qFormat/>
    <w:rsid w:val="00FC693F"/>
    <w:pPr>
      <w:keepNext/>
      <w:keepLines/>
      <w:spacing w:before="20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rsid w:val="00FC693F"/>
    <w:pPr>
      <w:keepNext/>
      <w:keepLines/>
      <w:spacing w:before="200"/>
      <w:outlineLvl w:val="4"/>
    </w:pPr>
    <w:rPr>
      <w:rFonts w:asciiTheme="majorHAnsi" w:eastAsiaTheme="majorEastAsia" w:hAnsiTheme="majorHAnsi" w:cstheme="majorBidi"/>
      <w:color w:val="243F60" w:themeColor="accent1" w:themeShade="7F"/>
    </w:rPr>
  </w:style>
  <w:style w:type="paragraph" w:styleId="6">
    <w:name w:val="heading 6"/>
    <w:basedOn w:val="a1"/>
    <w:next w:val="a1"/>
    <w:link w:val="60"/>
    <w:uiPriority w:val="9"/>
    <w:semiHidden/>
    <w:unhideWhenUsed/>
    <w:qFormat/>
    <w:rsid w:val="00FC693F"/>
    <w:pPr>
      <w:keepNext/>
      <w:keepLines/>
      <w:spacing w:before="200"/>
      <w:outlineLvl w:val="5"/>
    </w:pPr>
    <w:rPr>
      <w:rFonts w:asciiTheme="majorHAnsi" w:eastAsiaTheme="majorEastAsia" w:hAnsiTheme="majorHAnsi" w:cstheme="majorBidi"/>
      <w:i/>
      <w:iCs/>
      <w:color w:val="243F60" w:themeColor="accent1" w:themeShade="7F"/>
    </w:rPr>
  </w:style>
  <w:style w:type="paragraph" w:styleId="7">
    <w:name w:val="heading 7"/>
    <w:basedOn w:val="a1"/>
    <w:next w:val="a1"/>
    <w:link w:val="70"/>
    <w:uiPriority w:val="9"/>
    <w:semiHidden/>
    <w:unhideWhenUsed/>
    <w:qFormat/>
    <w:rsid w:val="00FC693F"/>
    <w:pPr>
      <w:keepNext/>
      <w:keepLines/>
      <w:spacing w:before="20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rsid w:val="00FC693F"/>
    <w:pPr>
      <w:keepNext/>
      <w:keepLines/>
      <w:spacing w:before="20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rsid w:val="00FC693F"/>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unhideWhenUsed/>
    <w:rsid w:val="00E618BF"/>
    <w:pPr>
      <w:tabs>
        <w:tab w:val="center" w:pos="4680"/>
        <w:tab w:val="right" w:pos="9360"/>
      </w:tabs>
      <w:spacing w:line="240" w:lineRule="auto"/>
    </w:pPr>
  </w:style>
  <w:style w:type="character" w:customStyle="1" w:styleId="a6">
    <w:name w:val="页眉 字符"/>
    <w:basedOn w:val="a2"/>
    <w:link w:val="a5"/>
    <w:uiPriority w:val="99"/>
    <w:rsid w:val="00E618BF"/>
  </w:style>
  <w:style w:type="paragraph" w:styleId="a7">
    <w:name w:val="footer"/>
    <w:basedOn w:val="a1"/>
    <w:link w:val="a8"/>
    <w:uiPriority w:val="99"/>
    <w:unhideWhenUsed/>
    <w:rsid w:val="00E618BF"/>
    <w:pPr>
      <w:tabs>
        <w:tab w:val="center" w:pos="4680"/>
        <w:tab w:val="right" w:pos="9360"/>
      </w:tabs>
      <w:spacing w:line="240" w:lineRule="auto"/>
    </w:pPr>
  </w:style>
  <w:style w:type="character" w:customStyle="1" w:styleId="a8">
    <w:name w:val="页脚 字符"/>
    <w:basedOn w:val="a2"/>
    <w:link w:val="a7"/>
    <w:uiPriority w:val="99"/>
    <w:rsid w:val="00E618BF"/>
  </w:style>
  <w:style w:type="paragraph" w:styleId="a9">
    <w:name w:val="No Spacing"/>
    <w:uiPriority w:val="1"/>
    <w:qFormat/>
    <w:rsid w:val="00FC693F"/>
    <w:pPr>
      <w:spacing w:after="0" w:line="240" w:lineRule="auto"/>
    </w:pPr>
  </w:style>
  <w:style w:type="character" w:customStyle="1" w:styleId="10">
    <w:name w:val="标题 1 字符"/>
    <w:basedOn w:val="a2"/>
    <w:link w:val="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22">
    <w:name w:val="标题 2 字符"/>
    <w:basedOn w:val="a2"/>
    <w:link w:val="21"/>
    <w:uiPriority w:val="9"/>
    <w:rsid w:val="00FC693F"/>
    <w:rPr>
      <w:rFonts w:asciiTheme="majorHAnsi" w:eastAsiaTheme="majorEastAsia" w:hAnsiTheme="majorHAnsi" w:cstheme="majorBidi"/>
      <w:b/>
      <w:bCs/>
      <w:color w:val="4F81BD" w:themeColor="accent1"/>
      <w:sz w:val="26"/>
      <w:szCs w:val="26"/>
    </w:rPr>
  </w:style>
  <w:style w:type="character" w:customStyle="1" w:styleId="32">
    <w:name w:val="标题 3 字符"/>
    <w:basedOn w:val="a2"/>
    <w:link w:val="31"/>
    <w:uiPriority w:val="9"/>
    <w:rsid w:val="00FC693F"/>
    <w:rPr>
      <w:rFonts w:asciiTheme="majorHAnsi" w:eastAsiaTheme="majorEastAsia" w:hAnsiTheme="majorHAnsi" w:cstheme="majorBidi"/>
      <w:b/>
      <w:bCs/>
      <w:color w:val="4F81BD" w:themeColor="accent1"/>
    </w:rPr>
  </w:style>
  <w:style w:type="paragraph" w:styleId="aa">
    <w:name w:val="Title"/>
    <w:basedOn w:val="a1"/>
    <w:next w:val="a1"/>
    <w:link w:val="ab"/>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ab">
    <w:name w:val="标题 字符"/>
    <w:basedOn w:val="a2"/>
    <w:link w:val="aa"/>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ac">
    <w:name w:val="Subtitle"/>
    <w:basedOn w:val="a1"/>
    <w:next w:val="a1"/>
    <w:link w:val="ad"/>
    <w:uiPriority w:val="11"/>
    <w:qFormat/>
    <w:rsid w:val="00FC693F"/>
    <w:pPr>
      <w:numPr>
        <w:ilvl w:val="1"/>
      </w:numPr>
      <w:ind w:firstLine="480"/>
    </w:pPr>
    <w:rPr>
      <w:rFonts w:asciiTheme="majorHAnsi" w:eastAsiaTheme="majorEastAsia" w:hAnsiTheme="majorHAnsi" w:cstheme="majorBidi"/>
      <w:i/>
      <w:iCs/>
      <w:color w:val="4F81BD" w:themeColor="accent1"/>
      <w:spacing w:val="15"/>
      <w:szCs w:val="24"/>
    </w:rPr>
  </w:style>
  <w:style w:type="character" w:customStyle="1" w:styleId="ad">
    <w:name w:val="副标题 字符"/>
    <w:basedOn w:val="a2"/>
    <w:link w:val="ac"/>
    <w:uiPriority w:val="11"/>
    <w:rsid w:val="00FC693F"/>
    <w:rPr>
      <w:rFonts w:asciiTheme="majorHAnsi" w:eastAsiaTheme="majorEastAsia" w:hAnsiTheme="majorHAnsi" w:cstheme="majorBidi"/>
      <w:i/>
      <w:iCs/>
      <w:color w:val="4F81BD" w:themeColor="accent1"/>
      <w:spacing w:val="15"/>
      <w:sz w:val="24"/>
      <w:szCs w:val="24"/>
    </w:rPr>
  </w:style>
  <w:style w:type="paragraph" w:styleId="ae">
    <w:name w:val="List Paragraph"/>
    <w:basedOn w:val="a1"/>
    <w:uiPriority w:val="34"/>
    <w:qFormat/>
    <w:rsid w:val="00FC693F"/>
    <w:pPr>
      <w:ind w:left="720"/>
      <w:contextualSpacing/>
    </w:pPr>
  </w:style>
  <w:style w:type="paragraph" w:styleId="af">
    <w:name w:val="Body Text"/>
    <w:basedOn w:val="a1"/>
    <w:link w:val="af0"/>
    <w:uiPriority w:val="99"/>
    <w:unhideWhenUsed/>
    <w:rsid w:val="00AA1D8D"/>
    <w:pPr>
      <w:spacing w:after="120"/>
    </w:pPr>
  </w:style>
  <w:style w:type="character" w:customStyle="1" w:styleId="af0">
    <w:name w:val="正文文本 字符"/>
    <w:basedOn w:val="a2"/>
    <w:link w:val="af"/>
    <w:uiPriority w:val="99"/>
    <w:rsid w:val="00AA1D8D"/>
  </w:style>
  <w:style w:type="paragraph" w:styleId="23">
    <w:name w:val="Body Text 2"/>
    <w:basedOn w:val="a1"/>
    <w:link w:val="24"/>
    <w:uiPriority w:val="99"/>
    <w:unhideWhenUsed/>
    <w:rsid w:val="00AA1D8D"/>
    <w:pPr>
      <w:spacing w:after="120" w:line="480" w:lineRule="auto"/>
    </w:pPr>
  </w:style>
  <w:style w:type="character" w:customStyle="1" w:styleId="24">
    <w:name w:val="正文文本 2 字符"/>
    <w:basedOn w:val="a2"/>
    <w:link w:val="23"/>
    <w:uiPriority w:val="99"/>
    <w:rsid w:val="00AA1D8D"/>
  </w:style>
  <w:style w:type="paragraph" w:styleId="33">
    <w:name w:val="Body Text 3"/>
    <w:basedOn w:val="a1"/>
    <w:link w:val="34"/>
    <w:uiPriority w:val="99"/>
    <w:unhideWhenUsed/>
    <w:rsid w:val="00AA1D8D"/>
    <w:pPr>
      <w:spacing w:after="120"/>
    </w:pPr>
    <w:rPr>
      <w:sz w:val="16"/>
      <w:szCs w:val="16"/>
    </w:rPr>
  </w:style>
  <w:style w:type="character" w:customStyle="1" w:styleId="34">
    <w:name w:val="正文文本 3 字符"/>
    <w:basedOn w:val="a2"/>
    <w:link w:val="33"/>
    <w:uiPriority w:val="99"/>
    <w:rsid w:val="00AA1D8D"/>
    <w:rPr>
      <w:sz w:val="16"/>
      <w:szCs w:val="16"/>
    </w:rPr>
  </w:style>
  <w:style w:type="paragraph" w:styleId="af1">
    <w:name w:val="List"/>
    <w:basedOn w:val="a1"/>
    <w:uiPriority w:val="99"/>
    <w:unhideWhenUsed/>
    <w:rsid w:val="00AA1D8D"/>
    <w:pPr>
      <w:ind w:left="360" w:hanging="360"/>
      <w:contextualSpacing/>
    </w:pPr>
  </w:style>
  <w:style w:type="paragraph" w:styleId="25">
    <w:name w:val="List 2"/>
    <w:basedOn w:val="a1"/>
    <w:uiPriority w:val="99"/>
    <w:unhideWhenUsed/>
    <w:rsid w:val="00326F90"/>
    <w:pPr>
      <w:ind w:left="720" w:hanging="360"/>
      <w:contextualSpacing/>
    </w:pPr>
  </w:style>
  <w:style w:type="paragraph" w:styleId="35">
    <w:name w:val="List 3"/>
    <w:basedOn w:val="a1"/>
    <w:uiPriority w:val="99"/>
    <w:unhideWhenUsed/>
    <w:rsid w:val="00326F90"/>
    <w:pPr>
      <w:ind w:left="1080" w:hanging="360"/>
      <w:contextualSpacing/>
    </w:pPr>
  </w:style>
  <w:style w:type="paragraph" w:styleId="a0">
    <w:name w:val="List Bullet"/>
    <w:basedOn w:val="a1"/>
    <w:uiPriority w:val="99"/>
    <w:unhideWhenUsed/>
    <w:rsid w:val="00326F90"/>
    <w:pPr>
      <w:numPr>
        <w:numId w:val="1"/>
      </w:numPr>
      <w:contextualSpacing/>
    </w:pPr>
  </w:style>
  <w:style w:type="paragraph" w:styleId="20">
    <w:name w:val="List Bullet 2"/>
    <w:basedOn w:val="a1"/>
    <w:uiPriority w:val="99"/>
    <w:unhideWhenUsed/>
    <w:rsid w:val="00326F90"/>
    <w:pPr>
      <w:numPr>
        <w:numId w:val="2"/>
      </w:numPr>
      <w:contextualSpacing/>
    </w:pPr>
  </w:style>
  <w:style w:type="paragraph" w:styleId="30">
    <w:name w:val="List Bullet 3"/>
    <w:basedOn w:val="a1"/>
    <w:uiPriority w:val="99"/>
    <w:unhideWhenUsed/>
    <w:rsid w:val="00326F90"/>
    <w:pPr>
      <w:numPr>
        <w:numId w:val="3"/>
      </w:numPr>
      <w:contextualSpacing/>
    </w:pPr>
  </w:style>
  <w:style w:type="paragraph" w:styleId="a">
    <w:name w:val="List Number"/>
    <w:basedOn w:val="a1"/>
    <w:uiPriority w:val="99"/>
    <w:unhideWhenUsed/>
    <w:rsid w:val="00326F90"/>
    <w:pPr>
      <w:numPr>
        <w:numId w:val="5"/>
      </w:numPr>
      <w:contextualSpacing/>
    </w:pPr>
  </w:style>
  <w:style w:type="paragraph" w:styleId="2">
    <w:name w:val="List Number 2"/>
    <w:basedOn w:val="a1"/>
    <w:uiPriority w:val="99"/>
    <w:unhideWhenUsed/>
    <w:rsid w:val="0029639D"/>
    <w:pPr>
      <w:numPr>
        <w:numId w:val="6"/>
      </w:numPr>
      <w:contextualSpacing/>
    </w:pPr>
  </w:style>
  <w:style w:type="paragraph" w:styleId="3">
    <w:name w:val="List Number 3"/>
    <w:basedOn w:val="a1"/>
    <w:uiPriority w:val="99"/>
    <w:unhideWhenUsed/>
    <w:rsid w:val="0029639D"/>
    <w:pPr>
      <w:numPr>
        <w:numId w:val="7"/>
      </w:numPr>
      <w:contextualSpacing/>
    </w:pPr>
  </w:style>
  <w:style w:type="paragraph" w:styleId="af2">
    <w:name w:val="List Continue"/>
    <w:basedOn w:val="a1"/>
    <w:uiPriority w:val="99"/>
    <w:unhideWhenUsed/>
    <w:rsid w:val="0029639D"/>
    <w:pPr>
      <w:spacing w:after="120"/>
      <w:ind w:left="360"/>
      <w:contextualSpacing/>
    </w:pPr>
  </w:style>
  <w:style w:type="paragraph" w:styleId="26">
    <w:name w:val="List Continue 2"/>
    <w:basedOn w:val="a1"/>
    <w:uiPriority w:val="99"/>
    <w:unhideWhenUsed/>
    <w:rsid w:val="0029639D"/>
    <w:pPr>
      <w:spacing w:after="120"/>
      <w:ind w:left="720"/>
      <w:contextualSpacing/>
    </w:pPr>
  </w:style>
  <w:style w:type="paragraph" w:styleId="36">
    <w:name w:val="List Continue 3"/>
    <w:basedOn w:val="a1"/>
    <w:uiPriority w:val="99"/>
    <w:unhideWhenUsed/>
    <w:rsid w:val="0029639D"/>
    <w:pPr>
      <w:spacing w:after="120"/>
      <w:ind w:left="1080"/>
      <w:contextualSpacing/>
    </w:pPr>
  </w:style>
  <w:style w:type="paragraph" w:styleId="af3">
    <w:name w:val="macro"/>
    <w:link w:val="af4"/>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af4">
    <w:name w:val="宏文本 字符"/>
    <w:basedOn w:val="a2"/>
    <w:link w:val="af3"/>
    <w:uiPriority w:val="99"/>
    <w:rsid w:val="0029639D"/>
    <w:rPr>
      <w:rFonts w:ascii="Courier" w:hAnsi="Courier"/>
      <w:sz w:val="20"/>
      <w:szCs w:val="20"/>
    </w:rPr>
  </w:style>
  <w:style w:type="paragraph" w:styleId="af5">
    <w:name w:val="Quote"/>
    <w:basedOn w:val="a1"/>
    <w:next w:val="a1"/>
    <w:link w:val="af6"/>
    <w:uiPriority w:val="29"/>
    <w:qFormat/>
    <w:rsid w:val="00FC693F"/>
    <w:rPr>
      <w:i/>
      <w:iCs/>
      <w:color w:val="000000" w:themeColor="text1"/>
    </w:rPr>
  </w:style>
  <w:style w:type="character" w:customStyle="1" w:styleId="af6">
    <w:name w:val="引用 字符"/>
    <w:basedOn w:val="a2"/>
    <w:link w:val="af5"/>
    <w:uiPriority w:val="29"/>
    <w:rsid w:val="00FC693F"/>
    <w:rPr>
      <w:i/>
      <w:iCs/>
      <w:color w:val="000000" w:themeColor="text1"/>
    </w:rPr>
  </w:style>
  <w:style w:type="character" w:customStyle="1" w:styleId="40">
    <w:name w:val="标题 4 字符"/>
    <w:basedOn w:val="a2"/>
    <w:link w:val="4"/>
    <w:uiPriority w:val="9"/>
    <w:semiHidden/>
    <w:rsid w:val="00FC693F"/>
    <w:rPr>
      <w:rFonts w:asciiTheme="majorHAnsi" w:eastAsiaTheme="majorEastAsia" w:hAnsiTheme="majorHAnsi" w:cstheme="majorBidi"/>
      <w:b/>
      <w:bCs/>
      <w:i/>
      <w:iCs/>
      <w:color w:val="4F81BD" w:themeColor="accent1"/>
    </w:rPr>
  </w:style>
  <w:style w:type="character" w:customStyle="1" w:styleId="50">
    <w:name w:val="标题 5 字符"/>
    <w:basedOn w:val="a2"/>
    <w:link w:val="5"/>
    <w:uiPriority w:val="9"/>
    <w:semiHidden/>
    <w:rsid w:val="00FC693F"/>
    <w:rPr>
      <w:rFonts w:asciiTheme="majorHAnsi" w:eastAsiaTheme="majorEastAsia" w:hAnsiTheme="majorHAnsi" w:cstheme="majorBidi"/>
      <w:color w:val="243F60" w:themeColor="accent1" w:themeShade="7F"/>
    </w:rPr>
  </w:style>
  <w:style w:type="character" w:customStyle="1" w:styleId="60">
    <w:name w:val="标题 6 字符"/>
    <w:basedOn w:val="a2"/>
    <w:link w:val="6"/>
    <w:uiPriority w:val="9"/>
    <w:semiHidden/>
    <w:rsid w:val="00FC693F"/>
    <w:rPr>
      <w:rFonts w:asciiTheme="majorHAnsi" w:eastAsiaTheme="majorEastAsia" w:hAnsiTheme="majorHAnsi" w:cstheme="majorBidi"/>
      <w:i/>
      <w:iCs/>
      <w:color w:val="243F60" w:themeColor="accent1" w:themeShade="7F"/>
    </w:rPr>
  </w:style>
  <w:style w:type="character" w:customStyle="1" w:styleId="70">
    <w:name w:val="标题 7 字符"/>
    <w:basedOn w:val="a2"/>
    <w:link w:val="7"/>
    <w:uiPriority w:val="9"/>
    <w:semiHidden/>
    <w:rsid w:val="00FC693F"/>
    <w:rPr>
      <w:rFonts w:asciiTheme="majorHAnsi" w:eastAsiaTheme="majorEastAsia" w:hAnsiTheme="majorHAnsi" w:cstheme="majorBidi"/>
      <w:i/>
      <w:iCs/>
      <w:color w:val="404040" w:themeColor="text1" w:themeTint="BF"/>
    </w:rPr>
  </w:style>
  <w:style w:type="character" w:customStyle="1" w:styleId="80">
    <w:name w:val="标题 8 字符"/>
    <w:basedOn w:val="a2"/>
    <w:link w:val="8"/>
    <w:uiPriority w:val="9"/>
    <w:semiHidden/>
    <w:rsid w:val="00FC693F"/>
    <w:rPr>
      <w:rFonts w:asciiTheme="majorHAnsi" w:eastAsiaTheme="majorEastAsia" w:hAnsiTheme="majorHAnsi" w:cstheme="majorBidi"/>
      <w:color w:val="4F81BD" w:themeColor="accent1"/>
      <w:sz w:val="20"/>
      <w:szCs w:val="20"/>
    </w:rPr>
  </w:style>
  <w:style w:type="character" w:customStyle="1" w:styleId="90">
    <w:name w:val="标题 9 字符"/>
    <w:basedOn w:val="a2"/>
    <w:link w:val="9"/>
    <w:uiPriority w:val="9"/>
    <w:semiHidden/>
    <w:rsid w:val="00FC693F"/>
    <w:rPr>
      <w:rFonts w:asciiTheme="majorHAnsi" w:eastAsiaTheme="majorEastAsia" w:hAnsiTheme="majorHAnsi" w:cstheme="majorBidi"/>
      <w:i/>
      <w:iCs/>
      <w:color w:val="404040" w:themeColor="text1" w:themeTint="BF"/>
      <w:sz w:val="20"/>
      <w:szCs w:val="20"/>
    </w:rPr>
  </w:style>
  <w:style w:type="paragraph" w:styleId="af7">
    <w:name w:val="caption"/>
    <w:basedOn w:val="a1"/>
    <w:next w:val="a1"/>
    <w:uiPriority w:val="35"/>
    <w:semiHidden/>
    <w:unhideWhenUsed/>
    <w:qFormat/>
    <w:rsid w:val="00FC693F"/>
    <w:pPr>
      <w:spacing w:line="240" w:lineRule="auto"/>
    </w:pPr>
    <w:rPr>
      <w:b/>
      <w:bCs/>
      <w:color w:val="4F81BD" w:themeColor="accent1"/>
      <w:sz w:val="18"/>
      <w:szCs w:val="18"/>
    </w:rPr>
  </w:style>
  <w:style w:type="character" w:styleId="af8">
    <w:name w:val="Strong"/>
    <w:basedOn w:val="a2"/>
    <w:uiPriority w:val="22"/>
    <w:qFormat/>
    <w:rsid w:val="00FC693F"/>
    <w:rPr>
      <w:b/>
      <w:bCs/>
    </w:rPr>
  </w:style>
  <w:style w:type="character" w:styleId="af9">
    <w:name w:val="Emphasis"/>
    <w:basedOn w:val="a2"/>
    <w:uiPriority w:val="20"/>
    <w:qFormat/>
    <w:rsid w:val="00FC693F"/>
    <w:rPr>
      <w:i/>
      <w:iCs/>
    </w:rPr>
  </w:style>
  <w:style w:type="paragraph" w:styleId="afa">
    <w:name w:val="Intense Quote"/>
    <w:basedOn w:val="a1"/>
    <w:next w:val="a1"/>
    <w:link w:val="afb"/>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afb">
    <w:name w:val="明显引用 字符"/>
    <w:basedOn w:val="a2"/>
    <w:link w:val="afa"/>
    <w:uiPriority w:val="30"/>
    <w:rsid w:val="00FC693F"/>
    <w:rPr>
      <w:b/>
      <w:bCs/>
      <w:i/>
      <w:iCs/>
      <w:color w:val="4F81BD" w:themeColor="accent1"/>
    </w:rPr>
  </w:style>
  <w:style w:type="character" w:styleId="afc">
    <w:name w:val="Subtle Emphasis"/>
    <w:basedOn w:val="a2"/>
    <w:uiPriority w:val="19"/>
    <w:qFormat/>
    <w:rsid w:val="00FC693F"/>
    <w:rPr>
      <w:i/>
      <w:iCs/>
      <w:color w:val="808080" w:themeColor="text1" w:themeTint="7F"/>
    </w:rPr>
  </w:style>
  <w:style w:type="character" w:styleId="afd">
    <w:name w:val="Intense Emphasis"/>
    <w:basedOn w:val="a2"/>
    <w:uiPriority w:val="21"/>
    <w:qFormat/>
    <w:rsid w:val="00FC693F"/>
    <w:rPr>
      <w:b/>
      <w:bCs/>
      <w:i/>
      <w:iCs/>
      <w:color w:val="4F81BD" w:themeColor="accent1"/>
    </w:rPr>
  </w:style>
  <w:style w:type="character" w:styleId="afe">
    <w:name w:val="Subtle Reference"/>
    <w:basedOn w:val="a2"/>
    <w:uiPriority w:val="31"/>
    <w:qFormat/>
    <w:rsid w:val="00FC693F"/>
    <w:rPr>
      <w:smallCaps/>
      <w:color w:val="C0504D" w:themeColor="accent2"/>
      <w:u w:val="single"/>
    </w:rPr>
  </w:style>
  <w:style w:type="character" w:styleId="aff">
    <w:name w:val="Intense Reference"/>
    <w:basedOn w:val="a2"/>
    <w:uiPriority w:val="32"/>
    <w:qFormat/>
    <w:rsid w:val="00FC693F"/>
    <w:rPr>
      <w:b/>
      <w:bCs/>
      <w:smallCaps/>
      <w:color w:val="C0504D" w:themeColor="accent2"/>
      <w:spacing w:val="5"/>
      <w:u w:val="single"/>
    </w:rPr>
  </w:style>
  <w:style w:type="character" w:styleId="aff0">
    <w:name w:val="Book Title"/>
    <w:basedOn w:val="a2"/>
    <w:uiPriority w:val="33"/>
    <w:qFormat/>
    <w:rsid w:val="00FC693F"/>
    <w:rPr>
      <w:b/>
      <w:bCs/>
      <w:smallCaps/>
      <w:spacing w:val="5"/>
    </w:rPr>
  </w:style>
  <w:style w:type="paragraph" w:styleId="TOC">
    <w:name w:val="TOC Heading"/>
    <w:basedOn w:val="1"/>
    <w:next w:val="a1"/>
    <w:uiPriority w:val="39"/>
    <w:semiHidden/>
    <w:unhideWhenUsed/>
    <w:qFormat/>
    <w:rsid w:val="00FC693F"/>
    <w:pPr>
      <w:outlineLvl w:val="9"/>
    </w:pPr>
  </w:style>
  <w:style w:type="table" w:styleId="aff1">
    <w:name w:val="Table Grid"/>
    <w:basedOn w:val="a3"/>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f2">
    <w:name w:val="Light Shading"/>
    <w:basedOn w:val="a3"/>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3"/>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3"/>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3"/>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3"/>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3"/>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3"/>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f3">
    <w:name w:val="Light List"/>
    <w:basedOn w:val="a3"/>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3"/>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3"/>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3"/>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3"/>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3"/>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3"/>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f4">
    <w:name w:val="Light Grid"/>
    <w:basedOn w:val="a3"/>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11">
    <w:name w:val="Light Grid Accent 1"/>
    <w:basedOn w:val="a3"/>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21">
    <w:name w:val="Light Grid Accent 2"/>
    <w:basedOn w:val="a3"/>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31">
    <w:name w:val="Light Grid Accent 3"/>
    <w:basedOn w:val="a3"/>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41">
    <w:name w:val="Light Grid Accent 4"/>
    <w:basedOn w:val="a3"/>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51">
    <w:name w:val="Light Grid Accent 5"/>
    <w:basedOn w:val="a3"/>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61">
    <w:name w:val="Light Grid Accent 6"/>
    <w:basedOn w:val="a3"/>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11">
    <w:name w:val="Medium Shading 1"/>
    <w:basedOn w:val="a3"/>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3"/>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3"/>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3"/>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3"/>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3"/>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3"/>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3"/>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3"/>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3"/>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3"/>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3"/>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3"/>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3"/>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3"/>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3"/>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3"/>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3"/>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3"/>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3"/>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3"/>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3-1">
    <w:name w:val="Medium Grid 3 Accent 1"/>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3-2">
    <w:name w:val="Medium Grid 3 Accent 2"/>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3-3">
    <w:name w:val="Medium Grid 3 Accent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3-4">
    <w:name w:val="Medium Grid 3 Accent 4"/>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3-5">
    <w:name w:val="Medium Grid 3 Accent 5"/>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3-6">
    <w:name w:val="Medium Grid 3 Accent 6"/>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aff5">
    <w:name w:val="Dark List"/>
    <w:basedOn w:val="a3"/>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3"/>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3"/>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3"/>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3"/>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3"/>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3"/>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f6">
    <w:name w:val="Colorful Shading"/>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3"/>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3"/>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3"/>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3"/>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f7">
    <w:name w:val="Colorful List"/>
    <w:basedOn w:val="a3"/>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3"/>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3"/>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3"/>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3"/>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3"/>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3"/>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f8">
    <w:name w:val="Colorful Grid"/>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32</Pages>
  <Words>18696</Words>
  <Characters>19305</Characters>
  <Application>Microsoft Office Word</Application>
  <DocSecurity>0</DocSecurity>
  <Lines>708</Lines>
  <Paragraphs>295</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19584</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舜杰 艾</cp:lastModifiedBy>
  <cp:revision>2</cp:revision>
  <dcterms:created xsi:type="dcterms:W3CDTF">2026-04-07T02:53:00Z</dcterms:created>
  <dcterms:modified xsi:type="dcterms:W3CDTF">2026-04-07T02:53:00Z</dcterms:modified>
  <cp:category/>
</cp:coreProperties>
</file>