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62C6421E">
      <w:pPr>
        <w:ind w:firstLine="0"/>
        <w:jc w:val="center"/>
      </w:pPr>
      <w:r>
        <w:rPr>
          <w:rFonts w:ascii="黑体" w:hAnsi="黑体" w:eastAsia="黑体"/>
          <w:sz w:val="36"/>
        </w:rPr>
        <w:t>橙源智鉴项目计划书</w:t>
      </w:r>
    </w:p>
    <w:p w14:paraId="6AE36252">
      <w:pPr>
        <w:ind w:firstLine="0"/>
        <w:jc w:val="center"/>
      </w:pPr>
      <w:r>
        <w:rPr>
          <w:rFonts w:ascii="仿宋_GB2312" w:hAnsi="仿宋_GB2312"/>
        </w:rPr>
        <w:t>版本：V1.0</w:t>
      </w:r>
    </w:p>
    <w:p w14:paraId="303FD36F">
      <w:pPr>
        <w:ind w:firstLine="0"/>
        <w:jc w:val="center"/>
      </w:pPr>
      <w:r>
        <w:rPr>
          <w:rFonts w:ascii="仿宋_GB2312" w:hAnsi="仿宋_GB2312"/>
        </w:rPr>
        <w:t>日期：2026年4月7日</w:t>
      </w:r>
    </w:p>
    <w:p w14:paraId="1B9F15AE">
      <w:pPr>
        <w:sectPr>
          <w:footerReference r:id="rId5" w:type="default"/>
          <w:pgSz w:w="11906" w:h="16838"/>
          <w:pgMar w:top="1417" w:right="1417" w:bottom="1417" w:left="1417" w:header="850" w:footer="992" w:gutter="0"/>
          <w:cols w:space="720" w:num="1"/>
          <w:docGrid w:linePitch="360" w:charSpace="0"/>
        </w:sectPr>
      </w:pPr>
    </w:p>
    <w:p w14:paraId="410F6B35">
      <w:pPr>
        <w:ind w:firstLine="0"/>
        <w:jc w:val="center"/>
      </w:pPr>
      <w:r>
        <w:rPr>
          <w:rFonts w:ascii="黑体" w:hAnsi="黑体" w:eastAsia="黑体"/>
          <w:sz w:val="32"/>
        </w:rPr>
        <w:t>目 录</w:t>
      </w:r>
    </w:p>
    <w:p w14:paraId="0790B689">
      <w:pPr>
        <w:jc w:val="both"/>
      </w:pPr>
      <w:r>
        <w:rPr>
          <w:rFonts w:ascii="仿宋_GB2312" w:hAnsi="仿宋_GB2312"/>
        </w:rPr>
        <w:t>第一章 项目概述</w:t>
      </w:r>
    </w:p>
    <w:p w14:paraId="55B756EC">
      <w:pPr>
        <w:jc w:val="both"/>
      </w:pPr>
      <w:r>
        <w:rPr>
          <w:rFonts w:ascii="仿宋_GB2312" w:hAnsi="仿宋_GB2312"/>
        </w:rPr>
        <w:t>1.1 项目背景</w:t>
      </w:r>
    </w:p>
    <w:p w14:paraId="758E7B91">
      <w:pPr>
        <w:jc w:val="both"/>
      </w:pPr>
      <w:r>
        <w:rPr>
          <w:rFonts w:ascii="仿宋_GB2312" w:hAnsi="仿宋_GB2312"/>
        </w:rPr>
        <w:t>1.2 政策支持</w:t>
      </w:r>
    </w:p>
    <w:p w14:paraId="76274FBA">
      <w:pPr>
        <w:jc w:val="both"/>
      </w:pPr>
      <w:r>
        <w:rPr>
          <w:rFonts w:ascii="仿宋_GB2312" w:hAnsi="仿宋_GB2312"/>
        </w:rPr>
        <w:t>1.3 技术支撑</w:t>
      </w:r>
    </w:p>
    <w:p w14:paraId="5D2A7BB1">
      <w:pPr>
        <w:jc w:val="both"/>
      </w:pPr>
      <w:r>
        <w:rPr>
          <w:rFonts w:ascii="仿宋_GB2312" w:hAnsi="仿宋_GB2312"/>
        </w:rPr>
        <w:t>1.4 项目基础与阶段目标</w:t>
      </w:r>
    </w:p>
    <w:p w14:paraId="41D82F82">
      <w:pPr>
        <w:jc w:val="both"/>
      </w:pPr>
      <w:r>
        <w:rPr>
          <w:rFonts w:ascii="仿宋_GB2312" w:hAnsi="仿宋_GB2312"/>
        </w:rPr>
        <w:t>第二章 产品效益</w:t>
      </w:r>
    </w:p>
    <w:p w14:paraId="1DA371E2">
      <w:pPr>
        <w:jc w:val="both"/>
      </w:pPr>
      <w:r>
        <w:rPr>
          <w:rFonts w:ascii="仿宋_GB2312" w:hAnsi="仿宋_GB2312"/>
        </w:rPr>
        <w:t>2.1 社会效益</w:t>
      </w:r>
    </w:p>
    <w:p w14:paraId="2254B4E8">
      <w:pPr>
        <w:jc w:val="both"/>
      </w:pPr>
      <w:r>
        <w:rPr>
          <w:rFonts w:ascii="仿宋_GB2312" w:hAnsi="仿宋_GB2312"/>
        </w:rPr>
        <w:t>2.2 经济效益</w:t>
      </w:r>
    </w:p>
    <w:p w14:paraId="26ACFEE6">
      <w:pPr>
        <w:jc w:val="both"/>
      </w:pPr>
      <w:r>
        <w:rPr>
          <w:rFonts w:ascii="仿宋_GB2312" w:hAnsi="仿宋_GB2312"/>
        </w:rPr>
        <w:t>2.3 教育引领</w:t>
      </w:r>
    </w:p>
    <w:p w14:paraId="55BB967E">
      <w:pPr>
        <w:jc w:val="both"/>
      </w:pPr>
      <w:r>
        <w:rPr>
          <w:rFonts w:ascii="仿宋_GB2312" w:hAnsi="仿宋_GB2312"/>
        </w:rPr>
        <w:t>第三章 可行性分析</w:t>
      </w:r>
    </w:p>
    <w:p w14:paraId="188950EB">
      <w:pPr>
        <w:jc w:val="both"/>
      </w:pPr>
      <w:r>
        <w:rPr>
          <w:rFonts w:ascii="仿宋_GB2312" w:hAnsi="仿宋_GB2312"/>
        </w:rPr>
        <w:t>3.1 市场可行性</w:t>
      </w:r>
    </w:p>
    <w:p w14:paraId="66F2057C">
      <w:pPr>
        <w:jc w:val="both"/>
      </w:pPr>
      <w:r>
        <w:rPr>
          <w:rFonts w:ascii="仿宋_GB2312" w:hAnsi="仿宋_GB2312"/>
        </w:rPr>
        <w:t>3.2 技术可行性</w:t>
      </w:r>
    </w:p>
    <w:p w14:paraId="6DC95623">
      <w:pPr>
        <w:jc w:val="both"/>
      </w:pPr>
      <w:r>
        <w:rPr>
          <w:rFonts w:ascii="仿宋_GB2312" w:hAnsi="仿宋_GB2312"/>
        </w:rPr>
        <w:t>3.3 经济可行性</w:t>
      </w:r>
    </w:p>
    <w:p w14:paraId="5FFA72BA">
      <w:pPr>
        <w:jc w:val="both"/>
      </w:pPr>
      <w:r>
        <w:rPr>
          <w:rFonts w:ascii="仿宋_GB2312" w:hAnsi="仿宋_GB2312"/>
        </w:rPr>
        <w:t>3.4 运营可行性</w:t>
      </w:r>
    </w:p>
    <w:p w14:paraId="261026B5">
      <w:pPr>
        <w:jc w:val="both"/>
      </w:pPr>
      <w:r>
        <w:rPr>
          <w:rFonts w:ascii="仿宋_GB2312" w:hAnsi="仿宋_GB2312"/>
        </w:rPr>
        <w:t>第四章 市场优势</w:t>
      </w:r>
    </w:p>
    <w:p w14:paraId="54A9BF20">
      <w:pPr>
        <w:jc w:val="both"/>
      </w:pPr>
      <w:r>
        <w:rPr>
          <w:rFonts w:ascii="仿宋_GB2312" w:hAnsi="仿宋_GB2312"/>
        </w:rPr>
        <w:t>4.1 检测市场分析</w:t>
      </w:r>
    </w:p>
    <w:p w14:paraId="0F161282">
      <w:pPr>
        <w:jc w:val="both"/>
      </w:pPr>
      <w:r>
        <w:rPr>
          <w:rFonts w:ascii="仿宋_GB2312" w:hAnsi="仿宋_GB2312"/>
        </w:rPr>
        <w:t>4.2 行业痛点与需求结构</w:t>
      </w:r>
    </w:p>
    <w:p w14:paraId="5CD0BD92">
      <w:pPr>
        <w:jc w:val="both"/>
      </w:pPr>
      <w:r>
        <w:rPr>
          <w:rFonts w:ascii="仿宋_GB2312" w:hAnsi="仿宋_GB2312"/>
        </w:rPr>
        <w:t>4.3 用户分析</w:t>
      </w:r>
    </w:p>
    <w:p w14:paraId="4F057AA8">
      <w:pPr>
        <w:jc w:val="both"/>
      </w:pPr>
      <w:r>
        <w:rPr>
          <w:rFonts w:ascii="仿宋_GB2312" w:hAnsi="仿宋_GB2312"/>
        </w:rPr>
        <w:t>4.4 竞争分析</w:t>
      </w:r>
    </w:p>
    <w:p w14:paraId="203F5919">
      <w:pPr>
        <w:jc w:val="both"/>
      </w:pPr>
      <w:r>
        <w:rPr>
          <w:rFonts w:ascii="仿宋_GB2312" w:hAnsi="仿宋_GB2312"/>
        </w:rPr>
        <w:t>第五章 技术策略</w:t>
      </w:r>
    </w:p>
    <w:p w14:paraId="3949D44C">
      <w:pPr>
        <w:jc w:val="both"/>
      </w:pPr>
      <w:r>
        <w:rPr>
          <w:rFonts w:ascii="仿宋_GB2312" w:hAnsi="仿宋_GB2312"/>
        </w:rPr>
        <w:t>5.1 总体技术路线</w:t>
      </w:r>
    </w:p>
    <w:p w14:paraId="606234A2">
      <w:pPr>
        <w:jc w:val="both"/>
      </w:pPr>
      <w:r>
        <w:rPr>
          <w:rFonts w:ascii="仿宋_GB2312" w:hAnsi="仿宋_GB2312"/>
        </w:rPr>
        <w:t>5.2 实验设计与标准化流程</w:t>
      </w:r>
    </w:p>
    <w:p w14:paraId="328A2091">
      <w:pPr>
        <w:jc w:val="both"/>
      </w:pPr>
      <w:r>
        <w:rPr>
          <w:rFonts w:ascii="仿宋_GB2312" w:hAnsi="仿宋_GB2312"/>
        </w:rPr>
        <w:t>5.3 核心算法与模型策略</w:t>
      </w:r>
    </w:p>
    <w:p w14:paraId="78101BDC">
      <w:pPr>
        <w:jc w:val="both"/>
      </w:pPr>
      <w:r>
        <w:rPr>
          <w:rFonts w:ascii="仿宋_GB2312" w:hAnsi="仿宋_GB2312"/>
        </w:rPr>
        <w:t>5.4 光谱机理与特征指纹</w:t>
      </w:r>
    </w:p>
    <w:p w14:paraId="1D09C82D">
      <w:pPr>
        <w:jc w:val="both"/>
      </w:pPr>
      <w:r>
        <w:rPr>
          <w:rFonts w:ascii="仿宋_GB2312" w:hAnsi="仿宋_GB2312"/>
        </w:rPr>
        <w:t>第六章 产品策略</w:t>
      </w:r>
    </w:p>
    <w:p w14:paraId="1B512690">
      <w:pPr>
        <w:jc w:val="both"/>
      </w:pPr>
      <w:r>
        <w:rPr>
          <w:rFonts w:ascii="仿宋_GB2312" w:hAnsi="仿宋_GB2312"/>
        </w:rPr>
        <w:t>6.1 产品定位与交付形态</w:t>
      </w:r>
    </w:p>
    <w:p w14:paraId="13412F58">
      <w:pPr>
        <w:jc w:val="both"/>
      </w:pPr>
      <w:r>
        <w:rPr>
          <w:rFonts w:ascii="仿宋_GB2312" w:hAnsi="仿宋_GB2312"/>
        </w:rPr>
        <w:t>6.2 产品分层与收费思路</w:t>
      </w:r>
    </w:p>
    <w:p w14:paraId="46C1EBF4">
      <w:pPr>
        <w:jc w:val="both"/>
      </w:pPr>
      <w:r>
        <w:rPr>
          <w:rFonts w:ascii="仿宋_GB2312" w:hAnsi="仿宋_GB2312"/>
        </w:rPr>
        <w:t>6.3 实施与交付策略</w:t>
      </w:r>
    </w:p>
    <w:p w14:paraId="1885D732">
      <w:pPr>
        <w:jc w:val="both"/>
      </w:pPr>
      <w:r>
        <w:rPr>
          <w:rFonts w:ascii="仿宋_GB2312" w:hAnsi="仿宋_GB2312"/>
        </w:rPr>
        <w:t>6.4 推广与销售模式</w:t>
      </w:r>
    </w:p>
    <w:p w14:paraId="619D4DB0">
      <w:pPr>
        <w:jc w:val="both"/>
      </w:pPr>
      <w:r>
        <w:rPr>
          <w:rFonts w:ascii="仿宋_GB2312" w:hAnsi="仿宋_GB2312"/>
        </w:rPr>
        <w:t>第七章 运营策略</w:t>
      </w:r>
    </w:p>
    <w:p w14:paraId="6ABA3F70">
      <w:pPr>
        <w:jc w:val="both"/>
      </w:pPr>
      <w:r>
        <w:rPr>
          <w:rFonts w:ascii="仿宋_GB2312" w:hAnsi="仿宋_GB2312"/>
        </w:rPr>
        <w:t>7.1 运营定位与目标</w:t>
      </w:r>
    </w:p>
    <w:p w14:paraId="0620981D">
      <w:pPr>
        <w:jc w:val="both"/>
      </w:pPr>
      <w:r>
        <w:rPr>
          <w:rFonts w:ascii="仿宋_GB2312" w:hAnsi="仿宋_GB2312"/>
        </w:rPr>
        <w:t>7.2 阶段运营安排</w:t>
      </w:r>
    </w:p>
    <w:p w14:paraId="2B783DA5">
      <w:pPr>
        <w:jc w:val="both"/>
      </w:pPr>
      <w:r>
        <w:rPr>
          <w:rFonts w:ascii="仿宋_GB2312" w:hAnsi="仿宋_GB2312"/>
        </w:rPr>
        <w:t>7.3 核心运营模块</w:t>
      </w:r>
    </w:p>
    <w:p w14:paraId="3EE1A3C1">
      <w:pPr>
        <w:jc w:val="both"/>
      </w:pPr>
      <w:r>
        <w:rPr>
          <w:rFonts w:ascii="仿宋_GB2312" w:hAnsi="仿宋_GB2312"/>
        </w:rPr>
        <w:t>第八章 团队介绍</w:t>
      </w:r>
    </w:p>
    <w:p w14:paraId="71540185">
      <w:pPr>
        <w:jc w:val="both"/>
      </w:pPr>
      <w:r>
        <w:rPr>
          <w:rFonts w:ascii="仿宋_GB2312" w:hAnsi="仿宋_GB2312"/>
        </w:rPr>
        <w:t>8.1 团队组织架构</w:t>
      </w:r>
    </w:p>
    <w:p w14:paraId="3ECB466D">
      <w:pPr>
        <w:jc w:val="both"/>
      </w:pPr>
      <w:r>
        <w:rPr>
          <w:rFonts w:ascii="仿宋_GB2312" w:hAnsi="仿宋_GB2312"/>
        </w:rPr>
        <w:t>8.2 专家顾问团队</w:t>
      </w:r>
    </w:p>
    <w:p w14:paraId="175987DC">
      <w:pPr>
        <w:jc w:val="both"/>
      </w:pPr>
      <w:r>
        <w:rPr>
          <w:rFonts w:ascii="仿宋_GB2312" w:hAnsi="仿宋_GB2312"/>
        </w:rPr>
        <w:t>8.3 核心团队成员介绍</w:t>
      </w:r>
    </w:p>
    <w:p w14:paraId="60BDC89B">
      <w:pPr>
        <w:jc w:val="both"/>
      </w:pPr>
      <w:r>
        <w:rPr>
          <w:rFonts w:ascii="仿宋_GB2312" w:hAnsi="仿宋_GB2312"/>
        </w:rPr>
        <w:t>8.4 团队核心优势</w:t>
      </w:r>
    </w:p>
    <w:p w14:paraId="6BC5B94C">
      <w:pPr>
        <w:jc w:val="both"/>
      </w:pPr>
      <w:r>
        <w:rPr>
          <w:rFonts w:ascii="仿宋_GB2312" w:hAnsi="仿宋_GB2312"/>
        </w:rPr>
        <w:t>第九章 财务预测</w:t>
      </w:r>
    </w:p>
    <w:p w14:paraId="1B629465">
      <w:pPr>
        <w:jc w:val="both"/>
      </w:pPr>
      <w:r>
        <w:rPr>
          <w:rFonts w:ascii="仿宋_GB2312" w:hAnsi="仿宋_GB2312"/>
        </w:rPr>
        <w:t>9.1 财务假设前提</w:t>
      </w:r>
    </w:p>
    <w:p w14:paraId="2FE39CDE">
      <w:pPr>
        <w:jc w:val="both"/>
      </w:pPr>
      <w:r>
        <w:rPr>
          <w:rFonts w:ascii="仿宋_GB2312" w:hAnsi="仿宋_GB2312"/>
        </w:rPr>
        <w:t>9.2 三情景核心假设对比</w:t>
      </w:r>
    </w:p>
    <w:p w14:paraId="4A05B0A3">
      <w:pPr>
        <w:jc w:val="both"/>
      </w:pPr>
      <w:r>
        <w:rPr>
          <w:rFonts w:ascii="仿宋_GB2312" w:hAnsi="仿宋_GB2312"/>
        </w:rPr>
        <w:t>9.3 五年损益预测</w:t>
      </w:r>
    </w:p>
    <w:p w14:paraId="57563BB3">
      <w:pPr>
        <w:jc w:val="both"/>
      </w:pPr>
      <w:r>
        <w:rPr>
          <w:rFonts w:ascii="仿宋_GB2312" w:hAnsi="仿宋_GB2312"/>
        </w:rPr>
        <w:t>9.4 五年现金流量预测</w:t>
      </w:r>
    </w:p>
    <w:p w14:paraId="223D1DBE">
      <w:pPr>
        <w:jc w:val="both"/>
      </w:pPr>
      <w:r>
        <w:rPr>
          <w:rFonts w:ascii="仿宋_GB2312" w:hAnsi="仿宋_GB2312"/>
        </w:rPr>
        <w:t>9.5 资产负债结构判断</w:t>
      </w:r>
    </w:p>
    <w:p w14:paraId="1DAAC217">
      <w:pPr>
        <w:jc w:val="both"/>
      </w:pPr>
      <w:r>
        <w:rPr>
          <w:rFonts w:ascii="仿宋_GB2312" w:hAnsi="仿宋_GB2312"/>
        </w:rPr>
        <w:t>9.6 三情景营收与盈利对比</w:t>
      </w:r>
    </w:p>
    <w:p w14:paraId="3AE4AB72">
      <w:pPr>
        <w:jc w:val="both"/>
      </w:pPr>
      <w:r>
        <w:rPr>
          <w:rFonts w:ascii="仿宋_GB2312" w:hAnsi="仿宋_GB2312"/>
        </w:rPr>
        <w:t>9.7 盈亏平衡分析</w:t>
      </w:r>
    </w:p>
    <w:p w14:paraId="71920C01">
      <w:pPr>
        <w:jc w:val="both"/>
      </w:pPr>
      <w:r>
        <w:rPr>
          <w:rFonts w:ascii="仿宋_GB2312" w:hAnsi="仿宋_GB2312"/>
        </w:rPr>
        <w:t>9.8 敏感性分析</w:t>
      </w:r>
    </w:p>
    <w:p w14:paraId="0AE3692B">
      <w:pPr>
        <w:jc w:val="both"/>
      </w:pPr>
      <w:r>
        <w:rPr>
          <w:rFonts w:ascii="仿宋_GB2312" w:hAnsi="仿宋_GB2312"/>
        </w:rPr>
        <w:t>9.9 关键财务比率趋势</w:t>
      </w:r>
    </w:p>
    <w:p w14:paraId="51465230">
      <w:pPr>
        <w:jc w:val="both"/>
      </w:pPr>
      <w:r>
        <w:rPr>
          <w:rFonts w:ascii="仿宋_GB2312" w:hAnsi="仿宋_GB2312"/>
        </w:rPr>
        <w:t>9.10 资本需求与融资规划</w:t>
      </w:r>
    </w:p>
    <w:p w14:paraId="11CBE4CA">
      <w:pPr>
        <w:jc w:val="both"/>
      </w:pPr>
      <w:r>
        <w:rPr>
          <w:rFonts w:ascii="仿宋_GB2312" w:hAnsi="仿宋_GB2312"/>
        </w:rPr>
        <w:t>第十章 风险分析</w:t>
      </w:r>
    </w:p>
    <w:p w14:paraId="5614DBB1">
      <w:pPr>
        <w:jc w:val="both"/>
      </w:pPr>
      <w:r>
        <w:rPr>
          <w:rFonts w:ascii="仿宋_GB2312" w:hAnsi="仿宋_GB2312"/>
        </w:rPr>
        <w:t>10.1 分析假设条件声明</w:t>
      </w:r>
    </w:p>
    <w:p w14:paraId="793D0BFC">
      <w:pPr>
        <w:jc w:val="both"/>
      </w:pPr>
      <w:r>
        <w:rPr>
          <w:rFonts w:ascii="仿宋_GB2312" w:hAnsi="仿宋_GB2312"/>
        </w:rPr>
        <w:t>10.2 财务风险维度分析</w:t>
      </w:r>
    </w:p>
    <w:p w14:paraId="3601B7F6">
      <w:pPr>
        <w:jc w:val="both"/>
      </w:pPr>
      <w:r>
        <w:rPr>
          <w:rFonts w:ascii="仿宋_GB2312" w:hAnsi="仿宋_GB2312"/>
        </w:rPr>
        <w:t>10.3 市场风险维度分析</w:t>
      </w:r>
    </w:p>
    <w:p w14:paraId="7AFB241E">
      <w:pPr>
        <w:jc w:val="both"/>
      </w:pPr>
      <w:r>
        <w:rPr>
          <w:rFonts w:ascii="仿宋_GB2312" w:hAnsi="仿宋_GB2312"/>
        </w:rPr>
        <w:t>10.4 运营风险维度分析</w:t>
      </w:r>
    </w:p>
    <w:p w14:paraId="0FA5853E">
      <w:pPr>
        <w:jc w:val="both"/>
      </w:pPr>
      <w:r>
        <w:rPr>
          <w:rFonts w:ascii="仿宋_GB2312" w:hAnsi="仿宋_GB2312"/>
        </w:rPr>
        <w:t>10.5 技术与合规风险维度分析</w:t>
      </w:r>
    </w:p>
    <w:p w14:paraId="5BF55631">
      <w:pPr>
        <w:jc w:val="both"/>
      </w:pPr>
      <w:r>
        <w:rPr>
          <w:rFonts w:ascii="仿宋_GB2312" w:hAnsi="仿宋_GB2312"/>
        </w:rPr>
        <w:t>10.6 风险量化评估矩阵</w:t>
      </w:r>
    </w:p>
    <w:p w14:paraId="6DF87841">
      <w:pPr>
        <w:jc w:val="both"/>
      </w:pPr>
      <w:r>
        <w:rPr>
          <w:rFonts w:ascii="仿宋_GB2312" w:hAnsi="仿宋_GB2312"/>
        </w:rPr>
        <w:t>10.7 三情景风险演变路径</w:t>
      </w:r>
    </w:p>
    <w:p w14:paraId="702A4960">
      <w:pPr>
        <w:jc w:val="both"/>
      </w:pPr>
      <w:r>
        <w:rPr>
          <w:rFonts w:ascii="仿宋_GB2312" w:hAnsi="仿宋_GB2312"/>
        </w:rPr>
        <w:t>10.8 风险应对策略矩阵</w:t>
      </w:r>
    </w:p>
    <w:p w14:paraId="214DDA25">
      <w:pPr>
        <w:jc w:val="both"/>
      </w:pPr>
      <w:r>
        <w:rPr>
          <w:rFonts w:ascii="仿宋_GB2312" w:hAnsi="仿宋_GB2312"/>
        </w:rPr>
        <w:t>10.9 关键风险指标监控建议</w:t>
      </w:r>
    </w:p>
    <w:p w14:paraId="42B67111">
      <w:pPr>
        <w:sectPr>
          <w:pgSz w:w="11906" w:h="16838"/>
          <w:pgMar w:top="1417" w:right="1417" w:bottom="1417" w:left="1417" w:header="850" w:footer="992" w:gutter="0"/>
          <w:cols w:space="720" w:num="1"/>
          <w:docGrid w:linePitch="360" w:charSpace="0"/>
        </w:sectPr>
      </w:pPr>
    </w:p>
    <w:p w14:paraId="6C1C78C8">
      <w:pPr>
        <w:ind w:firstLine="0"/>
        <w:jc w:val="both"/>
      </w:pPr>
      <w:r>
        <w:rPr>
          <w:rFonts w:ascii="仿宋_GB2312" w:hAnsi="仿宋_GB2312"/>
          <w:b/>
        </w:rPr>
        <w:t xml:space="preserve">摘要 </w:t>
      </w:r>
      <w:r>
        <w:rPr>
          <w:rFonts w:ascii="仿宋_GB2312" w:hAnsi="仿宋_GB2312"/>
        </w:rPr>
        <w:t>橙类产品在分选流通、品牌经营和区域服务中长期面临三类共性问题：一是分级判断依赖人工经验，同批次果品在不同人员、不同场地、不同渠道之间容易出现口径偏差；二是产地证明多停留在纸面介绍或单次抽检层面，难以沉淀为可复查、可比对、可持续调用的批次档案；三是检测结果与经营动作脱节，上传、分析、复核、留档、展示和报告外发之间缺乏统一系统承接，导致已有数据难以进入分级、验货、采购、品牌说明和复盘管理等真实业务流程。围绕上述问题，本项目研发“橙源智鉴”智能分析平台，以高光谱成像、理化标定、多任务建模和可解释分析为技术底座，围绕橙类产品构建了数据文件上传、等级识别、产地溯源、品质分析、异常提示、历史查询和报告输出一体化解决方案。项目当前已完成平台成品开发，形成管理分析界面与移动查询入口，可实现批量上传、样本对比、模型解释、历史管理、采样登记、结果查询、批次回看和标准报告导出，所有结果围绕同一批次数据和同一报告档案协同运行，已经形成“样本录入—文件上传—智能分析—结果判读—报告生成—历史留档”的完整闭环。系统支持 HDR、RAW、CSV 等多类文件接入，当前单次分析流程约 1.2 秒，演示场景中产地识别置信度达 98.5%，SSC 预测误差控制在 ±0.3%，并已沉淀 10 组化验样本、100 个连续波段点位及澄迈福橙、琼中绿橙等区域对比数据，具备向试点场景投放的成品基础。该平台可直接服务于果园与合作社的批次分级、分选中心与渠道方的到货验货、品牌运营方的品质说明与溯源展示、区域服务机构的样本管理与质量复盘，并可进一步扩展为区域品牌果数字化品控平台、果品质量服务平台和区域样本库管理平台。项目将算法结果、平台页面和批次报告统一为同一套交付体系，使橙类品质分析不再停留在实验结果或概念展示层面，而能够直接进入实际经营链条和区域品牌建设过程。</w:t>
      </w:r>
    </w:p>
    <w:p w14:paraId="1B52882B">
      <w:pPr>
        <w:ind w:firstLine="0"/>
        <w:jc w:val="both"/>
      </w:pPr>
      <w:r>
        <w:rPr>
          <w:rFonts w:ascii="仿宋_GB2312" w:hAnsi="仿宋_GB2312"/>
          <w:b/>
        </w:rPr>
        <w:t xml:space="preserve">关键词 </w:t>
      </w:r>
      <w:r>
        <w:rPr>
          <w:rFonts w:ascii="仿宋_GB2312" w:hAnsi="仿宋_GB2312"/>
        </w:rPr>
        <w:t>高光谱成像；橙类品质分级；产地溯源；平台系统；智能分析</w:t>
      </w:r>
    </w:p>
    <w:p w14:paraId="483EA8AC">
      <w:pPr>
        <w:sectPr>
          <w:pgSz w:w="11906" w:h="16838"/>
          <w:pgMar w:top="1417" w:right="1417" w:bottom="1417" w:left="1417" w:header="850" w:footer="992" w:gutter="0"/>
          <w:cols w:space="720" w:num="1"/>
          <w:docGrid w:linePitch="360" w:charSpace="0"/>
        </w:sectPr>
      </w:pPr>
    </w:p>
    <w:p w14:paraId="26D99A2A">
      <w:pPr>
        <w:pStyle w:val="3"/>
        <w:ind w:firstLine="0"/>
      </w:pPr>
      <w:r>
        <w:rPr>
          <w:rFonts w:ascii="黑体" w:hAnsi="黑体" w:eastAsia="黑体"/>
        </w:rPr>
        <w:t>第一章 项目概述</w:t>
      </w:r>
    </w:p>
    <w:p w14:paraId="04FC0245">
      <w:pPr>
        <w:pStyle w:val="4"/>
        <w:ind w:firstLine="0"/>
      </w:pPr>
      <w:r>
        <w:rPr>
          <w:rFonts w:ascii="楷体_GB2312" w:hAnsi="楷体_GB2312" w:eastAsia="楷体_GB2312"/>
        </w:rPr>
        <w:t>1.1 项目背景</w:t>
      </w:r>
    </w:p>
    <w:p w14:paraId="52EFCFB5">
      <w:pPr>
        <w:jc w:val="both"/>
      </w:pPr>
      <w:r>
        <w:rPr>
          <w:rFonts w:ascii="仿宋_GB2312" w:hAnsi="仿宋_GB2312"/>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550026E6">
      <w:pPr>
        <w:jc w:val="both"/>
      </w:pPr>
      <w:r>
        <w:rPr>
          <w:rFonts w:ascii="仿宋_GB2312" w:hAnsi="仿宋_GB2312"/>
        </w:rPr>
        <w:t>农业农村部2024年公开资料显示，我国柑橘种植面积约4493.72万亩、年产量约6003.89万吨，约占全球总产量28%；《2024年4月农产品供需形势分析月报（水果）》显示，2024年3月全国重点监测批发市场柑橘均价为7.03元/公斤，同比下降12.5%。在供给充足、价格承压的市场环境下，品质证明、等级分层和产地可信表达已成为品牌果经营中的常规需求。</w:t>
      </w:r>
    </w:p>
    <w:p w14:paraId="01E11EB9">
      <w:pPr>
        <w:jc w:val="both"/>
      </w:pPr>
      <w:r>
        <w:rPr>
          <w:rFonts w:ascii="仿宋_GB2312" w:hAnsi="仿宋_GB2312"/>
        </w:rPr>
        <w:t>海南具备较好的应用基础。根据海南省统计局2025年1月发布的《海南省2024年国民经济和社会发展统计公报》，2024年海南水果总产量617.66万吨，同比增长4.2%。澄迈福橙、琼中绿橙等区域品牌果品既需要稳定分级，也需要清晰溯源和标准化对外说明，这为项目应用提供了明确落点。</w:t>
      </w:r>
    </w:p>
    <w:p w14:paraId="34645887">
      <w:pPr>
        <w:jc w:val="both"/>
      </w:pPr>
      <w:r>
        <w:rPr>
          <w:rFonts w:ascii="仿宋_GB2312" w:hAnsi="仿宋_GB2312"/>
        </w:rPr>
        <w:t>橙源智鉴以高光谱数据文件和标准检测数据文件为输入，围绕橙类产品的等级识别、产地溯源和品质分析，做成了可直接使用的平台系统。用户上传文件后，系统即可完成等级判断、产地识别、异常提示和分析报告生成，结果同步进入历史档案，供后续复检、复盘和对外说明调用。项目对应的是分级、验货、溯源和品牌表达这一整条实际业务链，而不是某个孤立算法环节。</w:t>
      </w:r>
    </w:p>
    <w:p w14:paraId="08A50B2A">
      <w:pPr>
        <w:pStyle w:val="4"/>
        <w:ind w:firstLine="0"/>
      </w:pPr>
      <w:r>
        <w:rPr>
          <w:rFonts w:ascii="楷体_GB2312" w:hAnsi="楷体_GB2312" w:eastAsia="楷体_GB2312"/>
        </w:rPr>
        <w:t>1.2 政策支持</w:t>
      </w:r>
    </w:p>
    <w:p w14:paraId="3EAA05C0">
      <w:pPr>
        <w:jc w:val="both"/>
      </w:pPr>
      <w:r>
        <w:rPr>
          <w:rFonts w:ascii="仿宋_GB2312" w:hAnsi="仿宋_GB2312"/>
        </w:rPr>
        <w:t>农业农村部于2024年11月印发《全国智慧农业行动计划（2024—2028年）》，明确提出到2028年底农业生产信息化率达到32%以上，重点推动农业全链条数字化、智能化升级。橙源智鉴对应数据采集、智能分析和结果交付环节，平台与报告体系能够直接承接这一应用链路。</w:t>
      </w:r>
    </w:p>
    <w:p w14:paraId="1BAB7922">
      <w:pPr>
        <w:jc w:val="both"/>
      </w:pPr>
      <w:r>
        <w:rPr>
          <w:rFonts w:ascii="仿宋_GB2312" w:hAnsi="仿宋_GB2312"/>
        </w:rPr>
        <w:t>农业农村部《农产品质量安全信息化追溯管理办法（试行）》对追溯主体、信息采集和流向记录提出了明确要求。橙源智鉴将文件、批次、分析结果和历史报告统一纳入同一平台，可用于果品追溯、质量抽检辅助和区域品牌档案管理。</w:t>
      </w:r>
    </w:p>
    <w:p w14:paraId="1C52D3C9">
      <w:pPr>
        <w:jc w:val="both"/>
      </w:pPr>
      <w:r>
        <w:rPr>
          <w:rFonts w:ascii="仿宋_GB2312" w:hAnsi="仿宋_GB2312"/>
        </w:rPr>
        <w:t>海南自由贸易港建设、热带特色高效农业和“人工智能+”应用推广，为项目提供了明确落点。项目面向海南特色橙类产品的分选、验货和品牌管理场景开展应用。</w:t>
      </w:r>
    </w:p>
    <w:p w14:paraId="309395F8">
      <w:pPr>
        <w:jc w:val="both"/>
      </w:pPr>
      <w:r>
        <w:rPr>
          <w:rFonts w:ascii="仿宋_GB2312" w:hAnsi="仿宋_GB2312"/>
        </w:rPr>
        <w:t>澄迈福橙、琼中绿橙等区域品牌同时存在等级识别、产地证明和品牌表达需求，适合作为首批应用对象。项目可先围绕海南形成样板案例，再向其他橙类产区推广。</w:t>
      </w:r>
    </w:p>
    <w:p w14:paraId="28ED1DAB">
      <w:pPr>
        <w:pStyle w:val="4"/>
        <w:ind w:firstLine="0"/>
      </w:pPr>
      <w:r>
        <w:rPr>
          <w:rFonts w:ascii="楷体_GB2312" w:hAnsi="楷体_GB2312" w:eastAsia="楷体_GB2312"/>
        </w:rPr>
        <w:t>1.3 技术支撑</w:t>
      </w:r>
    </w:p>
    <w:p w14:paraId="2B97E30B">
      <w:pPr>
        <w:jc w:val="both"/>
      </w:pPr>
      <w:r>
        <w:rPr>
          <w:rFonts w:ascii="仿宋_GB2312" w:hAnsi="仿宋_GB2312"/>
        </w:rPr>
        <w:t>高光谱成像可以同时获取样本的空间信息和连续光谱信息，适合处理糖度、酸度、成熟度和产地差异这类橙类核心任务，是本项目进行无损分析的底层数据来源。</w:t>
      </w:r>
    </w:p>
    <w:p w14:paraId="7CEDE021">
      <w:pPr>
        <w:jc w:val="both"/>
      </w:pPr>
      <w:r>
        <w:rPr>
          <w:rFonts w:ascii="仿宋_GB2312" w:hAnsi="仿宋_GB2312"/>
        </w:rPr>
        <w:t>算法层面采用“分类 + 回归”双任务路径：分类模型负责产地识别与等级划分，回归模型负责 SSC、TA、糖酸比和维生素C等指标预测，再配合异常识别和可解释模块输出可复核结果。</w:t>
      </w:r>
    </w:p>
    <w:p w14:paraId="4CBC4899">
      <w:pPr>
        <w:jc w:val="both"/>
      </w:pPr>
      <w:r>
        <w:rPr>
          <w:rFonts w:ascii="仿宋_GB2312" w:hAnsi="仿宋_GB2312"/>
        </w:rPr>
        <w:t>当前成品已完成平台开发，包括管理分析界面和移动查询入口。系统支持 HDR、RAW、CSV 三类文件上传，可完成样本对比、模型解释、历史记录、采样登记、结果查询和报告导出，并在分析页展示 1.2 秒处理流程、98.5% 产地识别置信度和 SSC 预测误差 ±0.3% 的演示结果。</w:t>
      </w:r>
    </w:p>
    <w:p w14:paraId="6E3A0419">
      <w:pPr>
        <w:pStyle w:val="4"/>
        <w:ind w:firstLine="0"/>
      </w:pPr>
      <w:r>
        <w:rPr>
          <w:rFonts w:ascii="楷体_GB2312" w:hAnsi="楷体_GB2312" w:eastAsia="楷体_GB2312"/>
        </w:rPr>
        <w:t>1.4 项目基础与阶段目标</w:t>
      </w:r>
    </w:p>
    <w:p w14:paraId="42BC3036">
      <w:pPr>
        <w:jc w:val="both"/>
      </w:pPr>
      <w:r>
        <w:rPr>
          <w:rFonts w:ascii="仿宋_GB2312" w:hAnsi="仿宋_GB2312"/>
        </w:rPr>
        <w:t>项目目前已具备三项基础：一是平台可直接演示完整业务链路；二是数据侧已沉淀 10 组化验样本、100 个连续波段点位和澄迈福橙、琼中绿橙对比数据；三是报告、历史页和模型页已经把分析结果做成可展示、可追溯、可复盘的成品。下一步重点是继续补强样本规模、标签质量和跨批次稳定性。</w:t>
      </w:r>
    </w:p>
    <w:p w14:paraId="48926EA5">
      <w:pPr>
        <w:pStyle w:val="16"/>
        <w:ind w:firstLine="0"/>
        <w:jc w:val="both"/>
      </w:pPr>
      <w:r>
        <w:rPr>
          <w:rFonts w:ascii="仿宋_GB2312" w:hAnsi="仿宋_GB2312"/>
        </w:rPr>
        <w:t>阶段目标一：形成一套能被重复执行的样本采集、编号、理化标注与数据录入模板。</w:t>
      </w:r>
    </w:p>
    <w:p w14:paraId="34AB806A">
      <w:pPr>
        <w:pStyle w:val="16"/>
        <w:ind w:firstLine="0"/>
        <w:jc w:val="both"/>
      </w:pPr>
      <w:r>
        <w:rPr>
          <w:rFonts w:ascii="仿宋_GB2312" w:hAnsi="仿宋_GB2312"/>
        </w:rPr>
        <w:t>阶段目标二：把等级识别、产地溯源、异常提醒和报告输出稳定集成到平台流程中。</w:t>
      </w:r>
    </w:p>
    <w:p w14:paraId="326A3F7F">
      <w:pPr>
        <w:pStyle w:val="16"/>
        <w:ind w:firstLine="0"/>
        <w:jc w:val="both"/>
      </w:pPr>
      <w:r>
        <w:rPr>
          <w:rFonts w:ascii="仿宋_GB2312" w:hAnsi="仿宋_GB2312"/>
        </w:rPr>
        <w:t>阶段目标三：形成批量上传分析、移动端查询、历史档案管理和报告导出的完整产品闭环。</w:t>
      </w:r>
    </w:p>
    <w:p w14:paraId="3112AE93">
      <w:pPr>
        <w:pStyle w:val="16"/>
        <w:ind w:firstLine="0"/>
        <w:jc w:val="both"/>
      </w:pPr>
      <w:r>
        <w:rPr>
          <w:rFonts w:ascii="仿宋_GB2312" w:hAnsi="仿宋_GB2312"/>
        </w:rPr>
        <w:t>阶段目标四：围绕澄迈福橙、琼中绿橙等对象形成可展示、可验证、可复制的应用案例。</w:t>
      </w:r>
    </w:p>
    <w:p w14:paraId="34C00329">
      <w:pPr>
        <w:pStyle w:val="16"/>
        <w:ind w:firstLine="0"/>
        <w:jc w:val="both"/>
      </w:pPr>
      <w:r>
        <w:rPr>
          <w:rFonts w:ascii="仿宋_GB2312" w:hAnsi="仿宋_GB2312"/>
        </w:rPr>
        <w:t>阶段目标五：在试点阶段把分析时长稳定控制在秒级，并形成产地识别准确率 95% 以上、糖度预测误差控制在 ±0.5 以内的目标指标体系。</w:t>
      </w:r>
    </w:p>
    <w:p w14:paraId="454619DB">
      <w:pPr>
        <w:sectPr>
          <w:pgSz w:w="11906" w:h="16838"/>
          <w:pgMar w:top="1417" w:right="1417" w:bottom="1417" w:left="1417" w:header="850" w:footer="992" w:gutter="0"/>
          <w:cols w:space="720" w:num="1"/>
          <w:docGrid w:linePitch="360" w:charSpace="0"/>
        </w:sectPr>
      </w:pPr>
    </w:p>
    <w:p w14:paraId="2D5AB7DB">
      <w:pPr>
        <w:pStyle w:val="3"/>
        <w:ind w:firstLine="0"/>
      </w:pPr>
      <w:r>
        <w:rPr>
          <w:rFonts w:ascii="黑体" w:hAnsi="黑体" w:eastAsia="黑体"/>
        </w:rPr>
        <w:t>第二章 产品效益</w:t>
      </w:r>
    </w:p>
    <w:p w14:paraId="0C4C2979">
      <w:pPr>
        <w:pStyle w:val="4"/>
        <w:ind w:firstLine="0"/>
      </w:pPr>
      <w:r>
        <w:rPr>
          <w:rFonts w:ascii="楷体_GB2312" w:hAnsi="楷体_GB2312" w:eastAsia="楷体_GB2312"/>
        </w:rPr>
        <w:t>2.1 社会效益</w:t>
      </w:r>
    </w:p>
    <w:p w14:paraId="60DFC36C">
      <w:pPr>
        <w:jc w:val="both"/>
      </w:pPr>
      <w:r>
        <w:rPr>
          <w:rFonts w:ascii="仿宋_GB2312" w:hAnsi="仿宋_GB2312"/>
        </w:rPr>
        <w:t>橙源智鉴接入后，采样登记、文件上传、等级识别、产地判断、结果留档和报告输出被压缩进同一条流程。采样人员登记批次，分选中心上传 HDR、RAW、CSV 文件，系统在秒级给出等级结论、产地判断和异常提示，结果同步进入历史档案。原先分散在纸质表单、聊天记录和人工经验里的信息，被固定成可查询、可复核、可导出的批次记录。</w:t>
      </w:r>
    </w:p>
    <w:p w14:paraId="0358F67B">
      <w:pPr>
        <w:jc w:val="both"/>
      </w:pPr>
      <w:r>
        <w:rPr>
          <w:rFonts w:ascii="仿宋_GB2312" w:hAnsi="仿宋_GB2312"/>
        </w:rPr>
        <w:t>这套记录方式会直接改变基地分级和渠道验货的协同方式。基地负责人可以按批次查看等级结构和问题样本，渠道采购可以调取对应批次的验货结果与报告，品牌方可以直接调用图文化说明材料用于陈列、讲解和售后说明。三方使用同一套数据口径后，口头解释、重复复检和责任扯皮都会明显减少。</w:t>
      </w:r>
    </w:p>
    <w:p w14:paraId="06F483E9">
      <w:pPr>
        <w:jc w:val="both"/>
      </w:pPr>
      <w:r>
        <w:rPr>
          <w:rFonts w:ascii="仿宋_GB2312" w:hAnsi="仿宋_GB2312"/>
        </w:rPr>
        <w:t>对区域品牌管理而言，持续沉淀的样本文件、理化标签、分析结果和报告版本还能形成长期档案。澄迈福橙、琼中绿橙等对象一旦建立起跨批次、跨时间的连续记录，区域质量统计、问题批次回查、品牌授权审核和标准修订就有了更扎实的数据基础。</w:t>
      </w:r>
    </w:p>
    <w:p w14:paraId="6D753019">
      <w:pPr>
        <w:jc w:val="both"/>
      </w:pPr>
      <w:r>
        <w:rPr>
          <w:rFonts w:ascii="仿宋_GB2312" w:hAnsi="仿宋_GB2312"/>
        </w:rPr>
        <w:t>这一过程还会推动果品质量管理方式由“抽检留痕”转向“批次留档”。每一批货都有来源、有结果、有报告、有回看记录，后续复检、复盘和模型更新都能找到对应样本，区域品牌管理的工作基础也会随之变得更细、更稳。</w:t>
      </w:r>
    </w:p>
    <w:p w14:paraId="43C32099">
      <w:pPr>
        <w:pStyle w:val="4"/>
        <w:ind w:firstLine="0"/>
      </w:pPr>
      <w:r>
        <w:rPr>
          <w:rFonts w:ascii="楷体_GB2312" w:hAnsi="楷体_GB2312" w:eastAsia="楷体_GB2312"/>
        </w:rPr>
        <w:t>2.2 经济效益</w:t>
      </w:r>
    </w:p>
    <w:p w14:paraId="2FC66E9E">
      <w:pPr>
        <w:jc w:val="both"/>
      </w:pPr>
      <w:r>
        <w:rPr>
          <w:rFonts w:ascii="仿宋_GB2312" w:hAnsi="仿宋_GB2312"/>
        </w:rPr>
        <w:t>经济效益先出现在分选和验货环节。系统把单批次判断压缩到秒级后，合作社和分选中心可以更快完成分流，减少重复抽检、错分级和出货前反复确认带来的时间损耗。高等级果能够更早匹配礼盒、电商和品牌渠道，普通果可以及时调整销售路径，库存周转和人工安排都会更顺。</w:t>
      </w:r>
    </w:p>
    <w:p w14:paraId="6A8E5F7D">
      <w:pPr>
        <w:jc w:val="both"/>
      </w:pPr>
      <w:r>
        <w:rPr>
          <w:rFonts w:ascii="仿宋_GB2312" w:hAnsi="仿宋_GB2312"/>
        </w:rPr>
        <w:t>收益还会体现在交易过程。品牌方拿到的不再只是口头描述，而是带有批次编号、等级区间、产地判断和图表结果的标准报告。报告进入议价、验货和售后环节后，渠道对货品稳定性的判断依据更充分，退货争议和重复沟通成本会下降，优质果的议价空间也更容易守住。</w:t>
      </w:r>
    </w:p>
    <w:p w14:paraId="72F2322C">
      <w:pPr>
        <w:jc w:val="both"/>
      </w:pPr>
      <w:r>
        <w:rPr>
          <w:rFonts w:ascii="仿宋_GB2312" w:hAnsi="仿宋_GB2312"/>
        </w:rPr>
        <w:t>项目当前已经具备三类可收费交付：单批次分析与报告、年度账号服务、区域品牌定制服务。每新增一个合作对象，既能形成当期收入，也会反向沉淀样本库、报告模板和历史案例。收入增长与能力积累同步发生，后续服务边际成本会逐步下降。</w:t>
      </w:r>
    </w:p>
    <w:p w14:paraId="507BB42D">
      <w:pPr>
        <w:jc w:val="both"/>
      </w:pPr>
      <w:r>
        <w:rPr>
          <w:rFonts w:ascii="仿宋_GB2312" w:hAnsi="仿宋_GB2312"/>
        </w:rPr>
        <w:t>项目进入稳定试点后，经营改进还会反映到供应链安排上。合作社可以根据等级结构决定分选节奏，品牌方可以提前准备不同渠道的包装与宣发口径，渠道方可以依据批次结果安排抽检强度和上架节奏。这种协同一旦形成，单批次收益改善会继续累积为整季经营收益。</w:t>
      </w:r>
    </w:p>
    <w:p w14:paraId="34BBF54B">
      <w:pPr>
        <w:pStyle w:val="4"/>
        <w:ind w:firstLine="0"/>
      </w:pPr>
      <w:r>
        <w:rPr>
          <w:rFonts w:ascii="楷体_GB2312" w:hAnsi="楷体_GB2312" w:eastAsia="楷体_GB2312"/>
        </w:rPr>
        <w:t>2.3 教育引领</w:t>
      </w:r>
    </w:p>
    <w:p w14:paraId="29BE1B02">
      <w:pPr>
        <w:jc w:val="both"/>
      </w:pPr>
      <w:r>
        <w:rPr>
          <w:rFonts w:ascii="仿宋_GB2312" w:hAnsi="仿宋_GB2312"/>
        </w:rPr>
        <w:t>项目对团队的价值，不在于做了多少展示页面，而在于把一套农业智能分析产品真正做了出来。样本怎么采、标签怎么标、结果怎么出、报告怎么交付、客户怎么使用，这些问题都要在同一个项目里被解决，团队因此能够完整经历从研发到落地的全过程。</w:t>
      </w:r>
    </w:p>
    <w:p w14:paraId="7D1EF09E">
      <w:pPr>
        <w:jc w:val="both"/>
      </w:pPr>
      <w:r>
        <w:rPr>
          <w:rFonts w:ascii="仿宋_GB2312" w:hAnsi="仿宋_GB2312"/>
        </w:rPr>
        <w:t>围绕澄迈福橙、琼中绿橙等区域品牌形成案例后，项目还能为海南本地高校参与热带特色农业数字化建设提供现成样板。它不是停留在论文或课堂实验里的成果，而是已经能进入真实业务场景、接受现场反馈并继续迭代的成品。</w:t>
      </w:r>
    </w:p>
    <w:p w14:paraId="2701D5E3">
      <w:pPr>
        <w:jc w:val="both"/>
      </w:pPr>
      <w:r>
        <w:rPr>
          <w:rFonts w:ascii="仿宋_GB2312" w:hAnsi="仿宋_GB2312"/>
        </w:rPr>
        <w:t>对高校创新项目而言，最有价值的是把技术能力转成可交付成果。橙源智鉴已经把算法结果、历史档案和标准报告统一到同一套产品逻辑中，后续无论是竞赛答辩、试点合作还是校地协同，都有现成成果可以直接使用。</w:t>
      </w:r>
    </w:p>
    <w:p w14:paraId="0C771BF1">
      <w:pPr>
        <w:jc w:val="both"/>
      </w:pPr>
      <w:r>
        <w:rPr>
          <w:rFonts w:ascii="仿宋_GB2312" w:hAnsi="仿宋_GB2312"/>
        </w:rPr>
        <w:t>这种训练真正锻炼的，是把技术做成产品、把产品做进场景的能力。团队成员以后面对科研转化、工程开发或产业合作时，不会只停留在“模型做出来了”，而会更清楚交付边界、现场问题和持续迭代应该怎么处理。</w:t>
      </w:r>
    </w:p>
    <w:p w14:paraId="5077A20D">
      <w:pPr>
        <w:sectPr>
          <w:pgSz w:w="11906" w:h="16838"/>
          <w:pgMar w:top="1417" w:right="1417" w:bottom="1417" w:left="1417" w:header="850" w:footer="992" w:gutter="0"/>
          <w:cols w:space="720" w:num="1"/>
          <w:docGrid w:linePitch="360" w:charSpace="0"/>
        </w:sectPr>
      </w:pPr>
    </w:p>
    <w:p w14:paraId="18909ABA">
      <w:pPr>
        <w:pStyle w:val="3"/>
        <w:ind w:firstLine="0"/>
      </w:pPr>
      <w:r>
        <w:rPr>
          <w:rFonts w:ascii="黑体" w:hAnsi="黑体" w:eastAsia="黑体"/>
        </w:rPr>
        <w:t>第三章 可行性分析</w:t>
      </w:r>
    </w:p>
    <w:p w14:paraId="7E8C886A">
      <w:pPr>
        <w:pStyle w:val="4"/>
        <w:ind w:firstLine="0"/>
      </w:pPr>
      <w:r>
        <w:rPr>
          <w:rFonts w:ascii="楷体_GB2312" w:hAnsi="楷体_GB2312" w:eastAsia="楷体_GB2312"/>
        </w:rPr>
        <w:t>3.1 市场可行性</w:t>
      </w:r>
    </w:p>
    <w:p w14:paraId="705A4935">
      <w:pPr>
        <w:jc w:val="both"/>
      </w:pPr>
      <w:r>
        <w:rPr>
          <w:rFonts w:ascii="仿宋_GB2312" w:hAnsi="仿宋_GB2312"/>
        </w:rPr>
        <w:t>橙类经营每年都在重复同一组业务动作：采样、分级、验货、出货、售后复核。只要这些环节持续存在，等级识别、产地判断和批次留档就不是临时需求。果园、合作社、分选中心和品牌方需要的也不是一次展示，而是能在真实经营周期里反复调用的分析工具。</w:t>
      </w:r>
    </w:p>
    <w:p w14:paraId="52B77C73">
      <w:pPr>
        <w:jc w:val="both"/>
      </w:pPr>
      <w:r>
        <w:rPr>
          <w:rFonts w:ascii="仿宋_GB2312" w:hAnsi="仿宋_GB2312"/>
        </w:rPr>
        <w:t>澄迈福橙、琼中绿橙等区域品牌果品很适合作为首发场景。它们既有品牌溢价需求，也有产地证明需求，还需要在礼盒、电商和渠道采购中把批次结果讲清楚。项目用现有平台和报告模板切入这类对象，进入路径比泛泛铺向全部水果更清晰。</w:t>
      </w:r>
    </w:p>
    <w:p w14:paraId="642E2DE7">
      <w:pPr>
        <w:jc w:val="both"/>
      </w:pPr>
      <w:r>
        <w:rPr>
          <w:rFonts w:ascii="仿宋_GB2312" w:hAnsi="仿宋_GB2312"/>
        </w:rPr>
        <w:t>客户的付费逻辑也比较直接。合作社和分选中心为提效和降损付费，品牌方和渠道方为批次报告、产地说明和历史留档付费，区域服务机构为样本库和标准化工具付费。三类需求都能在现有成品里找到对应交付，市场启动阻力相对可控。</w:t>
      </w:r>
    </w:p>
    <w:p w14:paraId="5AA3E6DC">
      <w:pPr>
        <w:jc w:val="both"/>
      </w:pPr>
      <w:r>
        <w:rPr>
          <w:rFonts w:ascii="仿宋_GB2312" w:hAnsi="仿宋_GB2312"/>
        </w:rPr>
        <w:t>一旦项目在某个产区形成稳定案例，后续复制难度会明显下降。橙类果品的经营链路、验货节点和品牌表达方式具有很强相似性，先做透一个区域、一个品牌、一个季节，再复制到相近对象，比从零教育整个市场更有效。</w:t>
      </w:r>
    </w:p>
    <w:p w14:paraId="5CDC6DFF">
      <w:pPr>
        <w:pStyle w:val="4"/>
        <w:ind w:firstLine="0"/>
      </w:pPr>
      <w:r>
        <w:rPr>
          <w:rFonts w:ascii="楷体_GB2312" w:hAnsi="楷体_GB2312" w:eastAsia="楷体_GB2312"/>
        </w:rPr>
        <w:t>3.2 技术可行性</w:t>
      </w:r>
    </w:p>
    <w:p w14:paraId="0F74B4F1">
      <w:pPr>
        <w:jc w:val="both"/>
      </w:pPr>
      <w:r>
        <w:rPr>
          <w:rFonts w:ascii="仿宋_GB2312" w:hAnsi="仿宋_GB2312"/>
        </w:rPr>
        <w:t>项目已经把高光谱文件接入、等级识别、产地溯源、指标估计、异常提示和报告输出连成一条技术链路。高光谱负责提供连续波段信息，分类模型负责产地识别和等级判断，回归模型负责 SSC、TA 等指标预测，可解释模块负责说明判断依据，各环节分工清楚，任务衔接顺畅。</w:t>
      </w:r>
    </w:p>
    <w:p w14:paraId="0B4E4B35">
      <w:pPr>
        <w:jc w:val="both"/>
      </w:pPr>
      <w:r>
        <w:rPr>
          <w:rFonts w:ascii="仿宋_GB2312" w:hAnsi="仿宋_GB2312"/>
        </w:rPr>
        <w:t>平台已经完成首页、大屏、分析页、模型页、历史页以及移动端上传、登记、查询和回看功能，能够完整演示“文件上传 - 智能分析 - 结果查看 - 报告导出”的业务链路；系统支持 HDR、RAW、CSV 三类文件上传，联动 10 组化验样本、100 个连续波段点位，并可展示澄迈福橙与琼中绿橙的对比分析。</w:t>
      </w:r>
    </w:p>
    <w:p w14:paraId="55A7F8EF">
      <w:pPr>
        <w:jc w:val="both"/>
      </w:pPr>
      <w:r>
        <w:rPr>
          <w:rFonts w:ascii="仿宋_GB2312" w:hAnsi="仿宋_GB2312"/>
        </w:rPr>
        <w:t>现阶段剩余工作集中在样本扩充、季节补样、标签精度提升和跨批次稳定性优化，属于在既有框架上的持续打磨，不需要推翻路线重来。样本规模一旦继续扩大，模型泛化能力、报告稳定性和平台体验都能在现有架构内顺势提升。</w:t>
      </w:r>
    </w:p>
    <w:p w14:paraId="2805CA02">
      <w:pPr>
        <w:jc w:val="both"/>
      </w:pPr>
      <w:r>
        <w:rPr>
          <w:rFonts w:ascii="仿宋_GB2312" w:hAnsi="仿宋_GB2312"/>
        </w:rPr>
        <w:t>这意味着项目当前面对的不是“能不能做出来”的问题，而是“把现有成品做得更稳、更广、更能经受试点”的问题。对于竞赛项目和后续落地来说，这种阶段状态更有说服力。</w:t>
      </w:r>
    </w:p>
    <w:p w14:paraId="012378C3">
      <w:pPr>
        <w:pStyle w:val="4"/>
        <w:ind w:firstLine="0"/>
      </w:pPr>
      <w:r>
        <w:rPr>
          <w:rFonts w:ascii="楷体_GB2312" w:hAnsi="楷体_GB2312" w:eastAsia="楷体_GB2312"/>
        </w:rPr>
        <w:t>3.3 经济可行性</w:t>
      </w:r>
    </w:p>
    <w:p w14:paraId="48DC6FA3">
      <w:pPr>
        <w:jc w:val="both"/>
      </w:pPr>
      <w:r>
        <w:rPr>
          <w:rFonts w:ascii="仿宋_GB2312" w:hAnsi="仿宋_GB2312"/>
        </w:rPr>
        <w:t>项目早期投入集中在样本采集、理化标定、模型训练、云服务器和平台维护上，投入项清晰，资金方向也比较集中。现阶段不需要先建设重资产硬件体系，团队可以把有限资源优先投到样本质量、模型表现和产品稳定性上。</w:t>
      </w:r>
    </w:p>
    <w:p w14:paraId="4BB38CCB">
      <w:pPr>
        <w:jc w:val="both"/>
      </w:pPr>
      <w:r>
        <w:rPr>
          <w:rFonts w:ascii="仿宋_GB2312" w:hAnsi="仿宋_GB2312"/>
        </w:rPr>
        <w:t>收入端已经与交付内容形成对应关系：批次文件分析服务对应分选和验货场景，年度账号服务对应长期使用客户，溯源报告和定制模型服务对应区域品牌和重点合作方。商业化推进顺序可以按照分析服务、年度订阅和区域共建依次展开，使现金流和交付能力同步增长。</w:t>
      </w:r>
    </w:p>
    <w:p w14:paraId="422D1F1D">
      <w:pPr>
        <w:jc w:val="both"/>
      </w:pPr>
      <w:r>
        <w:rPr>
          <w:rFonts w:ascii="仿宋_GB2312" w:hAnsi="仿宋_GB2312"/>
        </w:rPr>
        <w:t>成本回收节奏也比较容易判断。项目支出主要集中在样本、模型和系统维护三项，固定成本结构相对稳定，只要年度账号客户和批次服务持续增长，前期投入就具备被逐步摊销和消化的基础。项目越早把单次合作转化为持续服务，财务结构就越稳。</w:t>
      </w:r>
    </w:p>
    <w:p w14:paraId="580F6D6E">
      <w:pPr>
        <w:pStyle w:val="4"/>
        <w:ind w:firstLine="0"/>
      </w:pPr>
      <w:r>
        <w:rPr>
          <w:rFonts w:ascii="楷体_GB2312" w:hAnsi="楷体_GB2312" w:eastAsia="楷体_GB2312"/>
        </w:rPr>
        <w:t>3.4 运营可行性</w:t>
      </w:r>
    </w:p>
    <w:p w14:paraId="62E60341">
      <w:pPr>
        <w:jc w:val="both"/>
      </w:pPr>
      <w:r>
        <w:rPr>
          <w:rFonts w:ascii="仿宋_GB2312" w:hAnsi="仿宋_GB2312"/>
        </w:rPr>
        <w:t>运营推进依托现成成品、校内实验条件和已经跑通的人力分工。团队已把样本组织、模型训练、页面呈现、报告输出和项目表达连成一条线，高校实验室、孵化资源和赛事平台能够继续支撑样本补强、研发推进和阶段展示，项目进入场景试点具备现实条件。</w:t>
      </w:r>
    </w:p>
    <w:p w14:paraId="2D17BCD7">
      <w:pPr>
        <w:jc w:val="both"/>
      </w:pPr>
      <w:r>
        <w:rPr>
          <w:rFonts w:ascii="仿宋_GB2312" w:hAnsi="仿宋_GB2312"/>
        </w:rPr>
        <w:t>项目推进路径可以按成品展示、试点验证、标准沉淀和区域复制四个阶段连续展开。现有平台已经具备演示与试用条件，合作方可以直接体验上传、分析、查询和回溯流程，团队不需要再为试点临时拼接工具，而是可以直接围绕现有产品组织样本、安排交付和形成复盘。</w:t>
      </w:r>
    </w:p>
    <w:p w14:paraId="02B450FC">
      <w:pPr>
        <w:jc w:val="both"/>
      </w:pPr>
      <w:r>
        <w:rPr>
          <w:rFonts w:ascii="仿宋_GB2312" w:hAnsi="仿宋_GB2312"/>
        </w:rPr>
        <w:t>运营资源也具备持续补充条件。高校实验平台可以继续提供样本采集和模型验证支持，团队内部已有页面、后端、算法和项目管理分工，外部又有顾问和试点对象逐步接入，因此项目在组织层面具备持续推进的基础。</w:t>
      </w:r>
    </w:p>
    <w:p w14:paraId="5A9394F5">
      <w:pPr>
        <w:jc w:val="both"/>
      </w:pPr>
      <w:r>
        <w:rPr>
          <w:rFonts w:ascii="仿宋_GB2312" w:hAnsi="仿宋_GB2312"/>
        </w:rPr>
        <w:t>更重要的是，项目完全可以按小范围样板先行的方式推进。先把少量区域对象做透，把文件标准、报告模板和交付节奏稳定下来，再逐步扩大服务面，比一开始追求大范围铺开更符合团队当前阶段，也更有利于把试点真正做成可复制经验。</w:t>
      </w:r>
    </w:p>
    <w:p w14:paraId="6AC66ACC">
      <w:pPr>
        <w:sectPr>
          <w:pgSz w:w="11906" w:h="16838"/>
          <w:pgMar w:top="1417" w:right="1417" w:bottom="1417" w:left="1417" w:header="850" w:footer="992" w:gutter="0"/>
          <w:cols w:space="720" w:num="1"/>
          <w:docGrid w:linePitch="360" w:charSpace="0"/>
        </w:sectPr>
      </w:pPr>
    </w:p>
    <w:p w14:paraId="58FC0540">
      <w:pPr>
        <w:pStyle w:val="3"/>
        <w:ind w:firstLine="0"/>
      </w:pPr>
      <w:r>
        <w:rPr>
          <w:rFonts w:ascii="黑体" w:hAnsi="黑体" w:eastAsia="黑体"/>
        </w:rPr>
        <w:t>第四章 市场优势</w:t>
      </w:r>
    </w:p>
    <w:p w14:paraId="57624CE1">
      <w:pPr>
        <w:pStyle w:val="4"/>
        <w:ind w:firstLine="0"/>
      </w:pPr>
      <w:r>
        <w:rPr>
          <w:rFonts w:ascii="楷体_GB2312" w:hAnsi="楷体_GB2312" w:eastAsia="楷体_GB2312"/>
        </w:rPr>
        <w:t>4.1 检测市场分析</w:t>
      </w:r>
    </w:p>
    <w:p w14:paraId="712C2B67">
      <w:pPr>
        <w:jc w:val="both"/>
      </w:pPr>
      <w:r>
        <w:rPr>
          <w:rFonts w:ascii="仿宋_GB2312" w:hAnsi="仿宋_GB2312"/>
        </w:rPr>
        <w:t>橙类品质检测与产地识别面对的是一个稳定、重复发生的服务市场。农业农村部公开资料显示，我国柑橘种植面积约4493.72万亩、年产量约6003.89万吨，约占全球总产量28%；《2024年4月农产品供需形势分析月报（水果）》显示，2024年3月全国重点监测批发市场柑橘均价为7.03元/公斤，同比下降12.5%。在供给充足、价格承压的环境下，分级稳定性、品质说明能力和产地表达能力会直接影响渠道稳定性和利润空间。</w:t>
      </w:r>
    </w:p>
    <w:p w14:paraId="4689FC30">
      <w:pPr>
        <w:jc w:val="both"/>
      </w:pPr>
      <w:r>
        <w:rPr>
          <w:rFonts w:ascii="仿宋_GB2312" w:hAnsi="仿宋_GB2312"/>
        </w:rPr>
        <w:t>海南特色水果产业为项目提供了明确落点。根据海南省统计局发布的《海南省2024年国民经济和社会发展统计公报》，2024年海南水果总产量达到617.66万吨，同比增长4.2%。澄迈福橙、琼中绿橙等区域品牌果品同时存在等级识别、产地证明和品牌表达需求；礼盒果、电商果、商超定制果和节庆促销果等销售形态的增加，也把检测需求推向快速分析、数据沉淀和报告输出。</w:t>
      </w:r>
    </w:p>
    <w:p w14:paraId="369C9B53">
      <w:pPr>
        <w:jc w:val="both"/>
      </w:pPr>
      <w:r>
        <w:rPr>
          <w:rFonts w:ascii="仿宋_GB2312" w:hAnsi="仿宋_GB2312"/>
        </w:rPr>
        <w:t>这一市场还有很强的重复使用特征。果品每一季、每一批、每一渠道都需要重新确认等级结构和结果材料，样本与报告会随经营周期不断更新，因此分析服务和档案服务天然带有持续复用属性。谁能把结果做成可留档、可回查、可继续复用的资料，谁就更容易沉淀稳定客户。</w:t>
      </w:r>
    </w:p>
    <w:p w14:paraId="30FF897C">
      <w:pPr>
        <w:jc w:val="both"/>
      </w:pPr>
      <w:r>
        <w:rPr>
          <w:rFonts w:ascii="仿宋_GB2312" w:hAnsi="仿宋_GB2312"/>
        </w:rPr>
        <w:t>因此，橙源智鉴面对的并不是一个靠概念拉动的增量市场，而是一个已经存在、只是缺少高效工具的经营市场。项目的价值在于把原本靠人工经验和零散文件支撑的环节，改造成可以长期运行的数据化流程。</w:t>
      </w:r>
    </w:p>
    <w:p w14:paraId="564A14B7">
      <w:pPr>
        <w:pStyle w:val="4"/>
        <w:ind w:firstLine="0"/>
      </w:pPr>
      <w:r>
        <w:rPr>
          <w:rFonts w:ascii="楷体_GB2312" w:hAnsi="楷体_GB2312" w:eastAsia="楷体_GB2312"/>
        </w:rPr>
        <w:t>4.2 行业痛点与需求结构</w:t>
      </w:r>
    </w:p>
    <w:p w14:paraId="730992EF">
      <w:pPr>
        <w:jc w:val="both"/>
      </w:pPr>
      <w:r>
        <w:rPr>
          <w:rFonts w:ascii="仿宋_GB2312" w:hAnsi="仿宋_GB2312"/>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5156CE96">
      <w:pPr>
        <w:jc w:val="both"/>
      </w:pPr>
      <w:r>
        <w:rPr>
          <w:rFonts w:ascii="仿宋_GB2312" w:hAnsi="仿宋_GB2312"/>
        </w:rPr>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0A4042C3">
      <w:pPr>
        <w:jc w:val="both"/>
      </w:pPr>
      <w:r>
        <w:rPr>
          <w:rFonts w:ascii="仿宋_GB2312" w:hAnsi="仿宋_GB2312"/>
        </w:rPr>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5E4DE664">
      <w:pPr>
        <w:pStyle w:val="4"/>
        <w:ind w:firstLine="0"/>
      </w:pPr>
      <w:r>
        <w:rPr>
          <w:rFonts w:ascii="楷体_GB2312" w:hAnsi="楷体_GB2312" w:eastAsia="楷体_GB2312"/>
        </w:rPr>
        <w:t>4.3 用户分析</w:t>
      </w:r>
    </w:p>
    <w:p w14:paraId="6D8C62F7">
      <w:pPr>
        <w:jc w:val="both"/>
      </w:pPr>
      <w:r>
        <w:rPr>
          <w:rFonts w:ascii="仿宋_GB2312" w:hAnsi="仿宋_GB2312"/>
        </w:rPr>
        <w:t>果园、合作社、分选中心和初加工主体是项目最先进入的一组用户。它们每天面对的是采样、分级、复检和出货安排，关注点集中在上传效率、分级准确性和批次记录完整性，因此会更依赖批量分析能力和现场回看能力。</w:t>
      </w:r>
    </w:p>
    <w:p w14:paraId="3DBD995D">
      <w:pPr>
        <w:jc w:val="both"/>
      </w:pPr>
      <w:r>
        <w:rPr>
          <w:rFonts w:ascii="仿宋_GB2312" w:hAnsi="仿宋_GB2312"/>
        </w:rPr>
        <w:t>品牌运营方、电商渠道、商超采购和礼盒定制客户构成第二组核心用户。这类用户除关注结果本身外，更看重结果能否用于议价、展示和对外说明，因此对报告输出、历史档案、移动查询和分享功能依赖更高。项目如果能够把批次结果做成标准化说明材料，这组用户的付费意愿会更强。</w:t>
      </w:r>
    </w:p>
    <w:p w14:paraId="2DB15389">
      <w:pPr>
        <w:jc w:val="both"/>
      </w:pPr>
      <w:r>
        <w:rPr>
          <w:rFonts w:ascii="仿宋_GB2312" w:hAnsi="仿宋_GB2312"/>
        </w:rPr>
        <w:t>地方监管辅助场景、区域品牌服务机构、高校团队和科研院所构成第三组延伸用户。这组用户关注的是标准流程、样本管理、区域档案和后续扩展，项目沉淀下来的样本库与报告体系对它们有较高吸引力。</w:t>
      </w:r>
    </w:p>
    <w:p w14:paraId="06DE84F1">
      <w:pPr>
        <w:jc w:val="both"/>
      </w:pPr>
      <w:r>
        <w:rPr>
          <w:rFonts w:ascii="仿宋_GB2312" w:hAnsi="仿宋_GB2312"/>
        </w:rPr>
        <w:t>几类用户的共同点都很明确：都需要稳定、可查询、可留存的批次结果。区别只在于使用重点不同，生产端偏重分级和复检，品牌端偏重展示和沟通，服务机构偏重档案和标准。项目当前的平台结构正好能够覆盖这三类使用方式。</w:t>
      </w:r>
    </w:p>
    <w:p w14:paraId="219EC0AF">
      <w:pPr>
        <w:pStyle w:val="4"/>
        <w:ind w:firstLine="0"/>
      </w:pPr>
      <w:r>
        <w:rPr>
          <w:rFonts w:ascii="楷体_GB2312" w:hAnsi="楷体_GB2312" w:eastAsia="楷体_GB2312"/>
        </w:rPr>
        <w:t>4.4 竞争分析</w:t>
      </w:r>
    </w:p>
    <w:p w14:paraId="6252B6B7">
      <w:pPr>
        <w:jc w:val="both"/>
      </w:pPr>
      <w:r>
        <w:rPr>
          <w:rFonts w:ascii="仿宋_GB2312" w:hAnsi="仿宋_GB2312"/>
        </w:rPr>
        <w:t>传统检测机构和实验室方案的优势在于精密检测和标准仲裁，但其周期较长、场景较重，难以进入高频现场。橙源智鉴切入的是日常分级、验货和品牌表达中的快速判断环节，与实验室形成的是分工关系，不是同一赛道上的简单替代。</w:t>
      </w:r>
    </w:p>
    <w:p w14:paraId="1A386CB7">
      <w:pPr>
        <w:jc w:val="both"/>
      </w:pPr>
      <w:r>
        <w:rPr>
          <w:rFonts w:ascii="仿宋_GB2312" w:hAnsi="仿宋_GB2312"/>
        </w:rPr>
        <w:t>另一类竞争来自通用机器视觉、分选装备和单点光谱设备。这类方案能够处理外观缺陷、颜色判断和尺寸分选，但对内部品质、产地差异和多指标联合表达的支撑仍然有限。橙源智鉴把高光谱采集、等级识别、产地溯源、指标估计、可解释分析和标准报告纳入同一套系统，在结果深度和结果表达上更完整。</w:t>
      </w:r>
    </w:p>
    <w:p w14:paraId="01AF60FB">
      <w:pPr>
        <w:jc w:val="both"/>
      </w:pPr>
      <w:r>
        <w:rPr>
          <w:rFonts w:ascii="仿宋_GB2312" w:hAnsi="仿宋_GB2312"/>
        </w:rPr>
        <w:t>真正能拉开差距的，是样本、报告和历史档案的持续积累。样本越多、报告越多、案例越多，平台后续给出的结果就越稳定，合作方对系统的依赖也会越强。相比只解决某个检测动作的单点工具，完整的平台和长期档案更容易形成持续使用关系。</w:t>
      </w:r>
    </w:p>
    <w:p w14:paraId="40282F03">
      <w:pPr>
        <w:sectPr>
          <w:pgSz w:w="11906" w:h="16838"/>
          <w:pgMar w:top="1417" w:right="1417" w:bottom="1417" w:left="1417" w:header="850" w:footer="992" w:gutter="0"/>
          <w:cols w:space="720" w:num="1"/>
          <w:docGrid w:linePitch="360" w:charSpace="0"/>
        </w:sectPr>
      </w:pPr>
    </w:p>
    <w:p w14:paraId="60A057EA">
      <w:pPr>
        <w:pStyle w:val="3"/>
        <w:ind w:firstLine="0"/>
      </w:pPr>
      <w:r>
        <w:rPr>
          <w:rFonts w:ascii="黑体" w:hAnsi="黑体" w:eastAsia="黑体"/>
        </w:rPr>
        <w:t>第五章 技术策略</w:t>
      </w:r>
    </w:p>
    <w:p w14:paraId="025983FA">
      <w:pPr>
        <w:pStyle w:val="4"/>
        <w:ind w:firstLine="0"/>
      </w:pPr>
      <w:r>
        <w:rPr>
          <w:rFonts w:ascii="楷体_GB2312" w:hAnsi="楷体_GB2312" w:eastAsia="楷体_GB2312"/>
        </w:rPr>
        <w:t>5.1 总体技术路线</w:t>
      </w:r>
    </w:p>
    <w:p w14:paraId="3F28CABD">
      <w:pPr>
        <w:jc w:val="both"/>
      </w:pPr>
      <w:r>
        <w:rPr>
          <w:rFonts w:ascii="仿宋_GB2312" w:hAnsi="仿宋_GB2312"/>
        </w:rPr>
        <w:t>系统输入侧已明确为高光谱数据文件和标准检测数据文件两类。每个样本需同步关联产地、批次、成熟度、采样时间、糖度（SSC）、酸度（TA）、糖酸比、维生素C等标签，保证上传文件进入系统后能够形成可训练、可查询、可追溯的数据单元。</w:t>
      </w:r>
    </w:p>
    <w:p w14:paraId="1AF681FE">
      <w:pPr>
        <w:jc w:val="both"/>
      </w:pPr>
      <w:r>
        <w:rPr>
          <w:rFonts w:ascii="仿宋_GB2312" w:hAnsi="仿宋_GB2312"/>
        </w:rPr>
        <w:t>结合现有系统字段设计，项目已经具备产地、品质指标和样本曲线的组织能力。后续重点是将现有样例字段扩展为标准化样本库，确保同一批次文件、理化标签和分析结果能够一一对应。</w:t>
      </w:r>
    </w:p>
    <w:p w14:paraId="7DE5A2C5">
      <w:pPr>
        <w:jc w:val="both"/>
      </w:pPr>
      <w:r>
        <w:rPr>
          <w:rFonts w:ascii="仿宋_GB2312" w:hAnsi="仿宋_GB2312"/>
        </w:rPr>
        <w:t>数据处理流程采用文件解析、异常值清洗、特征降维和多任务建模的顺序推进。高光谱数据天然维度较高，需要先完成预处理和波段筛选，再进入分类与回归模型，以保证模型效率和结论稳定性。</w:t>
      </w:r>
    </w:p>
    <w:p w14:paraId="6DA253ED">
      <w:pPr>
        <w:jc w:val="both"/>
      </w:pPr>
      <w:r>
        <w:rPr>
          <w:rFonts w:ascii="仿宋_GB2312" w:hAnsi="仿宋_GB2312"/>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077AAEC0">
      <w:pPr>
        <w:jc w:val="both"/>
      </w:pPr>
      <w:r>
        <w:rPr>
          <w:rFonts w:ascii="仿宋_GB2312" w:hAnsi="仿宋_GB2312"/>
        </w:rPr>
        <w:t>平台集成环节已经完成管理分析界面与移动查询入口的产品承接，可实现批量上传、结果对比、模型解释、历史管理、采样登记、单样本上传、结果查询和快捷分享。同一批次结果能够被现场人员、管理人员和品牌方同时调用。当前页面已能够展示 1.2 秒分析完成、98.5% 产地识别置信度、SSC 预测误差 ±0.3% 等结果卡片，并输出面向业务动作的自然语言报告。</w:t>
      </w:r>
    </w:p>
    <w:p w14:paraId="088EB4C6">
      <w:pPr>
        <w:jc w:val="both"/>
      </w:pPr>
      <w:r>
        <w:rPr>
          <w:rFonts w:ascii="仿宋_GB2312" w:hAnsi="仿宋_GB2312"/>
        </w:rPr>
        <w:t>报告生成模块将等级结论、产地结果、关键指标区间、样本曲线和历史记录整合为标准化输出，使技术结果能够直接进入基地分级、渠道验货、品牌说明和项目汇报等使用场景。</w:t>
      </w:r>
    </w:p>
    <w:p w14:paraId="65B9CC2C">
      <w:pPr>
        <w:pStyle w:val="4"/>
        <w:ind w:firstLine="0"/>
      </w:pPr>
      <w:r>
        <w:rPr>
          <w:rFonts w:ascii="楷体_GB2312" w:hAnsi="楷体_GB2312" w:eastAsia="楷体_GB2312"/>
        </w:rPr>
        <w:t>5.2 实验设计与标准化流程</w:t>
      </w:r>
    </w:p>
    <w:p w14:paraId="23DA8F53">
      <w:pPr>
        <w:jc w:val="both"/>
      </w:pPr>
      <w:r>
        <w:rPr>
          <w:rFonts w:ascii="仿宋_GB2312" w:hAnsi="仿宋_GB2312"/>
        </w:rPr>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12B926BE">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640FF45A">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531E1CC7">
      <w:pPr>
        <w:pStyle w:val="4"/>
        <w:ind w:firstLine="0"/>
      </w:pPr>
      <w:r>
        <w:rPr>
          <w:rFonts w:ascii="楷体_GB2312" w:hAnsi="楷体_GB2312" w:eastAsia="楷体_GB2312"/>
        </w:rPr>
        <w:t>5.3 核心算法与模型策略</w:t>
      </w:r>
    </w:p>
    <w:p w14:paraId="4542D057">
      <w:pPr>
        <w:jc w:val="both"/>
      </w:pPr>
      <w:r>
        <w:rPr>
          <w:rFonts w:ascii="仿宋_GB2312" w:hAnsi="仿宋_GB2312"/>
        </w:rPr>
        <w:t>当前项目已经形成模型对比思路，团队围绕 1D-CNN、SVM、PLS-DA、随机森林等分类路径建立了展示框架。产地识别任务既涉及传统小样本模型的稳定性，也涉及深度模型在复杂特征提取上的能力，因此可先以可解释性较强的基线模型建立参照，再逐步引入 1D-CNN 等模型提升分类能力。当前系统已能够将“产地置信度 98.5%”等结论与页面、报告和样本曲线联动呈现。</w:t>
      </w:r>
    </w:p>
    <w:p w14:paraId="2F3F6F7A">
      <w:pPr>
        <w:jc w:val="both"/>
      </w:pPr>
      <w:r>
        <w:rPr>
          <w:rFonts w:ascii="仿宋_GB2312" w:hAnsi="仿宋_GB2312"/>
        </w:rPr>
        <w:t>在品质预测方面，项目现有系统已经围绕 1D-CNN-Reg、PLSR、SVR、XGBoost 等回归路线构建了展示模块，这与橙类品质预测的任务特征较为契合。糖度、酸度、糖酸比、维生素C等指标既有一定线性关联，也可能包含非线性结构，因此更适合采用“传统回归模型做基线 + 非线性模型做增强”的策略，逐步比较不同指标在不同模型上的适配度。当前页面演示中已可输出 SSC 数值、TA 数值、糖酸比和维生素 C 结果，并展示 SSC 预测误差 ±0.3% 的表现口径，为后续试点指标固化提供基础。</w:t>
      </w:r>
    </w:p>
    <w:p w14:paraId="2FA454F1">
      <w:pPr>
        <w:jc w:val="both"/>
      </w:pPr>
      <w:r>
        <w:rPr>
          <w:rFonts w:ascii="仿宋_GB2312" w:hAnsi="仿宋_GB2312"/>
        </w:rPr>
        <w:t>考虑到品牌果品场景对可信表达的要求较高，项目需要同步输出判断依据。当前系统已经加入特征重要性与可解释 AI 展示模块，后续可围绕关键波段贡献、典型样本对比和异常样本提示继续完善解释层，用于支撑报告模板和试点沟通材料。</w:t>
      </w:r>
    </w:p>
    <w:p w14:paraId="4E5B6F2D">
      <w:pPr>
        <w:pStyle w:val="4"/>
        <w:ind w:firstLine="0"/>
      </w:pPr>
      <w:r>
        <w:rPr>
          <w:rFonts w:ascii="楷体_GB2312" w:hAnsi="楷体_GB2312" w:eastAsia="楷体_GB2312"/>
        </w:rPr>
        <w:t>5.4 光谱机理与特征指纹</w:t>
      </w:r>
    </w:p>
    <w:p w14:paraId="24C4F215">
      <w:pPr>
        <w:jc w:val="both"/>
      </w:pPr>
      <w:r>
        <w:rPr>
          <w:rFonts w:ascii="仿宋_GB2312" w:hAnsi="仿宋_GB2312"/>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3287D636">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2031B381">
      <w:pPr>
        <w:jc w:val="both"/>
      </w:pPr>
      <w:r>
        <w:rPr>
          <w:rFonts w:ascii="仿宋_GB2312" w:hAnsi="仿宋_GB2312"/>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2DC02632">
      <w:pPr>
        <w:sectPr>
          <w:pgSz w:w="11906" w:h="16838"/>
          <w:pgMar w:top="1417" w:right="1417" w:bottom="1417" w:left="1417" w:header="850" w:footer="992" w:gutter="0"/>
          <w:cols w:space="720" w:num="1"/>
          <w:docGrid w:linePitch="360" w:charSpace="0"/>
        </w:sectPr>
      </w:pPr>
    </w:p>
    <w:p w14:paraId="3F8606D5">
      <w:pPr>
        <w:pStyle w:val="3"/>
        <w:ind w:firstLine="0"/>
      </w:pPr>
      <w:r>
        <w:rPr>
          <w:rFonts w:ascii="黑体" w:hAnsi="黑体" w:eastAsia="黑体"/>
        </w:rPr>
        <w:t>第六章 产品策略</w:t>
      </w:r>
    </w:p>
    <w:p w14:paraId="13C0FBD6">
      <w:pPr>
        <w:pStyle w:val="4"/>
        <w:ind w:firstLine="0"/>
      </w:pPr>
      <w:r>
        <w:rPr>
          <w:rFonts w:ascii="楷体_GB2312" w:hAnsi="楷体_GB2312" w:eastAsia="楷体_GB2312"/>
        </w:rPr>
        <w:t>6.1 产品定位与交付形态</w:t>
      </w:r>
    </w:p>
    <w:p w14:paraId="6D8A0E24">
      <w:pPr>
        <w:jc w:val="both"/>
      </w:pPr>
      <w:r>
        <w:rPr>
          <w:rFonts w:ascii="仿宋_GB2312" w:hAnsi="仿宋_GB2312"/>
        </w:rPr>
        <w:t>橙源智鉴已经形成平台系统与标准报告配套交付的成品形态。平台同时覆盖批量分析、数据可视化、模型解释、历史管理、移动上传、采样登记、结果查询和历史回看，围绕“样本录入 - 模型推理 - 结果解释 - 历史沉淀 - 报告输出”形成完整闭环。</w:t>
      </w:r>
    </w:p>
    <w:p w14:paraId="644D6D44">
      <w:pPr>
        <w:jc w:val="both"/>
      </w:pPr>
      <w:r>
        <w:rPr>
          <w:rFonts w:ascii="仿宋_GB2312" w:hAnsi="仿宋_GB2312"/>
        </w:rPr>
        <w:t>项目交付形态由平台系统和报告材料两部分构成。平台负责分析、查询、归档和回看，报告材料负责结果归档、品牌表达和合作沟通，两者共同构成项目面向试点和合作的基本交付体系。</w:t>
      </w:r>
    </w:p>
    <w:p w14:paraId="0965C304">
      <w:pPr>
        <w:jc w:val="both"/>
      </w:pPr>
      <w:r>
        <w:rPr>
          <w:rFonts w:ascii="仿宋_GB2312" w:hAnsi="仿宋_GB2312"/>
        </w:rPr>
        <w:t>在具体交付中，样本先通过小程序或网站进入平台，分析结果同步进入历史档案，再由报告模板转化为对外使用材料。交付对象最终拿到的是可查询、可回看、可导出的整套结果体系，页面、数据和报告之间保持同一口径。</w:t>
      </w:r>
    </w:p>
    <w:p w14:paraId="1FF726DA">
      <w:pPr>
        <w:pStyle w:val="4"/>
        <w:ind w:firstLine="0"/>
      </w:pPr>
      <w:r>
        <w:rPr>
          <w:rFonts w:ascii="楷体_GB2312" w:hAnsi="楷体_GB2312" w:eastAsia="楷体_GB2312"/>
        </w:rPr>
        <w:t>6.2 产品分层与收费思路</w:t>
      </w:r>
    </w:p>
    <w:p w14:paraId="679A4E16">
      <w:pPr>
        <w:jc w:val="both"/>
      </w:pPr>
      <w:r>
        <w:rPr>
          <w:rFonts w:ascii="仿宋_GB2312" w:hAnsi="仿宋_GB2312"/>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分析服务费 + 数据整理费 + 报告输出费”的组合方式收费。</w:t>
      </w:r>
    </w:p>
    <w:p w14:paraId="25B29A7B">
      <w:pPr>
        <w:jc w:val="both"/>
      </w:pPr>
      <w:r>
        <w:rPr>
          <w:rFonts w:ascii="仿宋_GB2312" w:hAnsi="仿宋_GB2312"/>
        </w:rPr>
        <w:t>当样本积累、案例沉淀和平台稳定性继续提高后，项目可进入平台订阅与定制阶段。该阶段可提供企业账号体系、历史样本管理、定制模型、专属报告模板和差异化使用权限，形成年度服务费、专项服务费和定制开发费等收入结构。</w:t>
      </w:r>
    </w:p>
    <w:p w14:paraId="4FDD1728">
      <w:pPr>
        <w:jc w:val="both"/>
      </w:pPr>
      <w:r>
        <w:rPr>
          <w:rFonts w:ascii="仿宋_GB2312" w:hAnsi="仿宋_GB2312"/>
        </w:rPr>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6FCE3564">
      <w:pPr>
        <w:pStyle w:val="4"/>
        <w:ind w:firstLine="0"/>
      </w:pPr>
      <w:r>
        <w:rPr>
          <w:rFonts w:ascii="楷体_GB2312" w:hAnsi="楷体_GB2312" w:eastAsia="楷体_GB2312"/>
        </w:rPr>
        <w:t>6.3 实施与交付策略</w:t>
      </w:r>
    </w:p>
    <w:p w14:paraId="54E331B1">
      <w:pPr>
        <w:jc w:val="both"/>
      </w:pPr>
      <w:r>
        <w:rPr>
          <w:rFonts w:ascii="仿宋_GB2312" w:hAnsi="仿宋_GB2312"/>
        </w:rPr>
        <w:t>实施与交付可按“试点前准备 - 现场部署 - 复盘迭代”的顺序推进。试点前应明确样本范围、交付目标、文件格式、采样流程、理化标签、输出形式和复盘方式，形成写清样本清单、采样时间、数据口径、上传方式、展示方式、交付时间点和责任边界的试点说明书。</w:t>
      </w:r>
    </w:p>
    <w:p w14:paraId="2AF63097">
      <w:pPr>
        <w:jc w:val="both"/>
      </w:pPr>
      <w:r>
        <w:rPr>
          <w:rFonts w:ascii="仿宋_GB2312" w:hAnsi="仿宋_GB2312"/>
        </w:rPr>
        <w:t>进入现场后，团队需要完成数据接入、文件校验、分析演示和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41B2C9CD">
      <w:pPr>
        <w:jc w:val="both"/>
      </w:pPr>
      <w:r>
        <w:rPr>
          <w:rFonts w:ascii="仿宋_GB2312" w:hAnsi="仿宋_GB2312"/>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02F4991D">
      <w:pPr>
        <w:pStyle w:val="4"/>
        <w:ind w:firstLine="0"/>
      </w:pPr>
      <w:r>
        <w:rPr>
          <w:rFonts w:ascii="楷体_GB2312" w:hAnsi="楷体_GB2312" w:eastAsia="楷体_GB2312"/>
        </w:rPr>
        <w:t>6.4 推广与销售模式</w:t>
      </w:r>
    </w:p>
    <w:p w14:paraId="7CA2A6A1">
      <w:pPr>
        <w:jc w:val="both"/>
      </w:pPr>
      <w:r>
        <w:rPr>
          <w:rFonts w:ascii="仿宋_GB2312" w:hAnsi="仿宋_GB2312"/>
        </w:rPr>
        <w:t>推广与销售工作以标杆场景建设为主。澄迈福橙、琼中绿橙等对象兼具区域品牌属性和案例展示价值，适合作为项目早期推广的主要突破口。</w:t>
      </w:r>
    </w:p>
    <w:p w14:paraId="06DF5812">
      <w:pPr>
        <w:jc w:val="both"/>
      </w:pPr>
      <w:r>
        <w:rPr>
          <w:rFonts w:ascii="仿宋_GB2312" w:hAnsi="仿宋_GB2312"/>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41424C08">
      <w:pPr>
        <w:jc w:val="both"/>
      </w:pPr>
      <w:r>
        <w:rPr>
          <w:rFonts w:ascii="仿宋_GB2312" w:hAnsi="仿宋_GB2312"/>
        </w:rPr>
        <w:t>销售转化的重点不在于一次接触多少客户，而在于能否把首批试点对象做成稳定案例。只要样本、报告和复盘材料完整，后续复制到相近场景的难度就会明显下降，推广成本也会随之降低。</w:t>
      </w:r>
    </w:p>
    <w:p w14:paraId="276BB02A">
      <w:pPr>
        <w:sectPr>
          <w:pgSz w:w="11906" w:h="16838"/>
          <w:pgMar w:top="1417" w:right="1417" w:bottom="1417" w:left="1417" w:header="850" w:footer="992" w:gutter="0"/>
          <w:cols w:space="720" w:num="1"/>
          <w:docGrid w:linePitch="360" w:charSpace="0"/>
        </w:sectPr>
      </w:pPr>
    </w:p>
    <w:p w14:paraId="69520C41">
      <w:pPr>
        <w:pStyle w:val="3"/>
        <w:ind w:firstLine="0"/>
      </w:pPr>
      <w:r>
        <w:rPr>
          <w:rFonts w:ascii="黑体" w:hAnsi="黑体" w:eastAsia="黑体"/>
        </w:rPr>
        <w:t>第七章 运营策略</w:t>
      </w:r>
    </w:p>
    <w:p w14:paraId="0BAD0105">
      <w:pPr>
        <w:pStyle w:val="4"/>
        <w:ind w:firstLine="0"/>
      </w:pPr>
      <w:r>
        <w:rPr>
          <w:rFonts w:ascii="楷体_GB2312" w:hAnsi="楷体_GB2312" w:eastAsia="楷体_GB2312"/>
        </w:rPr>
        <w:t>7.1 运营定位与目标</w:t>
      </w:r>
    </w:p>
    <w:p w14:paraId="070CC369">
      <w:pPr>
        <w:jc w:val="both"/>
      </w:pPr>
      <w:r>
        <w:rPr>
          <w:rFonts w:ascii="仿宋_GB2312" w:hAnsi="仿宋_GB2312"/>
        </w:rPr>
        <w:t>项目运营以澄迈福橙、琼中绿橙等代表性对象的样板建设为主。重点产区的样本库、批次分析和结果表达稳定后，再向其他橙类场景扩展，可控制文件标准和样本标准不统一带来的风险。</w:t>
      </w:r>
    </w:p>
    <w:p w14:paraId="0FB1352A">
      <w:pPr>
        <w:jc w:val="both"/>
      </w:pPr>
      <w:r>
        <w:rPr>
          <w:rFonts w:ascii="仿宋_GB2312" w:hAnsi="仿宋_GB2312"/>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1C515192">
      <w:pPr>
        <w:jc w:val="both"/>
      </w:pPr>
      <w:r>
        <w:rPr>
          <w:rFonts w:ascii="仿宋_GB2312" w:hAnsi="仿宋_GB2312"/>
        </w:rPr>
        <w:t>运营目标需要同时压在样本、客户和交付三条主线上。样本侧要求持续提高有效标签率和批次覆盖率，客户侧要求逐步提升上传频次、复购率和报告使用深度，交付侧要求缩短分析响应时间、降低返工率并稳定报告格式。三条主线一起推进，项目才会从试点展示走向稳定服务。</w:t>
      </w:r>
    </w:p>
    <w:p w14:paraId="76B30230">
      <w:pPr>
        <w:jc w:val="both"/>
      </w:pPr>
      <w:r>
        <w:rPr>
          <w:rFonts w:ascii="仿宋_GB2312" w:hAnsi="仿宋_GB2312"/>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4C67D576">
      <w:pPr>
        <w:pStyle w:val="4"/>
        <w:ind w:firstLine="0"/>
      </w:pPr>
      <w:r>
        <w:rPr>
          <w:rFonts w:ascii="楷体_GB2312" w:hAnsi="楷体_GB2312" w:eastAsia="楷体_GB2312"/>
        </w:rPr>
        <w:t>7.2 阶段运营安排</w:t>
      </w:r>
    </w:p>
    <w:p w14:paraId="4674EA9B">
      <w:pPr>
        <w:jc w:val="both"/>
      </w:pPr>
      <w:r>
        <w:rPr>
          <w:rFonts w:ascii="仿宋_GB2312" w:hAnsi="仿宋_GB2312"/>
        </w:rPr>
        <w:t>项目按样本补强、场景验证、区域复制三个阶段推进。第一阶段重点是样本补强与系统完善，完成产区样本补录、文件清洗和平台稳定运行，形成统一的样本编号规则、字段口径和报告模板；第二阶段围绕基地分级、渠道验货和品牌说明三类场景开展批次验证，通过合作社、品牌方和渠道方的实际使用形成样板案例。</w:t>
      </w:r>
    </w:p>
    <w:p w14:paraId="0E5914E1">
      <w:pPr>
        <w:jc w:val="both"/>
      </w:pPr>
      <w:r>
        <w:rPr>
          <w:rFonts w:ascii="仿宋_GB2312" w:hAnsi="仿宋_GB2312"/>
        </w:rPr>
        <w:t>当样板场景稳定后，再进入第三阶段，即标准沉淀与区域复制。此时要把样本规范、文件模板、报告格式、权限设置和回访机制整理为区域服务包，使项目能够支持多产区、多批次和多主体持续使用。</w:t>
      </w:r>
    </w:p>
    <w:p w14:paraId="0A82A3AE">
      <w:pPr>
        <w:jc w:val="both"/>
      </w:pPr>
      <w:r>
        <w:rPr>
          <w:rFonts w:ascii="仿宋_GB2312" w:hAnsi="仿宋_GB2312"/>
        </w:rPr>
        <w:t>阶段推进过程中，各阶段的验收标准应保持明确。第一阶段重点看样本数量、标签完整度和平台稳定性；第二阶段重点看批次分析准确性、报告可用性和客户实际调用情况；第三阶段重点看标准文档完整度、区域复用能力和服务流程可复制性。阶段目标明确后，团队才能避免“做了很多事但难以复盘”的运营问题。</w:t>
      </w:r>
    </w:p>
    <w:p w14:paraId="50CDF691">
      <w:pPr>
        <w:pStyle w:val="4"/>
        <w:ind w:firstLine="0"/>
      </w:pPr>
      <w:r>
        <w:rPr>
          <w:rFonts w:ascii="楷体_GB2312" w:hAnsi="楷体_GB2312" w:eastAsia="楷体_GB2312"/>
        </w:rPr>
        <w:t>7.3 核心运营模块</w:t>
      </w:r>
    </w:p>
    <w:p w14:paraId="087906E6">
      <w:pPr>
        <w:jc w:val="both"/>
      </w:pPr>
      <w:r>
        <w:rPr>
          <w:rFonts w:ascii="仿宋_GB2312" w:hAnsi="仿宋_GB2312"/>
        </w:rPr>
        <w:t>在具体执行上，运营工作拆成样本与数据运营、客户成功与项目运营、平台内容与报告运营、合作与渠道运营四部分。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260A6073">
      <w:pPr>
        <w:jc w:val="both"/>
      </w:pPr>
      <w:r>
        <w:rPr>
          <w:rFonts w:ascii="仿宋_GB2312" w:hAnsi="仿宋_GB2312"/>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7722ECC6">
      <w:pPr>
        <w:jc w:val="both"/>
      </w:pPr>
      <w:r>
        <w:rPr>
          <w:rFonts w:ascii="仿宋_GB2312" w:hAnsi="仿宋_GB2312"/>
        </w:rPr>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11E24F55">
      <w:pPr>
        <w:jc w:val="both"/>
      </w:pPr>
      <w:r>
        <w:rPr>
          <w:rFonts w:ascii="仿宋_GB2312" w:hAnsi="仿宋_GB2312"/>
        </w:rPr>
        <w:t xml:space="preserve">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 </w:t>
      </w:r>
    </w:p>
    <w:p w14:paraId="320A3CD5">
      <w:pPr>
        <w:sectPr>
          <w:pgSz w:w="11906" w:h="16838"/>
          <w:pgMar w:top="1417" w:right="1417" w:bottom="1417" w:left="1417" w:header="850" w:footer="992" w:gutter="0"/>
          <w:cols w:space="720" w:num="1"/>
          <w:docGrid w:linePitch="360" w:charSpace="0"/>
        </w:sectPr>
      </w:pPr>
    </w:p>
    <w:p w14:paraId="3D038A6F">
      <w:pPr>
        <w:numPr>
          <w:ilvl w:val="0"/>
          <w:numId w:val="7"/>
        </w:numPr>
        <w:wordWrap w:val="0"/>
        <w:spacing w:line="279" w:lineRule="auto"/>
        <w:outlineLvl w:val="0"/>
        <w:rPr>
          <w:rFonts w:hint="eastAsia" w:ascii="黑体" w:hAnsi="宋体" w:eastAsia="黑体" w:cs="黑体"/>
          <w:b/>
          <w:bCs/>
          <w:kern w:val="44"/>
          <w:sz w:val="32"/>
          <w:szCs w:val="32"/>
        </w:rPr>
      </w:pPr>
      <w:bookmarkStart w:id="0" w:name="_Toc7893"/>
      <w:bookmarkStart w:id="1" w:name="_Toc21109"/>
      <w:r>
        <w:rPr>
          <w:rFonts w:ascii="黑体" w:hAnsi="宋体" w:eastAsia="黑体" w:cs="黑体"/>
          <w:b/>
          <w:bCs/>
          <w:kern w:val="44"/>
          <w:sz w:val="32"/>
          <w:szCs w:val="32"/>
        </w:rPr>
        <w:t>团队介绍</w:t>
      </w:r>
      <w:bookmarkEnd w:id="0"/>
      <w:bookmarkEnd w:id="1"/>
    </w:p>
    <w:p w14:paraId="4BE28EE1">
      <w:pPr>
        <w:wordWrap w:val="0"/>
        <w:spacing w:line="279" w:lineRule="auto"/>
        <w:ind w:firstLine="560" w:firstLineChars="200"/>
        <w:rPr>
          <w:rFonts w:hint="eastAsia" w:ascii="宋体" w:hAnsi="宋体" w:eastAsia="宋体" w:cs="宋体"/>
          <w:bCs/>
          <w:sz w:val="28"/>
          <w:szCs w:val="28"/>
        </w:rPr>
      </w:pPr>
      <w:bookmarkStart w:id="2" w:name="_Toc13484"/>
      <w:r>
        <w:rPr>
          <w:rFonts w:hint="eastAsia" w:ascii="宋体" w:hAnsi="宋体" w:eastAsia="宋体" w:cs="宋体"/>
          <w:bCs/>
          <w:sz w:val="28"/>
          <w:szCs w:val="28"/>
        </w:rPr>
        <w:t>本项目核心团队由海南师范大学跨学科优秀人才组成，深度聚焦高光谱成像技术、人工智能算法、食品安全检测、市场营销与财务管理等关键领域，兼具技术研发实力、项目落地能力与商业运营思维。团队成员均为所在学科的佼佼者，曾斩获多项国家级、省级科创竞赛奖项，积累了丰富的技术开发、项目管理与市场实践经验。</w:t>
      </w:r>
    </w:p>
    <w:p w14:paraId="4D901D50">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团队依托海南师范大学信息科学技术学院重点实验室、科技园孵化器及产学研合作平台等优质资源，构建起"技术研发—产品落地—商业运营"的完整能力体系。核心成员分工明确、协作高效，形成了从实验室技术到商业化落地的全链条支撑能力。与此同时，团队聘请校内外行业资深专家担任技术顾问与商业顾问，深度绑定学术与产业资源，为项目发展提供专业指导与战略支持，实现"产学研"的有机融合。</w:t>
      </w:r>
    </w:p>
    <w:p w14:paraId="2CC15C28">
      <w:pPr>
        <w:ind w:firstLine="419"/>
        <w:outlineLvl w:val="0"/>
        <w:rPr>
          <w:rFonts w:hint="eastAsia" w:ascii="黑体" w:hAnsi="黑体" w:eastAsia="黑体" w:cs="黑体"/>
          <w:b/>
          <w:sz w:val="28"/>
          <w:szCs w:val="28"/>
        </w:rPr>
      </w:pPr>
      <w:bookmarkStart w:id="3" w:name="_Toc5542"/>
      <w:r>
        <w:rPr>
          <w:rFonts w:ascii="黑体" w:hAnsi="黑体" w:eastAsia="黑体" w:cs="黑体"/>
          <w:b/>
          <w:sz w:val="28"/>
          <w:szCs w:val="28"/>
        </w:rPr>
        <w:t>8.1 团队组织架构</w:t>
      </w:r>
      <w:bookmarkEnd w:id="2"/>
      <w:bookmarkEnd w:id="3"/>
    </w:p>
    <w:p w14:paraId="10F9390F">
      <w:pPr>
        <w:wordWrap w:val="0"/>
        <w:spacing w:line="279" w:lineRule="auto"/>
        <w:ind w:firstLine="420" w:firstLineChars="200"/>
        <w:rPr>
          <w:rFonts w:hint="eastAsia" w:ascii="楷体" w:hAnsi="楷体" w:eastAsia="楷体" w:cs="楷体"/>
          <w:sz w:val="21"/>
          <w:szCs w:val="21"/>
          <w:lang w:bidi="ar"/>
        </w:rPr>
      </w:pPr>
      <w:r>
        <w:rPr>
          <w:rFonts w:ascii="楷体" w:hAnsi="楷体" w:eastAsia="楷体" w:cs="楷体"/>
          <w:sz w:val="21"/>
          <w:szCs w:val="21"/>
          <w:lang w:bidi="ar"/>
        </w:rPr>
        <w:drawing>
          <wp:inline distT="0" distB="0" distL="114300" distR="114300">
            <wp:extent cx="5270500" cy="1619250"/>
            <wp:effectExtent l="0" t="0" r="0" b="0"/>
            <wp:docPr id="156" name="图片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图片 156"/>
                    <pic:cNvPicPr>
                      <a:picLocks noChangeAspect="1"/>
                    </pic:cNvPicPr>
                  </pic:nvPicPr>
                  <pic:blipFill>
                    <a:blip r:embed="rId7"/>
                    <a:stretch>
                      <a:fillRect/>
                    </a:stretch>
                  </pic:blipFill>
                  <pic:spPr>
                    <a:xfrm>
                      <a:off x="0" y="0"/>
                      <a:ext cx="5270500" cy="1619250"/>
                    </a:xfrm>
                    <a:prstGeom prst="rect">
                      <a:avLst/>
                    </a:prstGeom>
                  </pic:spPr>
                </pic:pic>
              </a:graphicData>
            </a:graphic>
          </wp:inline>
        </w:drawing>
      </w:r>
    </w:p>
    <w:p w14:paraId="440EB5B6">
      <w:pPr>
        <w:autoSpaceDE w:val="0"/>
        <w:spacing w:after="0" w:line="300" w:lineRule="auto"/>
        <w:jc w:val="center"/>
        <w:rPr>
          <w:rFonts w:hint="eastAsia" w:ascii="黑体" w:hAnsi="黑体" w:eastAsia="黑体" w:cs="黑体"/>
          <w:b/>
          <w:bCs/>
          <w:sz w:val="20"/>
          <w:szCs w:val="20"/>
          <w:lang w:bidi="ar"/>
        </w:rPr>
      </w:pPr>
      <w:r>
        <w:rPr>
          <w:rFonts w:hint="eastAsia" w:ascii="黑体" w:hAnsi="黑体" w:eastAsia="黑体" w:cs="黑体"/>
          <w:b/>
          <w:bCs/>
          <w:sz w:val="20"/>
          <w:szCs w:val="20"/>
          <w:lang w:bidi="ar"/>
        </w:rPr>
        <w:t>图8-1 组织架构</w:t>
      </w:r>
    </w:p>
    <w:p w14:paraId="035DE8FA">
      <w:pPr>
        <w:ind w:firstLine="419"/>
        <w:outlineLvl w:val="1"/>
        <w:rPr>
          <w:rFonts w:hint="eastAsia" w:ascii="黑体" w:hAnsi="黑体" w:eastAsia="黑体" w:cs="黑体"/>
          <w:b/>
          <w:sz w:val="28"/>
          <w:szCs w:val="28"/>
        </w:rPr>
      </w:pPr>
      <w:bookmarkStart w:id="4" w:name="_Toc588"/>
      <w:r>
        <w:rPr>
          <w:rFonts w:hint="eastAsia" w:ascii="黑体" w:hAnsi="黑体" w:eastAsia="黑体" w:cs="黑体"/>
          <w:b/>
          <w:sz w:val="28"/>
          <w:szCs w:val="28"/>
        </w:rPr>
        <w:t>8.1.1 技术部</w:t>
      </w:r>
      <w:bookmarkEnd w:id="4"/>
    </w:p>
    <w:p w14:paraId="44BF7AD7">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技术部是项目核心研发与技术落地的主体部门，承担从算法研发到系统集成再到技术支持的全链条职责。具体而言，技术部负责高光谱数据处理算法的设计与持续迭代优化，深度学习检测模型的构建、训练与性能调优；负责检测系统软硬件集成方案设计、多终端设备适配及运行稳定性保障；同时为内部运营团队和外部客户提供全流程技术支持、操作培训与定制化解决方案开发，确保技术成果从实验室环境向商业化场景的无缝迁移与高效落地。</w:t>
      </w:r>
    </w:p>
    <w:p w14:paraId="00D8508B">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技术部成员均具备扎实的算法基础与工程实践能力，涵盖Python、C++、Java、Vue等多语言开发能力，熟悉前后端全栈开发、AI模型部署及高光谱数据处理等核心技术栈，是项目技术竞争力的核心支撑。</w:t>
      </w:r>
    </w:p>
    <w:p w14:paraId="05968E16">
      <w:pPr>
        <w:ind w:firstLine="419"/>
        <w:outlineLvl w:val="1"/>
        <w:rPr>
          <w:rFonts w:hint="eastAsia" w:ascii="黑体" w:hAnsi="黑体" w:eastAsia="黑体" w:cs="黑体"/>
          <w:b/>
          <w:sz w:val="28"/>
          <w:szCs w:val="28"/>
        </w:rPr>
      </w:pPr>
      <w:bookmarkStart w:id="5" w:name="_Toc26877"/>
      <w:r>
        <w:rPr>
          <w:rFonts w:hint="eastAsia" w:ascii="黑体" w:hAnsi="黑体" w:eastAsia="黑体" w:cs="黑体"/>
          <w:b/>
          <w:sz w:val="28"/>
          <w:szCs w:val="28"/>
        </w:rPr>
        <w:t>8.1.2 市场营销部</w:t>
      </w:r>
      <w:bookmarkEnd w:id="5"/>
    </w:p>
    <w:p w14:paraId="7BD58E33">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市场营销部负责项目的市场布局、品牌推广与客户生态建设，是连接技术产品与目标市场的关键纽带。核心职责包括：开展饮料检测行业市场调研、竞争格局分析与目标客户画像梳理，为产品定位与商业策略提供数据依据；制定品牌推广方案、渠道拓展路径与产品定价策略，组织落地行业展会、线上营销、客户对接等获客行动；维护客户关系，推进合作洽谈、合同签署与交付后的服务跟进，逐步搭建"硬件设备+软件系统+检测服务"的商业变现链路，实现项目的持续商业价值输出。</w:t>
      </w:r>
    </w:p>
    <w:p w14:paraId="4ABD264F">
      <w:pPr>
        <w:ind w:firstLine="419"/>
        <w:outlineLvl w:val="1"/>
        <w:rPr>
          <w:rFonts w:hint="eastAsia" w:ascii="黑体" w:hAnsi="黑体" w:eastAsia="黑体" w:cs="黑体"/>
          <w:b/>
          <w:sz w:val="28"/>
          <w:szCs w:val="28"/>
        </w:rPr>
      </w:pPr>
      <w:bookmarkStart w:id="6" w:name="_Toc29873"/>
      <w:r>
        <w:rPr>
          <w:rFonts w:hint="eastAsia" w:ascii="黑体" w:hAnsi="黑体" w:eastAsia="黑体" w:cs="黑体"/>
          <w:b/>
          <w:sz w:val="28"/>
          <w:szCs w:val="28"/>
        </w:rPr>
        <w:t>8.1.3 财务部</w:t>
      </w:r>
      <w:bookmarkEnd w:id="6"/>
    </w:p>
    <w:p w14:paraId="55736EF4">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财务部统筹项目全生命周期的财务规划与资金管理，是项目稳健运营的重要保障。核心职责涵盖：编制研发、运营、市场拓展各阶段的预算方案与成本控制计划，确保资金使用的合理性与效益最大化；负责日常资金收付、账务核算、税务筹划与财务报表编制；积极对接创新创业基金、孵化资金、科创赛事奖金等多元融资渠道，做好资金分配规划与使用监控；同时为项目重大商业决策提供财务数据支撑与风险评估，保障项目在资金层面的可持续发展能力。财务部还将借助编程技术实现项目经费的精细化与自动化管理，提升财务工作的效率与准确性。</w:t>
      </w:r>
    </w:p>
    <w:p w14:paraId="487460B4">
      <w:pPr>
        <w:ind w:firstLine="419"/>
        <w:outlineLvl w:val="1"/>
        <w:rPr>
          <w:rFonts w:hint="eastAsia" w:ascii="黑体" w:hAnsi="黑体" w:eastAsia="黑体" w:cs="黑体"/>
          <w:b/>
          <w:sz w:val="28"/>
          <w:szCs w:val="28"/>
        </w:rPr>
      </w:pPr>
      <w:bookmarkStart w:id="7" w:name="_Toc31594"/>
      <w:r>
        <w:rPr>
          <w:rFonts w:hint="eastAsia" w:ascii="黑体" w:hAnsi="黑体" w:eastAsia="黑体" w:cs="黑体"/>
          <w:b/>
          <w:sz w:val="28"/>
          <w:szCs w:val="28"/>
        </w:rPr>
        <w:t>8.1.4 行政部</w:t>
      </w:r>
      <w:bookmarkEnd w:id="7"/>
    </w:p>
    <w:p w14:paraId="33AEBFF8">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行政部作为团队运营的综合保障部门，承担内外部资源协调、流程管控与团队运营管理等职责。核心工作包括：制定并执行团队日常运营管理制度，统筹办公场地、设备物资、资质申报等行政事务；负责团队人员考勤、跨部门协作沟通与项目进度跟踪管理，推进各环节文档编制、归档与质量把控；协调高校实验室、产业园区、行业协会等外部资源，确保团队研发、运营、商务活动的顺利开展；在项目冲刺阶段，行政部还承担各类竞赛申报材料的组织与质量审核工作，保障项目对外展示的规范性与专业性。</w:t>
      </w:r>
    </w:p>
    <w:p w14:paraId="52075A1F">
      <w:pPr>
        <w:ind w:firstLine="419"/>
        <w:outlineLvl w:val="0"/>
        <w:rPr>
          <w:rFonts w:hint="eastAsia" w:ascii="黑体" w:hAnsi="黑体" w:eastAsia="黑体" w:cs="黑体"/>
          <w:b/>
          <w:sz w:val="30"/>
          <w:szCs w:val="30"/>
        </w:rPr>
      </w:pPr>
      <w:bookmarkStart w:id="8" w:name="_Toc30040"/>
      <w:r>
        <w:rPr>
          <w:rFonts w:ascii="黑体" w:hAnsi="黑体" w:eastAsia="黑体" w:cs="黑体"/>
          <w:b/>
          <w:sz w:val="30"/>
          <w:szCs w:val="30"/>
        </w:rPr>
        <w:t>8.2 专家顾问团队</w:t>
      </w:r>
      <w:bookmarkEnd w:id="8"/>
    </w:p>
    <w:p w14:paraId="7F19269B">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团队依托海南师范大学信息科学技术学院与经济与管理学院的优质师资资源，聘请三位在人工智能、计算机科学及经济管理领域深耕多年的资深专家担任项目高级顾问，覆盖技术研发、深度学习、商业落地与战略规划等核心维度，实现"产学研"的深度融合，为项目发展提供坚实的学术支撑与行业指导。</w:t>
      </w:r>
    </w:p>
    <w:tbl>
      <w:tblPr>
        <w:tblStyle w:val="34"/>
        <w:tblW w:w="8522" w:type="dxa"/>
        <w:jc w:val="center"/>
        <w:tblBorders>
          <w:top w:val="none" w:color="auto" w:sz="4" w:space="0"/>
          <w:left w:val="none" w:color="auto" w:sz="4" w:space="0"/>
          <w:bottom w:val="none" w:color="auto" w:sz="4" w:space="0"/>
          <w:right w:val="none" w:color="auto" w:sz="4" w:space="0"/>
          <w:insideH w:val="none" w:color="auto" w:sz="4" w:space="0"/>
          <w:insideV w:val="none" w:color="auto" w:sz="4" w:space="0"/>
        </w:tblBorders>
        <w:tblLayout w:type="autofit"/>
        <w:tblCellMar>
          <w:top w:w="0" w:type="dxa"/>
          <w:left w:w="108" w:type="dxa"/>
          <w:bottom w:w="0" w:type="dxa"/>
          <w:right w:w="108" w:type="dxa"/>
        </w:tblCellMar>
      </w:tblPr>
      <w:tblGrid>
        <w:gridCol w:w="3196"/>
        <w:gridCol w:w="5326"/>
      </w:tblGrid>
      <w:tr w14:paraId="06244B24">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12" w:space="0"/>
              <w:left w:val="single" w:color="auto" w:sz="12" w:space="0"/>
              <w:bottom w:val="nil"/>
              <w:right w:val="nil"/>
            </w:tcBorders>
            <w:tcMar>
              <w:top w:w="-1" w:type="dxa"/>
              <w:left w:w="-1" w:type="dxa"/>
              <w:bottom w:w="-1" w:type="dxa"/>
              <w:right w:w="-1" w:type="dxa"/>
            </w:tcMar>
          </w:tcPr>
          <w:p w14:paraId="02EB163A">
            <w:pPr>
              <w:wordWrap w:val="0"/>
              <w:snapToGrid w:val="0"/>
              <w:spacing w:line="279" w:lineRule="auto"/>
              <w:jc w:val="left"/>
              <w:rPr>
                <w:rFonts w:hint="eastAsia"/>
              </w:rPr>
            </w:pPr>
          </w:p>
          <w:p w14:paraId="0FC063C0">
            <w:pPr>
              <w:wordWrap w:val="0"/>
              <w:snapToGrid w:val="0"/>
              <w:spacing w:line="279" w:lineRule="auto"/>
              <w:jc w:val="left"/>
              <w:rPr>
                <w:rFonts w:hint="eastAsia"/>
              </w:rPr>
            </w:pPr>
          </w:p>
          <w:p w14:paraId="62BF6476">
            <w:pPr>
              <w:wordWrap w:val="0"/>
              <w:snapToGrid w:val="0"/>
              <w:spacing w:line="279" w:lineRule="auto"/>
              <w:jc w:val="left"/>
              <w:rPr>
                <w:rFonts w:hint="eastAsia"/>
              </w:rPr>
            </w:pPr>
          </w:p>
          <w:p w14:paraId="637DFE0C">
            <w:pPr>
              <w:wordWrap w:val="0"/>
              <w:snapToGrid w:val="0"/>
              <w:spacing w:line="279" w:lineRule="auto"/>
              <w:jc w:val="left"/>
              <w:rPr>
                <w:rFonts w:hint="eastAsia"/>
              </w:rPr>
            </w:pPr>
          </w:p>
          <w:p w14:paraId="738803DF">
            <w:pPr>
              <w:wordWrap w:val="0"/>
              <w:snapToGrid w:val="0"/>
              <w:spacing w:line="279" w:lineRule="auto"/>
              <w:jc w:val="left"/>
              <w:rPr>
                <w:rFonts w:ascii="Cambria Math" w:hAnsi="Cambria Math" w:eastAsia="黑体" w:cs="黑体"/>
                <w:kern w:val="44"/>
                <w:sz w:val="32"/>
                <w:szCs w:val="32"/>
                <w:oMath/>
              </w:rPr>
            </w:pPr>
            <w:r>
              <w:rPr>
                <w:rFonts w:hint="eastAsia"/>
              </w:rPr>
              <w:t xml:space="preserve">  </w:t>
            </w:r>
            <w:r>
              <w:drawing>
                <wp:inline distT="0" distB="0" distL="114300" distR="114300">
                  <wp:extent cx="1539240" cy="1972310"/>
                  <wp:effectExtent l="0" t="0" r="10160" b="8890"/>
                  <wp:docPr id="104"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图片 29"/>
                          <pic:cNvPicPr>
                            <a:picLocks noChangeAspect="1"/>
                          </pic:cNvPicPr>
                        </pic:nvPicPr>
                        <pic:blipFill>
                          <a:blip r:embed="rId8"/>
                          <a:srcRect r="314" b="4257"/>
                          <a:stretch>
                            <a:fillRect/>
                          </a:stretch>
                        </pic:blipFill>
                        <pic:spPr>
                          <a:xfrm>
                            <a:off x="0" y="0"/>
                            <a:ext cx="1539240" cy="1972310"/>
                          </a:xfrm>
                          <a:prstGeom prst="rect">
                            <a:avLst/>
                          </a:prstGeom>
                          <a:noFill/>
                          <a:ln>
                            <a:noFill/>
                          </a:ln>
                        </pic:spPr>
                      </pic:pic>
                    </a:graphicData>
                  </a:graphic>
                </wp:inline>
              </w:drawing>
            </w:r>
          </w:p>
        </w:tc>
        <w:tc>
          <w:tcPr>
            <w:tcW w:w="5717" w:type="dxa"/>
            <w:tcBorders>
              <w:top w:val="single" w:color="auto" w:sz="12" w:space="0"/>
              <w:left w:val="single" w:color="auto" w:sz="4" w:space="0"/>
              <w:bottom w:val="nil"/>
              <w:right w:val="single" w:color="auto" w:sz="12" w:space="0"/>
            </w:tcBorders>
            <w:tcMar>
              <w:top w:w="-1" w:type="dxa"/>
              <w:left w:w="-1" w:type="dxa"/>
              <w:bottom w:w="-1" w:type="dxa"/>
              <w:right w:w="-1" w:type="dxa"/>
            </w:tcMar>
          </w:tcPr>
          <w:p w14:paraId="44098955">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 xml:space="preserve">刘波 </w:t>
            </w:r>
            <w:r>
              <w:rPr>
                <w:rFonts w:hint="eastAsia"/>
                <w:color w:val="000000"/>
                <w:sz w:val="16"/>
                <w:szCs w:val="16"/>
              </w:rPr>
              <w:t>副教授</w:t>
            </w:r>
            <w:r>
              <w:rPr>
                <w:color w:val="000000"/>
                <w:sz w:val="16"/>
                <w:szCs w:val="16"/>
              </w:rPr>
              <w:t xml:space="preserve"> / 人工智能系主任</w:t>
            </w:r>
          </w:p>
          <w:p w14:paraId="3CE65D84">
            <w:pPr>
              <w:pStyle w:val="30"/>
              <w:widowControl/>
              <w:snapToGrid w:val="0"/>
              <w:spacing w:before="80" w:beforeAutospacing="0" w:after="80" w:afterAutospacing="0"/>
              <w:jc w:val="both"/>
              <w:rPr>
                <w:rFonts w:hint="eastAsia"/>
                <w:color w:val="000000"/>
              </w:rPr>
            </w:pPr>
            <w:r>
              <w:rPr>
                <w:color w:val="000000"/>
              </w:rPr>
              <w:t>刘波老师现任海南师范大学信息科学技术学院</w:t>
            </w:r>
            <w:r>
              <w:rPr>
                <w:rFonts w:hint="eastAsia"/>
                <w:color w:val="000000"/>
              </w:rPr>
              <w:t>副教授</w:t>
            </w:r>
            <w:r>
              <w:rPr>
                <w:color w:val="000000"/>
              </w:rPr>
              <w:t xml:space="preserve">、人工智能系主任，毕业于电子科技大学，获物理学博士学位。其学术研究深耕复杂网络信息挖掘、高阶网络、复杂性科学与人工智能理论等前沿领域，以第一作者或通讯作者身份在 </w:t>
            </w:r>
            <w:r>
              <w:rPr>
                <w:rStyle w:val="135"/>
                <w:color w:val="000000"/>
              </w:rPr>
              <w:t>Expert Systems with Applications</w:t>
            </w:r>
            <w:r>
              <w:rPr>
                <w:color w:val="000000"/>
              </w:rPr>
              <w:t>、</w:t>
            </w:r>
            <w:r>
              <w:rPr>
                <w:rStyle w:val="135"/>
                <w:color w:val="000000"/>
              </w:rPr>
              <w:t>Chaos</w:t>
            </w:r>
            <w:r>
              <w:rPr>
                <w:color w:val="000000"/>
              </w:rPr>
              <w:t>、《物理学报》等国内外权威SCI期刊发表学术论文7篇，申请国家发明专利8项。主持或参与海南省教育厅高校科研项目、科技部脑科学重大项目等多项省部级及以上课题，现担任中国自动化学会计算社会与社会智能专委会委员，并受聘为多家SCI期刊独立审稿人。</w:t>
            </w:r>
          </w:p>
          <w:p w14:paraId="6C9E7069">
            <w:pPr>
              <w:pStyle w:val="30"/>
              <w:widowControl/>
              <w:snapToGrid w:val="0"/>
              <w:spacing w:before="80" w:beforeAutospacing="0" w:after="80" w:afterAutospacing="0"/>
              <w:jc w:val="both"/>
              <w:rPr>
                <w:rFonts w:hint="eastAsia"/>
                <w:color w:val="000000"/>
              </w:rPr>
            </w:pPr>
            <w:r>
              <w:rPr>
                <w:rStyle w:val="134"/>
                <w:color w:val="000000"/>
              </w:rPr>
              <w:t>顾问职责：</w:t>
            </w:r>
            <w:r>
              <w:rPr>
                <w:color w:val="000000"/>
              </w:rPr>
              <w:t>刘波老师将充分发挥其在复杂数据建模与AI算法领域的深厚积累，为本项目AI算法优化、高光谱数据建模提供全程学术指导，重点协助团队攻克复杂饮料基质抗干扰处理、特征波长精准筛选等核心技术难题。同时，他将协助对接海南师范大学重点实验室资源，为项目技术研发提供实验设备保障与学术支撑，有力推动项目技术成果的持续深化与迭代升级。</w:t>
            </w:r>
          </w:p>
          <w:p w14:paraId="154B55B9">
            <w:pPr>
              <w:wordWrap w:val="0"/>
              <w:snapToGrid w:val="0"/>
              <w:spacing w:line="279" w:lineRule="auto"/>
              <w:jc w:val="left"/>
              <w:rPr>
                <w:rFonts w:ascii="Cambria Math" w:hAnsi="Cambria Math" w:eastAsia="黑体" w:cs="黑体"/>
                <w:kern w:val="44"/>
                <w:sz w:val="32"/>
                <w:szCs w:val="32"/>
                <w:oMath/>
              </w:rPr>
            </w:pPr>
          </w:p>
        </w:tc>
      </w:tr>
      <w:tr w14:paraId="5B5D5246">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396348A5">
            <w:pPr>
              <w:wordWrap w:val="0"/>
              <w:snapToGrid w:val="0"/>
              <w:spacing w:line="279" w:lineRule="auto"/>
              <w:jc w:val="left"/>
              <w:rPr>
                <w:rFonts w:hint="eastAsia" w:ascii="宋体" w:hAnsi="宋体" w:eastAsia="宋体" w:cs="宋体"/>
                <w:sz w:val="24"/>
              </w:rPr>
            </w:pPr>
          </w:p>
          <w:p w14:paraId="30E6ADFF">
            <w:pPr>
              <w:wordWrap w:val="0"/>
              <w:snapToGrid w:val="0"/>
              <w:spacing w:line="279" w:lineRule="auto"/>
              <w:jc w:val="left"/>
              <w:rPr>
                <w:rFonts w:hint="eastAsia" w:ascii="宋体" w:hAnsi="宋体" w:eastAsia="宋体" w:cs="宋体"/>
                <w:sz w:val="24"/>
              </w:rPr>
            </w:pPr>
          </w:p>
          <w:p w14:paraId="1CADD120">
            <w:pPr>
              <w:wordWrap w:val="0"/>
              <w:snapToGrid w:val="0"/>
              <w:spacing w:line="279" w:lineRule="auto"/>
              <w:jc w:val="left"/>
              <w:rPr>
                <w:rFonts w:hint="eastAsia" w:ascii="宋体" w:hAnsi="宋体" w:eastAsia="宋体" w:cs="宋体"/>
                <w:sz w:val="24"/>
              </w:rPr>
            </w:pPr>
          </w:p>
          <w:p w14:paraId="533C8906">
            <w:pPr>
              <w:wordWrap w:val="0"/>
              <w:snapToGrid w:val="0"/>
              <w:spacing w:line="279" w:lineRule="auto"/>
              <w:jc w:val="left"/>
              <w:rPr>
                <w:rFonts w:hint="eastAsia" w:ascii="宋体" w:hAnsi="宋体" w:eastAsia="宋体" w:cs="宋体"/>
                <w:sz w:val="24"/>
              </w:rPr>
            </w:pPr>
          </w:p>
          <w:p w14:paraId="54618132">
            <w:pPr>
              <w:wordWrap w:val="0"/>
              <w:snapToGrid w:val="0"/>
              <w:spacing w:line="279" w:lineRule="auto"/>
              <w:jc w:val="left"/>
              <w:rPr>
                <w:rFonts w:ascii="Cambria Math" w:hAnsi="Cambria Math" w:eastAsia="黑体" w:cs="黑体"/>
                <w:kern w:val="44"/>
                <w:sz w:val="32"/>
                <w:szCs w:val="32"/>
                <w:oMath/>
              </w:rPr>
            </w:pPr>
            <w:r>
              <w:rPr>
                <w:rFonts w:ascii="宋体" w:hAnsi="宋体" w:eastAsia="宋体" w:cs="宋体"/>
                <w:sz w:val="24"/>
              </w:rPr>
              <w:drawing>
                <wp:inline distT="0" distB="0" distL="114300" distR="114300">
                  <wp:extent cx="1580515" cy="2284730"/>
                  <wp:effectExtent l="0" t="0" r="6985" b="1270"/>
                  <wp:docPr id="101" name="图片 2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图片 27" descr="IMG_256"/>
                          <pic:cNvPicPr>
                            <a:picLocks noChangeAspect="1"/>
                          </pic:cNvPicPr>
                        </pic:nvPicPr>
                        <pic:blipFill>
                          <a:blip r:embed="rId9"/>
                          <a:srcRect l="15136" r="15578"/>
                          <a:stretch>
                            <a:fillRect/>
                          </a:stretch>
                        </pic:blipFill>
                        <pic:spPr>
                          <a:xfrm>
                            <a:off x="0" y="0"/>
                            <a:ext cx="1580515" cy="2284730"/>
                          </a:xfrm>
                          <a:prstGeom prst="rect">
                            <a:avLst/>
                          </a:prstGeom>
                          <a:noFill/>
                          <a:ln w="9525">
                            <a:noFill/>
                          </a:ln>
                        </pic:spPr>
                      </pic:pic>
                    </a:graphicData>
                  </a:graphic>
                </wp:inline>
              </w:drawing>
            </w:r>
          </w:p>
        </w:tc>
        <w:tc>
          <w:tcPr>
            <w:tcW w:w="5717"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3BA64916">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龙海侠 教授 / 博士生导师</w:t>
            </w:r>
          </w:p>
          <w:p w14:paraId="754E965F">
            <w:pPr>
              <w:pStyle w:val="30"/>
              <w:widowControl/>
              <w:snapToGrid w:val="0"/>
              <w:spacing w:before="80" w:beforeAutospacing="0" w:after="80" w:afterAutospacing="0"/>
              <w:jc w:val="both"/>
              <w:rPr>
                <w:rFonts w:hint="eastAsia"/>
                <w:color w:val="000000"/>
              </w:rPr>
            </w:pPr>
            <w:r>
              <w:rPr>
                <w:color w:val="000000"/>
              </w:rPr>
              <w:t>龙海侠教授现任海南师范大学计算机科学与技术学科教授、博士生导师，系海南省南海名家、高层次拔尖人才，同时担任国家自然科学基金函评专家。其研究方向聚焦人工智能（机器学习/深度学习）与网络空间安全两大核心领域，主持国家自然科学基金项目2项、海南省自然科学基金项目4项，以第一作者或通讯作者发表高水平学术论文60余篇，出版学术专著3部，获授权专利11项，拥有丰富的人工智能领域科研积累与产业化落地经验，在业界享有较高学术声誉。</w:t>
            </w:r>
          </w:p>
          <w:p w14:paraId="62EBC25B">
            <w:pPr>
              <w:pStyle w:val="30"/>
              <w:widowControl/>
              <w:snapToGrid w:val="0"/>
              <w:spacing w:before="80" w:beforeAutospacing="0" w:after="80" w:afterAutospacing="0"/>
              <w:jc w:val="both"/>
              <w:rPr>
                <w:rFonts w:hint="eastAsia"/>
                <w:color w:val="000000"/>
              </w:rPr>
            </w:pPr>
            <w:r>
              <w:rPr>
                <w:rStyle w:val="134"/>
                <w:color w:val="000000"/>
              </w:rPr>
              <w:t>顾问职责：</w:t>
            </w:r>
            <w:r>
              <w:rPr>
                <w:color w:val="000000"/>
              </w:rPr>
              <w:t>龙海侠教授将凭借其在深度学习模型研发与AI产业化方面的丰富经验，为本项目深度学习检测模型的架构设计、训练策略与技术路线规划提供战略层面的高水平指导。同时，她将积极协助项目对接行业资源与产业合作平台，为项目商业化落地路径、行业标准对接与知识产权布局提供专业建议，全面提升项目的技术竞争力与商业转化潜力。</w:t>
            </w:r>
          </w:p>
          <w:p w14:paraId="098C030A">
            <w:pPr>
              <w:wordWrap w:val="0"/>
              <w:snapToGrid w:val="0"/>
              <w:spacing w:line="279" w:lineRule="auto"/>
              <w:jc w:val="left"/>
              <w:rPr>
                <w:rFonts w:ascii="Cambria Math" w:hAnsi="Cambria Math" w:eastAsia="黑体" w:cs="黑体"/>
                <w:kern w:val="44"/>
                <w:sz w:val="32"/>
                <w:szCs w:val="32"/>
                <w:oMath/>
              </w:rPr>
            </w:pPr>
          </w:p>
        </w:tc>
      </w:tr>
      <w:tr w14:paraId="05A3BD22">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2805" w:type="dxa"/>
            <w:tcBorders>
              <w:top w:val="single" w:color="auto" w:sz="4" w:space="0"/>
              <w:left w:val="single" w:color="auto" w:sz="12" w:space="0"/>
              <w:bottom w:val="single" w:color="auto" w:sz="12" w:space="0"/>
              <w:right w:val="nil"/>
            </w:tcBorders>
            <w:tcMar>
              <w:top w:w="-1" w:type="dxa"/>
              <w:left w:w="-1" w:type="dxa"/>
              <w:bottom w:w="-1" w:type="dxa"/>
              <w:right w:w="-1" w:type="dxa"/>
            </w:tcMar>
          </w:tcPr>
          <w:p w14:paraId="262A37C0">
            <w:pPr>
              <w:wordWrap w:val="0"/>
              <w:snapToGrid w:val="0"/>
              <w:spacing w:line="279" w:lineRule="auto"/>
              <w:jc w:val="left"/>
              <w:rPr>
                <w:rFonts w:hAnsi="Cambria Math" w:eastAsia="黑体" w:cs="黑体"/>
                <w:b/>
                <w:bCs/>
                <w:kern w:val="44"/>
                <w:sz w:val="32"/>
                <w:szCs w:val="32"/>
              </w:rPr>
            </w:pPr>
          </w:p>
          <w:p w14:paraId="3CA97EF1">
            <w:pPr>
              <w:wordWrap w:val="0"/>
              <w:snapToGrid w:val="0"/>
              <w:spacing w:line="279" w:lineRule="auto"/>
              <w:jc w:val="left"/>
              <w:rPr>
                <w:rFonts w:hAnsi="Cambria Math" w:eastAsia="黑体" w:cs="黑体"/>
                <w:b/>
                <w:bCs/>
                <w:kern w:val="44"/>
                <w:sz w:val="32"/>
                <w:szCs w:val="32"/>
              </w:rPr>
            </w:pPr>
          </w:p>
          <w:p w14:paraId="4D77B440">
            <w:pPr>
              <w:wordWrap w:val="0"/>
              <w:snapToGrid w:val="0"/>
              <w:spacing w:line="279" w:lineRule="auto"/>
              <w:jc w:val="left"/>
              <w:rPr>
                <w:rFonts w:hAnsi="Cambria Math" w:eastAsia="黑体" w:cs="黑体"/>
                <w:b/>
                <w:bCs/>
                <w:kern w:val="44"/>
                <w:sz w:val="32"/>
                <w:szCs w:val="32"/>
              </w:rPr>
            </w:pPr>
          </w:p>
          <w:p w14:paraId="43B89DBB">
            <w:pPr>
              <w:wordWrap w:val="0"/>
              <w:snapToGrid w:val="0"/>
              <w:spacing w:line="279" w:lineRule="auto"/>
              <w:jc w:val="left"/>
              <w:rPr>
                <w:rFonts w:hint="eastAsia" w:hAnsi="Cambria Math" w:eastAsia="黑体" w:cs="黑体"/>
                <w:b/>
                <w:bCs/>
                <w:kern w:val="44"/>
                <w:sz w:val="32"/>
                <w:szCs w:val="32"/>
              </w:rPr>
            </w:pPr>
          </w:p>
          <w:p w14:paraId="1C87D5D1">
            <w:pPr>
              <w:wordWrap w:val="0"/>
              <w:snapToGrid w:val="0"/>
              <w:spacing w:line="279" w:lineRule="auto"/>
              <w:jc w:val="left"/>
              <w:rPr>
                <w:rFonts w:hAnsi="Cambria Math" w:eastAsia="黑体" w:cs="黑体"/>
                <w:kern w:val="44"/>
                <w:sz w:val="32"/>
                <w:szCs w:val="32"/>
                <w:oMath/>
              </w:rPr>
            </w:pPr>
            <w:r>
              <w:drawing>
                <wp:inline distT="0" distB="0" distL="114300" distR="114300">
                  <wp:extent cx="1530350" cy="2181225"/>
                  <wp:effectExtent l="0" t="0" r="6350" b="3175"/>
                  <wp:docPr id="103"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图片 28"/>
                          <pic:cNvPicPr>
                            <a:picLocks noChangeAspect="1"/>
                          </pic:cNvPicPr>
                        </pic:nvPicPr>
                        <pic:blipFill>
                          <a:blip r:embed="rId10"/>
                          <a:srcRect b="5051"/>
                          <a:stretch>
                            <a:fillRect/>
                          </a:stretch>
                        </pic:blipFill>
                        <pic:spPr>
                          <a:xfrm>
                            <a:off x="0" y="0"/>
                            <a:ext cx="1530350" cy="2181225"/>
                          </a:xfrm>
                          <a:prstGeom prst="rect">
                            <a:avLst/>
                          </a:prstGeom>
                          <a:noFill/>
                          <a:ln>
                            <a:noFill/>
                          </a:ln>
                        </pic:spPr>
                      </pic:pic>
                    </a:graphicData>
                  </a:graphic>
                </wp:inline>
              </w:drawing>
            </w:r>
          </w:p>
        </w:tc>
        <w:tc>
          <w:tcPr>
            <w:tcW w:w="5717" w:type="dxa"/>
            <w:tcBorders>
              <w:top w:val="single" w:color="auto" w:sz="4" w:space="0"/>
              <w:left w:val="single" w:color="auto" w:sz="4" w:space="0"/>
              <w:bottom w:val="single" w:color="auto" w:sz="12" w:space="0"/>
              <w:right w:val="single" w:color="auto" w:sz="12" w:space="0"/>
            </w:tcBorders>
            <w:tcMar>
              <w:top w:w="-1" w:type="dxa"/>
              <w:left w:w="-1" w:type="dxa"/>
              <w:bottom w:w="-1" w:type="dxa"/>
              <w:right w:w="-1" w:type="dxa"/>
            </w:tcMar>
          </w:tcPr>
          <w:p w14:paraId="22228653">
            <w:pPr>
              <w:pStyle w:val="30"/>
              <w:widowControl/>
              <w:snapToGrid w:val="0"/>
              <w:spacing w:before="80" w:beforeAutospacing="0" w:after="80" w:afterAutospacing="0"/>
              <w:jc w:val="both"/>
              <w:rPr>
                <w:rFonts w:hint="eastAsia"/>
                <w:color w:val="000000"/>
                <w:sz w:val="16"/>
                <w:szCs w:val="16"/>
              </w:rPr>
            </w:pPr>
            <w:r>
              <w:rPr>
                <w:rFonts w:ascii="宋体" w:hAnsi="宋体" w:eastAsia="宋体" w:cs="宋体"/>
                <w:sz w:val="16"/>
                <w:szCs w:val="16"/>
              </w:rPr>
              <w:t>程明雄 副教授</w:t>
            </w:r>
          </w:p>
          <w:p w14:paraId="2187D800">
            <w:pPr>
              <w:pStyle w:val="30"/>
              <w:widowControl/>
              <w:snapToGrid w:val="0"/>
              <w:spacing w:before="80" w:beforeAutospacing="0" w:after="80" w:afterAutospacing="0"/>
              <w:jc w:val="both"/>
              <w:rPr>
                <w:rFonts w:hint="eastAsia"/>
                <w:color w:val="000000"/>
              </w:rPr>
            </w:pPr>
            <w:r>
              <w:rPr>
                <w:color w:val="000000"/>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2020年入选海南省现代物流业专家库，在海南省产业经济与物流领域具有较高的实践影响力。在科研方面，他主持完成海南省宣传部重点研究项目、海南省教育厅研究项目各1项，参与国家自然科学基金项目1项及省部级课题8项，在核心及权威期刊发表论文13篇，出版学术专著1部，并担任清华大学出版社《电子商务理论与实务》教材副主编，近五年指导学生在全国性电子商务大赛中斩获奖项5次，兼具深厚的学术积累与丰富的产教研融合实践经验。</w:t>
            </w:r>
          </w:p>
          <w:p w14:paraId="7376342A">
            <w:pPr>
              <w:pStyle w:val="30"/>
              <w:widowControl/>
              <w:snapToGrid w:val="0"/>
              <w:spacing w:before="80" w:beforeAutospacing="0" w:after="80" w:afterAutospacing="0"/>
              <w:jc w:val="both"/>
              <w:rPr>
                <w:rFonts w:hint="eastAsia"/>
                <w:color w:val="000000"/>
              </w:rPr>
            </w:pPr>
            <w:r>
              <w:rPr>
                <w:rStyle w:val="134"/>
                <w:color w:val="000000"/>
              </w:rPr>
              <w:t>顾问职责：​</w:t>
            </w:r>
            <w:r>
              <w:rPr>
                <w:color w:val="000000"/>
              </w:rPr>
              <w:t xml:space="preserve"> 程明雄副教授将结合其在供应链管理与区域经济领域的专业积累，为本项目商业化落地的市场布局规划、供应链体系搭建与县域及区域市场拓展策略提供专业指导，并协助开展项目财务规划与经济效益分析。依托其对海南本土产业生态与政策环境的深刻理解，助力团队优化商业推广路径与产业落地策略，推动项目实现高效的市场化与产业化进程。</w:t>
            </w:r>
          </w:p>
          <w:p w14:paraId="18BC29FE">
            <w:pPr>
              <w:wordWrap w:val="0"/>
              <w:snapToGrid w:val="0"/>
              <w:spacing w:line="279" w:lineRule="auto"/>
              <w:jc w:val="left"/>
              <w:rPr>
                <w:rFonts w:ascii="Cambria Math" w:hAnsi="Cambria Math" w:eastAsia="黑体" w:cs="黑体"/>
                <w:kern w:val="44"/>
                <w:sz w:val="32"/>
                <w:szCs w:val="32"/>
                <w:oMath/>
              </w:rPr>
            </w:pPr>
          </w:p>
        </w:tc>
      </w:tr>
    </w:tbl>
    <w:p w14:paraId="759B7C3E">
      <w:pPr>
        <w:wordWrap w:val="0"/>
        <w:spacing w:after="120" w:line="360" w:lineRule="auto"/>
        <w:ind w:firstLine="562" w:firstLineChars="200"/>
        <w:jc w:val="both"/>
        <w:outlineLvl w:val="0"/>
        <w:rPr>
          <w:rFonts w:hint="eastAsia" w:ascii="黑体" w:hAnsi="黑体" w:eastAsia="黑体" w:cs="黑体"/>
          <w:b/>
          <w:bCs/>
          <w:sz w:val="28"/>
          <w:szCs w:val="28"/>
        </w:rPr>
      </w:pPr>
      <w:bookmarkStart w:id="9" w:name="_Toc32063"/>
      <w:r>
        <w:rPr>
          <w:rFonts w:hint="eastAsia" w:ascii="黑体" w:hAnsi="黑体" w:eastAsia="黑体" w:cs="黑体"/>
          <w:b/>
          <w:bCs/>
          <w:sz w:val="28"/>
          <w:szCs w:val="28"/>
        </w:rPr>
        <w:t>8.3 核心团队成员介绍</w:t>
      </w:r>
      <w:bookmarkEnd w:id="9"/>
    </w:p>
    <w:p w14:paraId="68FA4DE2">
      <w:pPr>
        <w:wordWrap w:val="0"/>
        <w:spacing w:line="279" w:lineRule="auto"/>
        <w:ind w:firstLine="560" w:firstLineChars="200"/>
        <w:rPr>
          <w:rFonts w:ascii="Cambria Math" w:hAnsi="Cambria Math" w:eastAsia="宋体" w:cs="宋体"/>
          <w:sz w:val="28"/>
          <w:szCs w:val="28"/>
          <w:oMath/>
        </w:rPr>
      </w:pPr>
      <w:r>
        <w:rPr>
          <w:rFonts w:hint="eastAsia" w:ascii="宋体" w:hAnsi="宋体" w:eastAsia="宋体" w:cs="宋体"/>
          <w:bCs/>
          <w:sz w:val="28"/>
          <w:szCs w:val="28"/>
        </w:rPr>
        <w:t>团队核心成员均来自海南师范大学相关专业，以人工智能、软件工程、计算机科学与技术为专业背景，兼具算法研发、工程开发、市场运营、财务管理等多元能力。成员平均拥有2项以上学科竞赛国家级/省级奖项，部分核心成员曾参与企业级AI应用落地、大数据处理等实战项目，具备扎实的理论基础与丰富的实践经验。团队成员优势互补、凝聚力强，深耕高光谱与食品安全检测交叉领域，对行业痛点与技术转化需求有深刻理解，为项目研发与商业化落地提供坚实的人才支撑。</w:t>
      </w:r>
    </w:p>
    <w:tbl>
      <w:tblPr>
        <w:tblStyle w:val="34"/>
        <w:tblW w:w="8522" w:type="dxa"/>
        <w:jc w:val="center"/>
        <w:tblBorders>
          <w:top w:val="none" w:color="auto" w:sz="4" w:space="0"/>
          <w:left w:val="none" w:color="auto" w:sz="4" w:space="0"/>
          <w:bottom w:val="none" w:color="auto" w:sz="4" w:space="0"/>
          <w:right w:val="none" w:color="auto" w:sz="4" w:space="0"/>
          <w:insideH w:val="none" w:color="auto" w:sz="4" w:space="0"/>
          <w:insideV w:val="none" w:color="auto" w:sz="4" w:space="0"/>
        </w:tblBorders>
        <w:tblLayout w:type="autofit"/>
        <w:tblCellMar>
          <w:top w:w="0" w:type="dxa"/>
          <w:left w:w="108" w:type="dxa"/>
          <w:bottom w:w="0" w:type="dxa"/>
          <w:right w:w="108" w:type="dxa"/>
        </w:tblCellMar>
      </w:tblPr>
      <w:tblGrid>
        <w:gridCol w:w="2796"/>
        <w:gridCol w:w="5726"/>
      </w:tblGrid>
      <w:tr w14:paraId="5D13E7CD">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PrEx>
        <w:trPr>
          <w:jc w:val="center"/>
        </w:trPr>
        <w:tc>
          <w:tcPr>
            <w:tcW w:w="0" w:type="auto"/>
            <w:tcBorders>
              <w:top w:val="single" w:color="auto" w:sz="12" w:space="0"/>
              <w:left w:val="single" w:color="auto" w:sz="12" w:space="0"/>
              <w:bottom w:val="nil"/>
              <w:right w:val="nil"/>
            </w:tcBorders>
            <w:tcMar>
              <w:top w:w="-1" w:type="dxa"/>
              <w:left w:w="-1" w:type="dxa"/>
              <w:bottom w:w="-1" w:type="dxa"/>
              <w:right w:w="-1" w:type="dxa"/>
            </w:tcMar>
          </w:tcPr>
          <w:p w14:paraId="658ABE93">
            <w:pPr>
              <w:keepNext/>
              <w:wordWrap w:val="0"/>
              <w:snapToGrid w:val="0"/>
              <w:spacing w:line="279" w:lineRule="auto"/>
              <w:jc w:val="left"/>
              <w:rPr>
                <w:rFonts w:ascii="Cambria Math" w:hAnsi="Cambria Math" w:eastAsia="宋体" w:cs="宋体"/>
                <w:bCs/>
                <w:sz w:val="28"/>
                <w:szCs w:val="28"/>
              </w:rPr>
            </w:pPr>
          </w:p>
          <w:p w14:paraId="16BE07B0">
            <w:pPr>
              <w:keepNext/>
              <w:wordWrap w:val="0"/>
              <w:snapToGrid w:val="0"/>
              <w:spacing w:line="279" w:lineRule="auto"/>
              <w:jc w:val="left"/>
              <w:rPr>
                <w:rFonts w:ascii="Cambria Math" w:hAnsi="Cambria Math" w:eastAsia="宋体" w:cs="宋体"/>
                <w:bCs/>
                <w:sz w:val="28"/>
                <w:szCs w:val="28"/>
              </w:rPr>
            </w:pPr>
          </w:p>
          <w:p w14:paraId="1339AF33">
            <w:pPr>
              <w:keepNext/>
              <w:wordWrap w:val="0"/>
              <w:snapToGrid w:val="0"/>
              <w:spacing w:line="279" w:lineRule="auto"/>
              <w:jc w:val="left"/>
              <w:rPr>
                <w:rFonts w:ascii="Cambria Math" w:hAnsi="Cambria Math" w:eastAsia="宋体" w:cs="宋体"/>
                <w:bCs/>
                <w:sz w:val="28"/>
                <w:szCs w:val="28"/>
              </w:rPr>
            </w:pPr>
          </w:p>
          <w:p w14:paraId="2702FD36">
            <w:pPr>
              <w:keepNext/>
              <w:wordWrap w:val="0"/>
              <w:snapToGrid w:val="0"/>
              <w:spacing w:line="279" w:lineRule="auto"/>
              <w:jc w:val="left"/>
              <w:rPr>
                <w:rFonts w:ascii="Cambria Math" w:hAnsi="Cambria Math" w:eastAsia="宋体" w:cs="宋体"/>
                <w:bCs/>
                <w:sz w:val="28"/>
                <w:szCs w:val="28"/>
              </w:rPr>
            </w:pPr>
          </w:p>
          <w:p w14:paraId="38B8D79C">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296035" cy="1800225"/>
                  <wp:effectExtent l="0" t="0" r="12065" b="3175"/>
                  <wp:docPr id="105" name="图片 105" descr="彭斯逸"/>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图片 105" descr="彭斯逸"/>
                          <pic:cNvPicPr>
                            <a:picLocks noChangeAspect="1"/>
                          </pic:cNvPicPr>
                        </pic:nvPicPr>
                        <pic:blipFill>
                          <a:blip r:embed="rId11"/>
                          <a:stretch>
                            <a:fillRect/>
                          </a:stretch>
                        </pic:blipFill>
                        <pic:spPr>
                          <a:xfrm>
                            <a:off x="0" y="0"/>
                            <a:ext cx="1296035" cy="1800225"/>
                          </a:xfrm>
                          <a:prstGeom prst="rect">
                            <a:avLst/>
                          </a:prstGeom>
                        </pic:spPr>
                      </pic:pic>
                    </a:graphicData>
                  </a:graphic>
                </wp:inline>
              </w:drawing>
            </w:r>
          </w:p>
        </w:tc>
        <w:tc>
          <w:tcPr>
            <w:tcW w:w="6206" w:type="dxa"/>
            <w:tcBorders>
              <w:top w:val="single" w:color="auto" w:sz="12" w:space="0"/>
              <w:left w:val="single" w:color="auto" w:sz="4" w:space="0"/>
              <w:bottom w:val="nil"/>
              <w:right w:val="single" w:color="auto" w:sz="12" w:space="0"/>
            </w:tcBorders>
            <w:tcMar>
              <w:top w:w="-1" w:type="dxa"/>
              <w:left w:w="-1" w:type="dxa"/>
              <w:bottom w:w="-1" w:type="dxa"/>
              <w:right w:w="-1" w:type="dxa"/>
            </w:tcMar>
          </w:tcPr>
          <w:p w14:paraId="26345118">
            <w:pPr>
              <w:pStyle w:val="5"/>
              <w:keepLines w:val="0"/>
              <w:widowControl/>
              <w:snapToGrid w:val="0"/>
              <w:spacing w:before="200" w:line="260" w:lineRule="atLeast"/>
              <w:jc w:val="both"/>
              <w:outlineLvl w:val="9"/>
              <w:rPr>
                <w:rFonts w:hint="eastAsia"/>
                <w:color w:val="000000"/>
                <w:sz w:val="16"/>
                <w:szCs w:val="16"/>
              </w:rPr>
            </w:pPr>
            <w:r>
              <w:rPr>
                <w:color w:val="000000"/>
                <w:sz w:val="16"/>
                <w:szCs w:val="16"/>
              </w:rPr>
              <w:t>彭斯逸 — 董事长 / 项目负责人</w:t>
            </w:r>
          </w:p>
          <w:p w14:paraId="4017BBE4">
            <w:pPr>
              <w:pStyle w:val="30"/>
              <w:keepNext/>
              <w:widowControl/>
              <w:snapToGrid w:val="0"/>
              <w:spacing w:before="80" w:beforeAutospacing="0" w:after="80" w:afterAutospacing="0"/>
              <w:jc w:val="both"/>
              <w:rPr>
                <w:rFonts w:hint="eastAsia"/>
                <w:color w:val="000000"/>
              </w:rPr>
            </w:pPr>
            <w:r>
              <w:rPr>
                <w:color w:val="000000"/>
              </w:rPr>
              <w:t>彭斯逸同学性格开朗、严谨认真，具备卓越的领导力与团队协作精神，积极组织并参与各项班级、学院活动。自入学以来学业表现突出，专业排名前3%，核心课程均分90+，曾获中国国际大学生创新大赛校级金奖、全国大学生三创赛校级一等奖等多项荣誉。</w:t>
            </w:r>
          </w:p>
          <w:p w14:paraId="6990002E">
            <w:pPr>
              <w:pStyle w:val="30"/>
              <w:keepNext/>
              <w:widowControl/>
              <w:snapToGrid w:val="0"/>
              <w:spacing w:before="80" w:beforeAutospacing="0" w:after="80" w:afterAutospacing="0"/>
              <w:jc w:val="both"/>
              <w:rPr>
                <w:rFonts w:hint="eastAsia"/>
                <w:color w:val="000000"/>
              </w:rPr>
            </w:pPr>
            <w:r>
              <w:rPr>
                <w:color w:val="000000"/>
              </w:rPr>
              <w:t>在技术方向上，他深耕AI应用开发与后端工程，</w:t>
            </w:r>
            <w:r>
              <w:rPr>
                <w:rFonts w:hint="eastAsia"/>
                <w:color w:val="000000"/>
              </w:rPr>
              <w:t>熟悉</w:t>
            </w:r>
            <w:r>
              <w:rPr>
                <w:color w:val="000000"/>
              </w:rPr>
              <w:t>Python异步编程及FastAPI框架，在检索增强生成（RAG）领域积累深厚，曾受邀担任Datawhale"RAG技术全栈指南"课程专业助教。他曾于知名软件公司核心研发部实习，主导垂直领域大模型应用落地及数据清洗管线设计，积累了宝贵的工程实战经验。</w:t>
            </w:r>
          </w:p>
          <w:p w14:paraId="5463C332">
            <w:pPr>
              <w:pStyle w:val="30"/>
              <w:keepNext/>
              <w:widowControl/>
              <w:snapToGrid w:val="0"/>
              <w:spacing w:before="80" w:beforeAutospacing="0" w:after="80" w:afterAutospacing="0"/>
              <w:jc w:val="both"/>
              <w:rPr>
                <w:rFonts w:hint="eastAsia"/>
                <w:color w:val="000000"/>
              </w:rPr>
            </w:pPr>
            <w:r>
              <w:rPr>
                <w:color w:val="000000"/>
              </w:rPr>
              <w:t>在本项目中，他结合AI基础设施预研与多源数据处理的实战经验，全面负责项目战略规划与团队统筹管理，同时主导基于高光谱技术的底层算法构建与智能检测逻辑开发，致力于攻克非结构化光谱数据解析难题，实现饮料色素的精准识别与自动化分析。他秉持"以技术驱动创新"的理念，立志在软件工程与人工智能交叉领域持续深耕探索。</w:t>
            </w:r>
          </w:p>
          <w:p w14:paraId="124430E1">
            <w:pPr>
              <w:keepNext/>
              <w:wordWrap w:val="0"/>
              <w:snapToGrid w:val="0"/>
              <w:spacing w:line="279" w:lineRule="auto"/>
              <w:jc w:val="left"/>
              <w:rPr>
                <w:rFonts w:ascii="Cambria Math" w:hAnsi="Cambria Math" w:eastAsia="宋体" w:cs="宋体"/>
                <w:sz w:val="28"/>
                <w:szCs w:val="28"/>
                <w:oMath/>
              </w:rPr>
            </w:pPr>
          </w:p>
        </w:tc>
      </w:tr>
      <w:tr w14:paraId="06D43667">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5FB088ED">
            <w:pPr>
              <w:keepNext/>
              <w:wordWrap w:val="0"/>
              <w:snapToGrid w:val="0"/>
              <w:spacing w:line="279" w:lineRule="auto"/>
              <w:jc w:val="left"/>
              <w:rPr>
                <w:rFonts w:ascii="Cambria Math" w:hAnsi="Cambria Math" w:eastAsia="宋体" w:cs="宋体"/>
                <w:bCs/>
                <w:sz w:val="28"/>
                <w:szCs w:val="28"/>
              </w:rPr>
            </w:pPr>
          </w:p>
          <w:p w14:paraId="1281C3B1">
            <w:pPr>
              <w:keepNext/>
              <w:wordWrap w:val="0"/>
              <w:snapToGrid w:val="0"/>
              <w:spacing w:line="279" w:lineRule="auto"/>
              <w:jc w:val="left"/>
              <w:rPr>
                <w:rFonts w:ascii="Cambria Math" w:hAnsi="Cambria Math" w:eastAsia="宋体" w:cs="宋体"/>
                <w:bCs/>
                <w:sz w:val="28"/>
                <w:szCs w:val="28"/>
              </w:rPr>
            </w:pPr>
          </w:p>
          <w:p w14:paraId="173D1DBE">
            <w:pPr>
              <w:keepNext/>
              <w:wordWrap w:val="0"/>
              <w:snapToGrid w:val="0"/>
              <w:spacing w:line="279" w:lineRule="auto"/>
              <w:jc w:val="left"/>
              <w:rPr>
                <w:rFonts w:ascii="Cambria Math" w:hAnsi="Cambria Math" w:eastAsia="宋体" w:cs="宋体"/>
                <w:bCs/>
                <w:sz w:val="28"/>
                <w:szCs w:val="28"/>
              </w:rPr>
            </w:pPr>
          </w:p>
          <w:p w14:paraId="1EAABD98">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304290" cy="1826260"/>
                  <wp:effectExtent l="0" t="0" r="3810" b="2540"/>
                  <wp:docPr id="106" name="图片 106" descr="唐天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图片 106" descr="唐天赐"/>
                          <pic:cNvPicPr>
                            <a:picLocks noChangeAspect="1"/>
                          </pic:cNvPicPr>
                        </pic:nvPicPr>
                        <pic:blipFill>
                          <a:blip r:embed="rId12"/>
                          <a:stretch>
                            <a:fillRect/>
                          </a:stretch>
                        </pic:blipFill>
                        <pic:spPr>
                          <a:xfrm>
                            <a:off x="0" y="0"/>
                            <a:ext cx="1304290" cy="1826260"/>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17383335">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唐天赐 — 技术部</w:t>
            </w:r>
          </w:p>
          <w:p w14:paraId="62113A90">
            <w:pPr>
              <w:pStyle w:val="30"/>
              <w:widowControl/>
              <w:snapToGrid w:val="0"/>
              <w:spacing w:before="80" w:beforeAutospacing="0" w:after="80" w:afterAutospacing="0"/>
              <w:jc w:val="both"/>
              <w:rPr>
                <w:rFonts w:hint="eastAsia"/>
                <w:color w:val="000000"/>
              </w:rPr>
            </w:pPr>
            <w:r>
              <w:rPr>
                <w:color w:val="000000"/>
              </w:rPr>
              <w:t>唐天赐同学积极参与各项班级学院活动与志愿服务，性格开朗、严谨认真，具有极强的团队精神与奉献精神。自入学以来成绩优异，曾获专项奖学金、国家励志奖学金及英语四级证书，并荣获2025年计算机设计大赛国家级二等奖、大创项目国家级立项等重要荣誉，充分体现了其扎实的专业基础与较强的科研实践能力。</w:t>
            </w:r>
          </w:p>
          <w:p w14:paraId="4A009D00">
            <w:pPr>
              <w:pStyle w:val="30"/>
              <w:widowControl/>
              <w:snapToGrid w:val="0"/>
              <w:spacing w:before="80" w:beforeAutospacing="0" w:after="80" w:afterAutospacing="0"/>
              <w:jc w:val="both"/>
              <w:rPr>
                <w:rFonts w:hint="eastAsia"/>
                <w:color w:val="000000"/>
              </w:rPr>
            </w:pPr>
            <w:r>
              <w:rPr>
                <w:color w:val="000000"/>
              </w:rPr>
              <w:t>他精通Python、C++、Java等多门编程语言，具备良好的算法思维与工程实现能力，擅长将理论知识融入实际专业场景。在本项目中，他发挥算法实现与后端开发方面的核心优势，主要负责高光谱数据的特征提取与物理模型转化工作，通过高效严谨的逻辑编写，确保检测系统在处理复杂饮料成分时的稳定性与识别准确性，为项目技术核心提供坚实支撑。</w:t>
            </w:r>
          </w:p>
          <w:p w14:paraId="1493D80D">
            <w:pPr>
              <w:keepNext/>
              <w:wordWrap w:val="0"/>
              <w:snapToGrid w:val="0"/>
              <w:spacing w:line="279" w:lineRule="auto"/>
              <w:jc w:val="left"/>
              <w:rPr>
                <w:rFonts w:ascii="Cambria Math" w:hAnsi="Cambria Math" w:eastAsia="宋体" w:cs="宋体"/>
                <w:sz w:val="28"/>
                <w:szCs w:val="28"/>
                <w:oMath/>
              </w:rPr>
            </w:pPr>
          </w:p>
        </w:tc>
      </w:tr>
      <w:tr w14:paraId="5B3BE2F4">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1637D26E">
            <w:pPr>
              <w:keepNext/>
              <w:wordWrap w:val="0"/>
              <w:snapToGrid w:val="0"/>
              <w:spacing w:line="279" w:lineRule="auto"/>
              <w:jc w:val="left"/>
              <w:rPr>
                <w:rFonts w:ascii="Cambria Math" w:hAnsi="Cambria Math" w:eastAsia="宋体" w:cs="宋体"/>
                <w:bCs/>
                <w:sz w:val="28"/>
                <w:szCs w:val="28"/>
              </w:rPr>
            </w:pPr>
          </w:p>
          <w:p w14:paraId="76908499">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304290" cy="2097405"/>
                  <wp:effectExtent l="0" t="0" r="3810" b="10795"/>
                  <wp:docPr id="107" name="图片 107" descr="艾舜杰"/>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 name="图片 107" descr="艾舜杰"/>
                          <pic:cNvPicPr>
                            <a:picLocks noChangeAspect="1"/>
                          </pic:cNvPicPr>
                        </pic:nvPicPr>
                        <pic:blipFill>
                          <a:blip r:embed="rId13"/>
                          <a:stretch>
                            <a:fillRect/>
                          </a:stretch>
                        </pic:blipFill>
                        <pic:spPr>
                          <a:xfrm>
                            <a:off x="0" y="0"/>
                            <a:ext cx="1304290" cy="2097405"/>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213BDC18">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艾舜杰 — 技术部</w:t>
            </w:r>
          </w:p>
          <w:p w14:paraId="10773799">
            <w:pPr>
              <w:pStyle w:val="30"/>
              <w:widowControl/>
              <w:snapToGrid w:val="0"/>
              <w:spacing w:before="80" w:beforeAutospacing="0" w:after="80" w:afterAutospacing="0"/>
              <w:jc w:val="both"/>
              <w:rPr>
                <w:rFonts w:hint="eastAsia"/>
                <w:color w:val="000000"/>
              </w:rPr>
            </w:pPr>
            <w:r>
              <w:rPr>
                <w:color w:val="000000"/>
              </w:rPr>
              <w:t>艾舜杰同学学习主观能动性强，沟通能力良好，性格开朗，富有团队合作精神。他掌握Java、C++、Python、Vue等多门编程语言，具备独立开发Java单体项目的完整能力，在前后端协同开发方面积累了一定的工程经验。</w:t>
            </w:r>
          </w:p>
          <w:p w14:paraId="489CA8DF">
            <w:pPr>
              <w:pStyle w:val="30"/>
              <w:widowControl/>
              <w:snapToGrid w:val="0"/>
              <w:spacing w:before="80" w:beforeAutospacing="0" w:after="80" w:afterAutospacing="0"/>
              <w:jc w:val="both"/>
              <w:rPr>
                <w:rFonts w:hint="eastAsia"/>
                <w:color w:val="000000"/>
              </w:rPr>
            </w:pPr>
            <w:r>
              <w:rPr>
                <w:color w:val="000000"/>
              </w:rPr>
              <w:t>在本项目中，他主要负责系统各功能模块的集成开发与前端功能实现，利用其全栈开发基础确保高光谱采集终端与后端分析系统的高效对接，重点保障系统在实际检测场景中的流畅运行与功能完整闭环。他希望通过持续的项目实践不断积累软件开发经验，向更高阶的工程能力迈进。</w:t>
            </w:r>
          </w:p>
          <w:p w14:paraId="3D074702">
            <w:pPr>
              <w:keepNext/>
              <w:wordWrap w:val="0"/>
              <w:snapToGrid w:val="0"/>
              <w:spacing w:line="279" w:lineRule="auto"/>
              <w:jc w:val="left"/>
              <w:rPr>
                <w:rFonts w:ascii="Cambria Math" w:hAnsi="Cambria Math" w:eastAsia="宋体" w:cs="宋体"/>
                <w:sz w:val="28"/>
                <w:szCs w:val="28"/>
                <w:oMath/>
              </w:rPr>
            </w:pPr>
          </w:p>
        </w:tc>
      </w:tr>
      <w:tr w14:paraId="585F9FC5">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237E9291">
            <w:pPr>
              <w:keepNext/>
              <w:wordWrap w:val="0"/>
              <w:snapToGrid w:val="0"/>
              <w:spacing w:line="279" w:lineRule="auto"/>
              <w:jc w:val="left"/>
              <w:rPr>
                <w:rFonts w:ascii="Cambria Math" w:hAnsi="Cambria Math" w:eastAsia="宋体" w:cs="宋体"/>
                <w:bCs/>
                <w:sz w:val="28"/>
                <w:szCs w:val="28"/>
              </w:rPr>
            </w:pPr>
          </w:p>
          <w:p w14:paraId="49C99C0B">
            <w:pPr>
              <w:keepNext/>
              <w:wordWrap w:val="0"/>
              <w:snapToGrid w:val="0"/>
              <w:spacing w:line="279" w:lineRule="auto"/>
              <w:jc w:val="left"/>
              <w:rPr>
                <w:rFonts w:ascii="Cambria Math" w:hAnsi="Cambria Math" w:eastAsia="宋体" w:cs="宋体"/>
                <w:bCs/>
                <w:sz w:val="28"/>
                <w:szCs w:val="28"/>
              </w:rPr>
            </w:pPr>
          </w:p>
          <w:p w14:paraId="567423E4">
            <w:pPr>
              <w:keepNext/>
              <w:wordWrap w:val="0"/>
              <w:snapToGrid w:val="0"/>
              <w:spacing w:line="279" w:lineRule="auto"/>
              <w:jc w:val="left"/>
              <w:rPr>
                <w:rFonts w:ascii="Cambria Math" w:hAnsi="Cambria Math" w:eastAsia="宋体" w:cs="宋体"/>
                <w:bCs/>
                <w:sz w:val="28"/>
                <w:szCs w:val="28"/>
              </w:rPr>
            </w:pPr>
          </w:p>
          <w:p w14:paraId="4091D01F">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299845" cy="1733550"/>
                  <wp:effectExtent l="0" t="0" r="8255" b="6350"/>
                  <wp:docPr id="108" name="图片 108" descr="李明蔚"/>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图片 108" descr="李明蔚"/>
                          <pic:cNvPicPr>
                            <a:picLocks noChangeAspect="1"/>
                          </pic:cNvPicPr>
                        </pic:nvPicPr>
                        <pic:blipFill>
                          <a:blip r:embed="rId14"/>
                          <a:stretch>
                            <a:fillRect/>
                          </a:stretch>
                        </pic:blipFill>
                        <pic:spPr>
                          <a:xfrm>
                            <a:off x="0" y="0"/>
                            <a:ext cx="1299845" cy="1733550"/>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34EA1D7D">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李明蔚 — 技术部</w:t>
            </w:r>
          </w:p>
          <w:p w14:paraId="147A114A">
            <w:pPr>
              <w:pStyle w:val="30"/>
              <w:widowControl/>
              <w:snapToGrid w:val="0"/>
              <w:spacing w:before="80" w:beforeAutospacing="0" w:after="80" w:afterAutospacing="0"/>
              <w:jc w:val="both"/>
              <w:rPr>
                <w:rFonts w:hint="eastAsia"/>
                <w:color w:val="000000"/>
              </w:rPr>
            </w:pPr>
            <w:r>
              <w:rPr>
                <w:color w:val="000000"/>
              </w:rPr>
              <w:t>李明蔚同学积极参与各项班级及学院组织的活动，曾任职于学生会并多次担任项目组长，具备丰富的项目实践与团队管理经验。在竞赛方面，曾获计算机设计大赛校级金奖、三创赛校级一等奖、数字媒体省级三等奖等多项荣誉，展现出较强的综合能力与创新意识。</w:t>
            </w:r>
          </w:p>
          <w:p w14:paraId="29F6054C">
            <w:pPr>
              <w:pStyle w:val="30"/>
              <w:widowControl/>
              <w:snapToGrid w:val="0"/>
              <w:spacing w:before="80" w:beforeAutospacing="0" w:after="80" w:afterAutospacing="0"/>
              <w:jc w:val="both"/>
              <w:rPr>
                <w:rFonts w:hint="eastAsia"/>
                <w:color w:val="000000"/>
              </w:rPr>
            </w:pPr>
            <w:r>
              <w:rPr>
                <w:color w:val="000000"/>
              </w:rPr>
              <w:t>在技术方向上，他掌握Java、Python等编程语言，熟悉前后端全栈开发，并具备UE虚拟交互与AR增强现实技术的开发能力，技术栈覆盖面广。在本项目中，他利用出色的执行力与跨平台开发经验，主导检测平台的全栈架构设计与数据可视化交互界面开发，致力于通过虚拟交互技术优化高光谱检测结果的呈现方式，提升用户的操作体验与系统易用性，立志在前沿技术领域持续深耕。</w:t>
            </w:r>
          </w:p>
          <w:p w14:paraId="5E35FE0A">
            <w:pPr>
              <w:keepNext/>
              <w:wordWrap w:val="0"/>
              <w:snapToGrid w:val="0"/>
              <w:spacing w:line="279" w:lineRule="auto"/>
              <w:jc w:val="left"/>
              <w:rPr>
                <w:rFonts w:ascii="Cambria Math" w:hAnsi="Cambria Math" w:eastAsia="宋体" w:cs="宋体"/>
                <w:sz w:val="28"/>
                <w:szCs w:val="28"/>
                <w:oMath/>
              </w:rPr>
            </w:pPr>
          </w:p>
        </w:tc>
      </w:tr>
      <w:tr w14:paraId="5403B6EA">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6781361C">
            <w:pPr>
              <w:keepNext/>
              <w:wordWrap w:val="0"/>
              <w:snapToGrid w:val="0"/>
              <w:spacing w:line="279" w:lineRule="auto"/>
              <w:jc w:val="left"/>
              <w:rPr>
                <w:rFonts w:ascii="Cambria Math" w:hAnsi="Cambria Math" w:eastAsia="宋体" w:cs="宋体"/>
                <w:bCs/>
                <w:sz w:val="28"/>
                <w:szCs w:val="28"/>
              </w:rPr>
            </w:pPr>
          </w:p>
          <w:p w14:paraId="6305BF70">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325245" cy="1645285"/>
                  <wp:effectExtent l="0" t="0" r="8255" b="5715"/>
                  <wp:docPr id="109" name="图片 109" descr="游亚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图片 109" descr="游亚楠"/>
                          <pic:cNvPicPr>
                            <a:picLocks noChangeAspect="1"/>
                          </pic:cNvPicPr>
                        </pic:nvPicPr>
                        <pic:blipFill>
                          <a:blip r:embed="rId15"/>
                          <a:srcRect l="16797" r="16260" b="16943"/>
                          <a:stretch>
                            <a:fillRect/>
                          </a:stretch>
                        </pic:blipFill>
                        <pic:spPr>
                          <a:xfrm>
                            <a:off x="0" y="0"/>
                            <a:ext cx="1325245" cy="1645285"/>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6E8E21C6">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游亚楠 — 市场营销部</w:t>
            </w:r>
          </w:p>
          <w:p w14:paraId="5DB28CF5">
            <w:pPr>
              <w:pStyle w:val="30"/>
              <w:widowControl/>
              <w:snapToGrid w:val="0"/>
              <w:spacing w:before="80" w:beforeAutospacing="0" w:after="80" w:afterAutospacing="0"/>
              <w:jc w:val="both"/>
              <w:rPr>
                <w:rFonts w:hint="eastAsia"/>
                <w:color w:val="000000"/>
              </w:rPr>
            </w:pPr>
            <w:r>
              <w:rPr>
                <w:color w:val="000000"/>
              </w:rPr>
              <w:t>游亚楠同学积极参加各类校园活动，曾获三等专业奖学金，并任职于校学生会新闻宣传部骨干，具备扎实的宣传策划能力与敏锐的市场洞察意识。她性格开朗，执行力与学习能力较强，乐于在团队中贡献力量。</w:t>
            </w:r>
          </w:p>
          <w:p w14:paraId="25D67FBA">
            <w:pPr>
              <w:pStyle w:val="30"/>
              <w:widowControl/>
              <w:snapToGrid w:val="0"/>
              <w:spacing w:before="80" w:beforeAutospacing="0" w:after="80" w:afterAutospacing="0"/>
              <w:jc w:val="both"/>
              <w:rPr>
                <w:rFonts w:hint="eastAsia"/>
                <w:color w:val="000000"/>
              </w:rPr>
            </w:pPr>
            <w:r>
              <w:rPr>
                <w:color w:val="000000"/>
              </w:rPr>
              <w:t>在本项目中，她负责市场调研与商业推广策略的制定，结合高光谱检测技术的应用前景，深入开展针对饮料生产企业及食品监管部门的需求分析，精准识别目标客户的核心痛点与采购决策逻辑。她致力于通过系统化的品牌传播与渠道拓展行动，提升项目的市场影响力与商业转化潜力，在实践中持续提升自身的综合业务水平。</w:t>
            </w:r>
          </w:p>
          <w:p w14:paraId="30EECB8D">
            <w:pPr>
              <w:keepNext/>
              <w:wordWrap w:val="0"/>
              <w:snapToGrid w:val="0"/>
              <w:spacing w:line="279" w:lineRule="auto"/>
              <w:jc w:val="left"/>
              <w:rPr>
                <w:rFonts w:ascii="Cambria Math" w:hAnsi="Cambria Math" w:eastAsia="宋体" w:cs="宋体"/>
                <w:sz w:val="28"/>
                <w:szCs w:val="28"/>
                <w:oMath/>
              </w:rPr>
            </w:pPr>
          </w:p>
        </w:tc>
      </w:tr>
      <w:tr w14:paraId="1A604BB6">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2D8D0EEB">
            <w:pPr>
              <w:keepNext/>
              <w:wordWrap w:val="0"/>
              <w:snapToGrid w:val="0"/>
              <w:spacing w:line="279" w:lineRule="auto"/>
              <w:jc w:val="left"/>
              <w:rPr>
                <w:rFonts w:ascii="Cambria Math" w:hAnsi="Cambria Math" w:eastAsia="宋体" w:cs="宋体"/>
                <w:bCs/>
                <w:sz w:val="28"/>
                <w:szCs w:val="28"/>
              </w:rPr>
            </w:pPr>
          </w:p>
          <w:p w14:paraId="17821408">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332230" cy="1776730"/>
                  <wp:effectExtent l="0" t="0" r="1270" b="1270"/>
                  <wp:docPr id="110" name="图片 110" descr="王喆睿"/>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图片 110" descr="王喆睿"/>
                          <pic:cNvPicPr>
                            <a:picLocks noChangeAspect="1"/>
                          </pic:cNvPicPr>
                        </pic:nvPicPr>
                        <pic:blipFill>
                          <a:blip r:embed="rId16"/>
                          <a:stretch>
                            <a:fillRect/>
                          </a:stretch>
                        </pic:blipFill>
                        <pic:spPr>
                          <a:xfrm>
                            <a:off x="0" y="0"/>
                            <a:ext cx="1332230" cy="1776730"/>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74473565">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王喆睿 — 技术部</w:t>
            </w:r>
          </w:p>
          <w:p w14:paraId="6AD85043">
            <w:pPr>
              <w:pStyle w:val="30"/>
              <w:widowControl/>
              <w:snapToGrid w:val="0"/>
              <w:spacing w:before="80" w:beforeAutospacing="0" w:after="80" w:afterAutospacing="0"/>
              <w:jc w:val="both"/>
              <w:rPr>
                <w:rFonts w:hint="eastAsia"/>
                <w:color w:val="000000"/>
              </w:rPr>
            </w:pPr>
            <w:r>
              <w:rPr>
                <w:color w:val="000000"/>
              </w:rPr>
              <w:t>王喆睿同学积极参加各项班级学院组织活动及学科竞赛，掌握Python、C及C++等编程语言，具备扎实的逻辑思维与算法实现能力。他性格开朗，执行力强，求知欲旺盛，渴望在软件工程领域持续深耕。</w:t>
            </w:r>
          </w:p>
          <w:p w14:paraId="078BFBD3">
            <w:pPr>
              <w:pStyle w:val="30"/>
              <w:widowControl/>
              <w:snapToGrid w:val="0"/>
              <w:spacing w:before="80" w:beforeAutospacing="0" w:after="80" w:afterAutospacing="0"/>
              <w:jc w:val="both"/>
              <w:rPr>
                <w:rFonts w:hint="eastAsia"/>
                <w:color w:val="000000"/>
              </w:rPr>
            </w:pPr>
            <w:r>
              <w:rPr>
                <w:color w:val="000000"/>
              </w:rPr>
              <w:t>在本项目中，他主要负责底层算法的调优与逻辑验证工作，协助项目负责人攻克高光谱数据在不同饮料介质下的识别精度难题。通过持续的技术实践与迭代测试，他致力于提升系统的技术深度，确保色素智能检测逻辑的严密性与科学性，为系统整体检测精度的提升做出贡献。</w:t>
            </w:r>
          </w:p>
          <w:p w14:paraId="20488D45">
            <w:pPr>
              <w:keepNext/>
              <w:wordWrap w:val="0"/>
              <w:snapToGrid w:val="0"/>
              <w:spacing w:line="279" w:lineRule="auto"/>
              <w:jc w:val="left"/>
              <w:rPr>
                <w:rFonts w:ascii="Cambria Math" w:hAnsi="Cambria Math" w:eastAsia="宋体" w:cs="宋体"/>
                <w:sz w:val="28"/>
                <w:szCs w:val="28"/>
                <w:oMath/>
              </w:rPr>
            </w:pPr>
          </w:p>
        </w:tc>
      </w:tr>
      <w:tr w14:paraId="6C864E82">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7B454F11">
            <w:pPr>
              <w:keepNext/>
              <w:wordWrap w:val="0"/>
              <w:snapToGrid w:val="0"/>
              <w:spacing w:line="279" w:lineRule="auto"/>
              <w:jc w:val="left"/>
              <w:rPr>
                <w:rFonts w:ascii="Cambria Math" w:hAnsi="Cambria Math" w:eastAsia="宋体" w:cs="宋体"/>
                <w:bCs/>
                <w:sz w:val="28"/>
                <w:szCs w:val="28"/>
              </w:rPr>
            </w:pPr>
          </w:p>
          <w:p w14:paraId="2CF74A18">
            <w:pPr>
              <w:keepNext/>
              <w:wordWrap w:val="0"/>
              <w:snapToGrid w:val="0"/>
              <w:spacing w:line="279" w:lineRule="auto"/>
              <w:jc w:val="left"/>
              <w:rPr>
                <w:rFonts w:ascii="Cambria Math" w:hAnsi="Cambria Math" w:eastAsia="宋体" w:cs="宋体"/>
                <w:bCs/>
                <w:sz w:val="28"/>
                <w:szCs w:val="28"/>
              </w:rPr>
            </w:pPr>
          </w:p>
          <w:p w14:paraId="25E24B91">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327785" cy="1895475"/>
                  <wp:effectExtent l="0" t="0" r="5715" b="9525"/>
                  <wp:docPr id="111" name="图片 111" descr="刘东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 name="图片 111" descr="刘东森"/>
                          <pic:cNvPicPr>
                            <a:picLocks noChangeAspect="1"/>
                          </pic:cNvPicPr>
                        </pic:nvPicPr>
                        <pic:blipFill>
                          <a:blip r:embed="rId17"/>
                          <a:stretch>
                            <a:fillRect/>
                          </a:stretch>
                        </pic:blipFill>
                        <pic:spPr>
                          <a:xfrm>
                            <a:off x="0" y="0"/>
                            <a:ext cx="1327785" cy="1895475"/>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7579D323">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刘东森 — 行政部</w:t>
            </w:r>
          </w:p>
          <w:p w14:paraId="5DA5E145">
            <w:pPr>
              <w:pStyle w:val="30"/>
              <w:widowControl/>
              <w:snapToGrid w:val="0"/>
              <w:spacing w:before="80" w:beforeAutospacing="0" w:after="80" w:afterAutospacing="0"/>
              <w:jc w:val="both"/>
              <w:rPr>
                <w:rFonts w:hint="eastAsia"/>
                <w:color w:val="000000"/>
              </w:rPr>
            </w:pPr>
            <w:r>
              <w:rPr>
                <w:color w:val="000000"/>
              </w:rPr>
              <w:t>刘东森同学积极参与各项班级学院活动，曾获三好学生称号、英语竞赛银奖及多项体育赛事荣誉，综合素质突出。他性格开朗，执行力极强，乐于承担团队行政管理责任，秉承"干中学"的务实态度不断积累专业知识与管理能力。</w:t>
            </w:r>
          </w:p>
          <w:p w14:paraId="3FC00223">
            <w:pPr>
              <w:pStyle w:val="30"/>
              <w:widowControl/>
              <w:snapToGrid w:val="0"/>
              <w:spacing w:before="80" w:beforeAutospacing="0" w:after="80" w:afterAutospacing="0"/>
              <w:jc w:val="both"/>
              <w:rPr>
                <w:rFonts w:hint="eastAsia"/>
                <w:color w:val="000000"/>
              </w:rPr>
            </w:pPr>
            <w:r>
              <w:rPr>
                <w:color w:val="000000"/>
              </w:rPr>
              <w:t>在本项目中，他负责团队的日常运营管理、项目进度跟踪及文档质量把控，协调各部门间的沟通协作，确保信息传递畅通、任务推进有序。通过精准的流程管理与细致的行政支持，他致力于保障高光谱检测项目按计划节点稳步推进，同时负责各类申报材料的规范整理与质量审核，为项目对外展示与竞赛评审提供有力支撑。</w:t>
            </w:r>
          </w:p>
          <w:p w14:paraId="441ECC09">
            <w:pPr>
              <w:keepNext/>
              <w:wordWrap w:val="0"/>
              <w:snapToGrid w:val="0"/>
              <w:spacing w:line="279" w:lineRule="auto"/>
              <w:jc w:val="left"/>
              <w:rPr>
                <w:rFonts w:ascii="Cambria Math" w:hAnsi="Cambria Math" w:eastAsia="宋体" w:cs="宋体"/>
                <w:sz w:val="28"/>
                <w:szCs w:val="28"/>
                <w:oMath/>
              </w:rPr>
            </w:pPr>
          </w:p>
        </w:tc>
      </w:tr>
      <w:tr w14:paraId="7C51245E">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2316" w:type="dxa"/>
            <w:tcBorders>
              <w:top w:val="single" w:color="auto" w:sz="4" w:space="0"/>
              <w:left w:val="single" w:color="auto" w:sz="12" w:space="0"/>
              <w:bottom w:val="single" w:color="auto" w:sz="12" w:space="0"/>
              <w:right w:val="nil"/>
            </w:tcBorders>
            <w:tcMar>
              <w:top w:w="-1" w:type="dxa"/>
              <w:left w:w="-1" w:type="dxa"/>
              <w:bottom w:w="-1" w:type="dxa"/>
              <w:right w:w="-1" w:type="dxa"/>
            </w:tcMar>
          </w:tcPr>
          <w:p w14:paraId="777EB7E0">
            <w:pPr>
              <w:keepNext/>
              <w:wordWrap w:val="0"/>
              <w:snapToGrid w:val="0"/>
              <w:spacing w:line="279" w:lineRule="auto"/>
              <w:jc w:val="left"/>
              <w:rPr>
                <w:rFonts w:ascii="Cambria Math" w:hAnsi="Cambria Math" w:eastAsia="宋体" w:cs="宋体"/>
                <w:bCs/>
                <w:sz w:val="28"/>
                <w:szCs w:val="28"/>
              </w:rPr>
            </w:pPr>
          </w:p>
          <w:p w14:paraId="536106E2">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330325" cy="1670050"/>
                  <wp:effectExtent l="0" t="0" r="3175" b="6350"/>
                  <wp:docPr id="112" name="图片 112" descr="饶李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图片 112" descr="饶李充"/>
                          <pic:cNvPicPr>
                            <a:picLocks noChangeAspect="1"/>
                          </pic:cNvPicPr>
                        </pic:nvPicPr>
                        <pic:blipFill>
                          <a:blip r:embed="rId18"/>
                          <a:stretch>
                            <a:fillRect/>
                          </a:stretch>
                        </pic:blipFill>
                        <pic:spPr>
                          <a:xfrm>
                            <a:off x="0" y="0"/>
                            <a:ext cx="1330325" cy="1670050"/>
                          </a:xfrm>
                          <a:prstGeom prst="rect">
                            <a:avLst/>
                          </a:prstGeom>
                        </pic:spPr>
                      </pic:pic>
                    </a:graphicData>
                  </a:graphic>
                </wp:inline>
              </w:drawing>
            </w:r>
          </w:p>
        </w:tc>
        <w:tc>
          <w:tcPr>
            <w:tcW w:w="6206" w:type="dxa"/>
            <w:tcBorders>
              <w:top w:val="single" w:color="auto" w:sz="4" w:space="0"/>
              <w:left w:val="single" w:color="auto" w:sz="4" w:space="0"/>
              <w:bottom w:val="single" w:color="auto" w:sz="12" w:space="0"/>
              <w:right w:val="single" w:color="auto" w:sz="12" w:space="0"/>
            </w:tcBorders>
            <w:tcMar>
              <w:top w:w="-1" w:type="dxa"/>
              <w:left w:w="-1" w:type="dxa"/>
              <w:bottom w:w="-1" w:type="dxa"/>
              <w:right w:w="-1" w:type="dxa"/>
            </w:tcMar>
          </w:tcPr>
          <w:p w14:paraId="4C51E557">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饶李充 — 财务部</w:t>
            </w:r>
          </w:p>
          <w:p w14:paraId="7CD82141">
            <w:pPr>
              <w:pStyle w:val="30"/>
              <w:widowControl/>
              <w:snapToGrid w:val="0"/>
              <w:spacing w:before="80" w:beforeAutospacing="0" w:after="80" w:afterAutospacing="0"/>
              <w:jc w:val="both"/>
              <w:rPr>
                <w:rFonts w:hint="eastAsia"/>
                <w:color w:val="000000"/>
              </w:rPr>
            </w:pPr>
            <w:r>
              <w:rPr>
                <w:color w:val="000000"/>
              </w:rPr>
              <w:t>饶李充同学现任学校学生会干事，曾获评班级优秀团员，积极参加各类大学生赛事并不断提升自身能力。他性格开朗活泼，善于执行与人际沟通，目前已熟练掌握Python等编程语言，具备一定的数据处理与自动化脚本开发能力。</w:t>
            </w:r>
          </w:p>
          <w:p w14:paraId="0A80B4FA">
            <w:pPr>
              <w:pStyle w:val="30"/>
              <w:widowControl/>
              <w:snapToGrid w:val="0"/>
              <w:spacing w:before="80" w:beforeAutospacing="0" w:after="80" w:afterAutospacing="0"/>
              <w:jc w:val="both"/>
              <w:rPr>
                <w:rFonts w:hint="eastAsia"/>
                <w:color w:val="000000"/>
              </w:rPr>
            </w:pPr>
            <w:r>
              <w:rPr>
                <w:color w:val="000000"/>
              </w:rPr>
              <w:t>在本项目中，他负责项目的财务规划、成本控制及资源对接工作，结合编程技术实现项目经费的精细化与自动化管理，有效提升财务工作效率与数据透明度。他秉持热心学习的态度，通过保障项目研发资金的高效运作，协助团队完成各项竞赛申报与商业落地的资金准备工作。</w:t>
            </w:r>
          </w:p>
          <w:p w14:paraId="06AB7FC4">
            <w:pPr>
              <w:keepNext/>
              <w:wordWrap w:val="0"/>
              <w:snapToGrid w:val="0"/>
              <w:spacing w:line="279" w:lineRule="auto"/>
              <w:jc w:val="left"/>
              <w:rPr>
                <w:rFonts w:ascii="Cambria Math" w:hAnsi="Cambria Math" w:eastAsia="宋体" w:cs="宋体"/>
                <w:sz w:val="28"/>
                <w:szCs w:val="28"/>
                <w:oMath/>
              </w:rPr>
            </w:pPr>
          </w:p>
        </w:tc>
      </w:tr>
    </w:tbl>
    <w:p w14:paraId="4FED23C2">
      <w:pPr>
        <w:pStyle w:val="4"/>
        <w:keepNext w:val="0"/>
        <w:keepLines w:val="0"/>
        <w:widowControl/>
        <w:spacing w:before="0" w:after="120" w:line="360" w:lineRule="auto"/>
        <w:ind w:firstLine="602" w:firstLineChars="200"/>
        <w:jc w:val="both"/>
        <w:outlineLvl w:val="0"/>
        <w:rPr>
          <w:rFonts w:hint="eastAsia" w:ascii="黑体" w:hAnsi="黑体" w:eastAsia="黑体" w:cs="黑体"/>
          <w:b/>
          <w:bCs/>
          <w:color w:val="auto"/>
          <w:sz w:val="30"/>
          <w:szCs w:val="30"/>
        </w:rPr>
      </w:pPr>
      <w:bookmarkStart w:id="10" w:name="_Toc22083"/>
      <w:bookmarkStart w:id="11" w:name="_Toc43"/>
      <w:r>
        <w:rPr>
          <w:rFonts w:hint="eastAsia" w:ascii="黑体" w:hAnsi="黑体" w:eastAsia="黑体" w:cs="黑体"/>
          <w:b/>
          <w:bCs/>
          <w:color w:val="auto"/>
          <w:sz w:val="30"/>
          <w:szCs w:val="30"/>
        </w:rPr>
        <w:t>8.4 团队核心优势</w:t>
      </w:r>
      <w:bookmarkEnd w:id="10"/>
      <w:bookmarkEnd w:id="11"/>
    </w:p>
    <w:p w14:paraId="57819BD2">
      <w:pPr>
        <w:ind w:firstLine="419"/>
        <w:outlineLvl w:val="1"/>
        <w:rPr>
          <w:rFonts w:hint="eastAsia" w:ascii="黑体" w:hAnsi="黑体" w:eastAsia="黑体" w:cs="黑体"/>
          <w:b/>
          <w:sz w:val="28"/>
          <w:szCs w:val="28"/>
        </w:rPr>
      </w:pPr>
      <w:bookmarkStart w:id="12" w:name="_Toc5846"/>
      <w:r>
        <w:rPr>
          <w:rFonts w:hint="eastAsia" w:ascii="黑体" w:hAnsi="黑体" w:eastAsia="黑体" w:cs="黑体"/>
          <w:b/>
          <w:sz w:val="28"/>
          <w:szCs w:val="28"/>
        </w:rPr>
        <w:t>（1）专业互补，能力全覆盖</w:t>
      </w:r>
      <w:bookmarkEnd w:id="12"/>
    </w:p>
    <w:p w14:paraId="2243B908">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团队成员涵盖AI算法、全栈开发、高光谱数据处理、市场运营、财务管理、行政统筹等多元专业能力，精准匹配高光谱AI检测项目</w:t>
      </w:r>
      <w:r>
        <w:rPr>
          <w:rFonts w:hint="eastAsia" w:ascii="宋体" w:hAnsi="宋体" w:eastAsia="宋体" w:cs="宋体"/>
          <w:bCs/>
          <w:sz w:val="28"/>
          <w:szCs w:val="28"/>
          <w:lang w:eastAsia="zh"/>
          <w:woUserID w:val="2"/>
        </w:rPr>
        <w:t>“</w:t>
      </w:r>
      <w:r>
        <w:rPr>
          <w:rFonts w:hint="eastAsia" w:ascii="宋体" w:hAnsi="宋体" w:eastAsia="宋体" w:cs="宋体"/>
          <w:bCs/>
          <w:sz w:val="28"/>
          <w:szCs w:val="28"/>
        </w:rPr>
        <w:t>技术研发—商业落地—运营保障</w:t>
      </w:r>
      <w:r>
        <w:rPr>
          <w:rFonts w:hint="eastAsia" w:ascii="宋体" w:hAnsi="宋体" w:eastAsia="宋体" w:cs="宋体"/>
          <w:bCs/>
          <w:sz w:val="28"/>
          <w:szCs w:val="28"/>
          <w:lang w:eastAsia="zh"/>
          <w:woUserID w:val="2"/>
        </w:rPr>
        <w:t>”</w:t>
      </w:r>
      <w:r>
        <w:rPr>
          <w:rFonts w:hint="eastAsia" w:ascii="宋体" w:hAnsi="宋体" w:eastAsia="宋体" w:cs="宋体"/>
          <w:bCs/>
          <w:sz w:val="28"/>
          <w:szCs w:val="28"/>
        </w:rPr>
        <w:t>全流程需求。各模块成员在专业背景上形成有效互补，在项目推进中实现高效协同联动，充分发挥</w:t>
      </w:r>
      <w:r>
        <w:rPr>
          <w:rFonts w:hint="eastAsia" w:ascii="宋体" w:hAnsi="宋体" w:eastAsia="宋体" w:cs="宋体"/>
          <w:bCs/>
          <w:sz w:val="28"/>
          <w:szCs w:val="28"/>
          <w:lang w:eastAsia="zh"/>
          <w:woUserID w:val="2"/>
        </w:rPr>
        <w:t>“</w:t>
      </w:r>
      <w:r>
        <w:rPr>
          <w:rFonts w:hint="eastAsia" w:ascii="宋体" w:hAnsi="宋体" w:eastAsia="宋体" w:cs="宋体"/>
          <w:bCs/>
          <w:sz w:val="28"/>
          <w:szCs w:val="28"/>
        </w:rPr>
        <w:t>1+1&gt;2</w:t>
      </w:r>
      <w:r>
        <w:rPr>
          <w:rFonts w:hint="eastAsia" w:ascii="宋体" w:hAnsi="宋体" w:eastAsia="宋体" w:cs="宋体"/>
          <w:bCs/>
          <w:sz w:val="28"/>
          <w:szCs w:val="28"/>
          <w:lang w:eastAsia="zh"/>
          <w:woUserID w:val="2"/>
        </w:rPr>
        <w:t>”</w:t>
      </w:r>
      <w:r>
        <w:rPr>
          <w:rFonts w:hint="eastAsia" w:ascii="宋体" w:hAnsi="宋体" w:eastAsia="宋体" w:cs="宋体"/>
          <w:bCs/>
          <w:sz w:val="28"/>
          <w:szCs w:val="28"/>
        </w:rPr>
        <w:t>的团队协作效应。</w:t>
      </w:r>
    </w:p>
    <w:p w14:paraId="1B1E3768">
      <w:pPr>
        <w:ind w:firstLine="419"/>
        <w:outlineLvl w:val="1"/>
        <w:rPr>
          <w:rFonts w:hint="eastAsia" w:ascii="黑体" w:hAnsi="黑体" w:eastAsia="黑体" w:cs="黑体"/>
          <w:b/>
          <w:sz w:val="28"/>
          <w:szCs w:val="28"/>
        </w:rPr>
      </w:pPr>
      <w:bookmarkStart w:id="13" w:name="_Toc13392"/>
      <w:r>
        <w:rPr>
          <w:rFonts w:hint="eastAsia" w:ascii="黑体" w:hAnsi="黑体" w:eastAsia="黑体" w:cs="黑体"/>
          <w:b/>
          <w:sz w:val="28"/>
          <w:szCs w:val="28"/>
        </w:rPr>
        <w:t>（2）产学研融合，技术支撑坚实</w:t>
      </w:r>
      <w:bookmarkEnd w:id="13"/>
    </w:p>
    <w:p w14:paraId="71405FE7">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依托海南师范大学信息科学技术学院的优质师资与实验室资源，刘波、龙海侠、程明雄等专家教授全程参与指导，从AI算法优化到商业化策略制定，覆盖项目发展的核心维度。团队同步对接高校重点实验室、创新创业基金、科技园孵化器等多元资源，为技术研发提供实验设备保障、学术支撑与资金保障，有效加速技术成果从实验室到商业化场景的转化落地。</w:t>
      </w:r>
    </w:p>
    <w:p w14:paraId="4DAC19ED">
      <w:pPr>
        <w:ind w:firstLine="419"/>
        <w:outlineLvl w:val="1"/>
        <w:rPr>
          <w:rFonts w:hint="eastAsia" w:ascii="黑体" w:hAnsi="黑体" w:eastAsia="黑体" w:cs="黑体"/>
          <w:b/>
          <w:sz w:val="28"/>
          <w:szCs w:val="28"/>
        </w:rPr>
      </w:pPr>
      <w:bookmarkStart w:id="14" w:name="_Toc31087"/>
      <w:r>
        <w:rPr>
          <w:rFonts w:hint="eastAsia" w:ascii="黑体" w:hAnsi="黑体" w:eastAsia="黑体" w:cs="黑体"/>
          <w:b/>
          <w:sz w:val="28"/>
          <w:szCs w:val="28"/>
        </w:rPr>
        <w:t>（3）实战经验丰富，创新能力突出</w:t>
      </w:r>
      <w:bookmarkEnd w:id="14"/>
    </w:p>
    <w:p w14:paraId="5E6B806C">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核心成员均拥有学科竞赛国家级/省级奖项，部分成员具备企业级AI项目实战经验，能够精准把握行业痛点与技术转化需求。在算法研发、系统开发、商业策划等方面具备较强的创新能力与问题解决能力，适配初创项目快速迭代、灵活响应的发展节奏，能够在资源有限的条件下高效推动项目向前推进。</w:t>
      </w:r>
    </w:p>
    <w:p w14:paraId="5D2A9B94">
      <w:pPr>
        <w:ind w:firstLine="419"/>
        <w:outlineLvl w:val="1"/>
        <w:rPr>
          <w:rFonts w:hint="eastAsia" w:ascii="黑体" w:hAnsi="黑体" w:eastAsia="黑体" w:cs="黑体"/>
          <w:b/>
          <w:sz w:val="28"/>
          <w:szCs w:val="28"/>
        </w:rPr>
      </w:pPr>
      <w:bookmarkStart w:id="15" w:name="_Toc29790"/>
      <w:r>
        <w:rPr>
          <w:rFonts w:hint="eastAsia" w:ascii="黑体" w:hAnsi="黑体" w:eastAsia="黑体" w:cs="黑体"/>
          <w:b/>
          <w:sz w:val="28"/>
          <w:szCs w:val="28"/>
        </w:rPr>
        <w:t>（4）深耕本土，贴合市场需求</w:t>
      </w:r>
      <w:bookmarkEnd w:id="15"/>
    </w:p>
    <w:p w14:paraId="469F6FA1">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团队扎根海南，深刻理解海南自贸港热带饮料产业（椰子汁、芒果汁、茶饮等）的发展特点与检测痛点，能够针对性优化检测算法与产品方案，使技术解决方案更贴近本地市场的实际应用场景。同时，团队依托海南师范大学科技园孵化器、海口市数字经济协会等本土资源，具备快速对接海南本地饮料企业与食品监管机构的渠道优势，为项目本土化深度落地与后续全国复制推广奠定坚实基础。</w:t>
      </w:r>
    </w:p>
    <w:p w14:paraId="5537E94F">
      <w:pPr>
        <w:jc w:val="both"/>
        <w:rPr>
          <w:rFonts w:ascii="仿宋_GB2312" w:hAnsi="仿宋_GB2312"/>
        </w:rPr>
      </w:pPr>
    </w:p>
    <w:p w14:paraId="35293C8C">
      <w:pPr>
        <w:jc w:val="both"/>
        <w:rPr>
          <w:rFonts w:ascii="仿宋_GB2312" w:hAnsi="仿宋_GB2312"/>
        </w:rPr>
      </w:pPr>
    </w:p>
    <w:p w14:paraId="6344CA33">
      <w:pPr>
        <w:jc w:val="both"/>
        <w:rPr>
          <w:rFonts w:ascii="仿宋_GB2312" w:hAnsi="仿宋_GB2312"/>
        </w:rPr>
      </w:pPr>
    </w:p>
    <w:p w14:paraId="0577937E">
      <w:pPr>
        <w:jc w:val="both"/>
        <w:rPr>
          <w:rFonts w:ascii="仿宋_GB2312" w:hAnsi="仿宋_GB2312"/>
        </w:rPr>
      </w:pPr>
    </w:p>
    <w:p w14:paraId="11ADC343">
      <w:pPr>
        <w:jc w:val="both"/>
        <w:rPr>
          <w:rFonts w:ascii="仿宋_GB2312" w:hAnsi="仿宋_GB2312"/>
        </w:rPr>
      </w:pPr>
    </w:p>
    <w:p w14:paraId="1D47646E">
      <w:pPr>
        <w:jc w:val="both"/>
        <w:rPr>
          <w:rFonts w:ascii="仿宋_GB2312" w:hAnsi="仿宋_GB2312"/>
        </w:rPr>
      </w:pPr>
    </w:p>
    <w:p w14:paraId="4F4827BF">
      <w:pPr>
        <w:jc w:val="both"/>
        <w:rPr>
          <w:rFonts w:ascii="仿宋_GB2312" w:hAnsi="仿宋_GB2312"/>
        </w:rPr>
      </w:pPr>
    </w:p>
    <w:p w14:paraId="6ECE0BBF">
      <w:pPr>
        <w:pStyle w:val="3"/>
        <w:ind w:firstLine="0"/>
      </w:pPr>
      <w:r>
        <w:rPr>
          <w:rFonts w:ascii="黑体" w:hAnsi="黑体" w:eastAsia="黑体"/>
        </w:rPr>
        <w:t>第九章 财务预测</w:t>
      </w:r>
    </w:p>
    <w:p w14:paraId="71A58868">
      <w:pPr>
        <w:pStyle w:val="4"/>
        <w:ind w:firstLine="0"/>
      </w:pPr>
      <w:r>
        <w:rPr>
          <w:rFonts w:ascii="楷体_GB2312" w:hAnsi="楷体_GB2312" w:eastAsia="楷体_GB2312"/>
        </w:rPr>
        <w:t>9.1 财务假设前提</w:t>
      </w:r>
    </w:p>
    <w:p w14:paraId="766EFEE1">
      <w:pPr>
        <w:jc w:val="both"/>
      </w:pPr>
      <w:r>
        <w:rPr>
          <w:rFonts w:ascii="仿宋_GB2312" w:hAnsi="仿宋_GB2312"/>
        </w:rPr>
        <w:t>本章财务测算按照轻资产数字化服务模式进行，默认项目已完成平台开发，并具备面向合作社、品牌方、渠道方和区域服务机构提供分析服务的基础条件。测算口径以批次分析服务、年度账号服务和定制化服务为主，不将硬件销售、大规模政府采购、未签约渠道合作和一次性非经营性收入计入主营业务，保证预测结果与现阶段产品能力保持一致。</w:t>
      </w:r>
    </w:p>
    <w:p w14:paraId="1B34FCBF">
      <w:pPr>
        <w:jc w:val="both"/>
      </w:pPr>
      <w:r>
        <w:rPr>
          <w:rFonts w:ascii="仿宋_GB2312" w:hAnsi="仿宋_GB2312"/>
        </w:rPr>
        <w:t>收入端主要来源于三类业务。第一类为单批次分析与报告输出服务，对应分选、验货、复检和阶段性样本判断等高频场景；第二类为年度账号服务，对应持续使用平台、历史档案和报告模板的稳定客户；第三类为区域品牌共建、定制模型、专属报告模板和专项数据服务，对应重点客户和区域合作项目。三类收入之间存在递进关系，通常由单次合作逐步转化为长期服务。</w:t>
      </w:r>
    </w:p>
    <w:p w14:paraId="5AD0DA5E">
      <w:pPr>
        <w:jc w:val="both"/>
      </w:pPr>
      <w:r>
        <w:rPr>
          <w:rFonts w:ascii="仿宋_GB2312" w:hAnsi="仿宋_GB2312"/>
        </w:rPr>
        <w:t xml:space="preserve">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所有测算均以“已有成品、已有样本、逐步放量”的稳健假设为基础。 </w:t>
      </w:r>
    </w:p>
    <w:p w14:paraId="19561DB8">
      <w:pPr>
        <w:pStyle w:val="4"/>
        <w:ind w:firstLine="0"/>
      </w:pPr>
      <w:r>
        <w:rPr>
          <w:rFonts w:ascii="楷体_GB2312" w:hAnsi="楷体_GB2312" w:eastAsia="楷体_GB2312"/>
        </w:rPr>
        <w:t>9.2 三情景核心假设对比</w:t>
      </w:r>
    </w:p>
    <w:p w14:paraId="17BEDFF5">
      <w:pPr>
        <w:jc w:val="both"/>
      </w:pPr>
      <w:r>
        <w:rPr>
          <w:rFonts w:ascii="仿宋_GB2312" w:hAnsi="仿宋_GB2312"/>
        </w:rPr>
        <w:t>乐观、中性和保守三种情景之间，真正拉开差距的变量有五个：有效客户数、年度账号转化率、续费率、定制服务数量和区域共建进度。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10A271C1">
      <w:pPr>
        <w:jc w:val="both"/>
      </w:pPr>
      <w:r>
        <w:rPr>
          <w:rFonts w:ascii="仿宋_GB2312" w:hAnsi="仿宋_GB2312"/>
        </w:rPr>
        <w:t xml:space="preserve">三种情景之间，单次订单价格并不是决定性因素。决定结果的是客户是否愿意持续使用平台、是否愿意把分析结果纳入品牌经营和渠道管理流程，以及项目能否把单批次合作逐步转化为长期账号和定制化服务。就现阶段产品形态而言，中性情景最符合项目当前基础，也是本计划书默认采用的财务预测口径。 </w:t>
      </w:r>
    </w:p>
    <w:p w14:paraId="42F2B1FC">
      <w:pPr>
        <w:pStyle w:val="4"/>
        <w:ind w:firstLine="0"/>
      </w:pPr>
      <w:r>
        <w:rPr>
          <w:rFonts w:ascii="楷体_GB2312" w:hAnsi="楷体_GB2312" w:eastAsia="楷体_GB2312"/>
        </w:rPr>
        <w:t>9.3 五年损益预测</w:t>
      </w:r>
    </w:p>
    <w:p w14:paraId="73A2E537">
      <w:pPr>
        <w:jc w:val="both"/>
      </w:pPr>
      <w:r>
        <w:rPr>
          <w:rFonts w:ascii="仿宋_GB2312" w:hAnsi="仿宋_GB2312"/>
        </w:rPr>
        <w:t>按中性情景测算，项目前两年利润水平相对有限，主要原因在于样本库建设、模型验证、系统维护和场景试点投入先于规模化收入释放。该阶段的主要任务是完成样本扩充、报告模板沉淀、客户流程磨合和平台稳定运行，为后续年度服务打基础。样本库、历史档案和模型表现稳定后，平台的边际复用能力便会逐步体现，损益结构也将进入改善阶段。</w:t>
      </w:r>
    </w:p>
    <w:p w14:paraId="4B40528F">
      <w:pPr>
        <w:jc w:val="both"/>
      </w:pPr>
      <w:r>
        <w:rPr>
          <w:rFonts w:ascii="仿宋_GB2312" w:hAnsi="仿宋_GB2312"/>
        </w:rPr>
        <w:t>盈利拐点主要取决于两项因素：一是年度账号客户是否达到稳定规模，二是批次分析服务能否持续导入续费客户。结合当前产品结构和服务模式判断，项目形成 12 至 15 家稳定年度客户，或形成 8 家年度客户叠加持续批次分析订单后，即可基本跨越低利润阶段，进入较稳的盈利区间。该判断建立在多客户、多批次、多场景持续使用的基础之上。</w:t>
      </w:r>
    </w:p>
    <w:p w14:paraId="7DAC2138">
      <w:pPr>
        <w:jc w:val="both"/>
      </w:pPr>
      <w:r>
        <w:rPr>
          <w:rFonts w:ascii="仿宋_GB2312" w:hAnsi="仿宋_GB2312"/>
        </w:rPr>
        <w:t xml:space="preserve">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 </w:t>
      </w:r>
    </w:p>
    <w:p w14:paraId="4F83696A">
      <w:pPr>
        <w:pStyle w:val="4"/>
        <w:ind w:firstLine="0"/>
      </w:pPr>
      <w:r>
        <w:rPr>
          <w:rFonts w:ascii="楷体_GB2312" w:hAnsi="楷体_GB2312" w:eastAsia="楷体_GB2312"/>
        </w:rPr>
        <w:t>9.4 五年现金流量预测</w:t>
      </w:r>
    </w:p>
    <w:p w14:paraId="7F6FDBF3">
      <w:pPr>
        <w:jc w:val="both"/>
      </w:pPr>
      <w:r>
        <w:rPr>
          <w:rFonts w:ascii="仿宋_GB2312" w:hAnsi="仿宋_GB2312"/>
        </w:rPr>
        <w:t>现金流预测与损益预测相比，更强调合同结构和回款节奏。批次分析服务回款速度较快，但单次金额相对有限；年度账</w:t>
      </w:r>
      <w:bookmarkStart w:id="16" w:name="_GoBack"/>
      <w:bookmarkEnd w:id="16"/>
      <w:r>
        <w:rPr>
          <w:rFonts w:ascii="仿宋_GB2312" w:hAnsi="仿宋_GB2312"/>
        </w:rPr>
        <w:t>号与定制服务单笔金额更高，但签约和验收周期更长，回款节点通常滞后于交付节点。项目现金流管理需要同时覆盖短周期订单的日常周转和中长期合同的阶段性垫付支出。</w:t>
      </w:r>
    </w:p>
    <w:p w14:paraId="0155EE52">
      <w:pPr>
        <w:jc w:val="both"/>
      </w:pPr>
      <w:r>
        <w:rPr>
          <w:rFonts w:ascii="仿宋_GB2312" w:hAnsi="仿宋_GB2312"/>
        </w:rPr>
        <w:t xml:space="preserve">现金流压力通常集中在样本集中采集期、模型集中训练期和试点密集交付期。上述阶段往往伴随服务器、标定、差旅和现场支持等支出上升，而收入确认和客户回款无法完全同步。为保证系统稳定运行，项目应预留 6 至 9 个月的资金安全垫，优先覆盖服务器、样本标定、人员补贴和现场实施等核心支出，并通过提高预付款比例、优化结算节点和缩短验收周期降低现金流波动。 </w:t>
      </w:r>
    </w:p>
    <w:p w14:paraId="58A468C6">
      <w:pPr>
        <w:pStyle w:val="4"/>
        <w:ind w:firstLine="0"/>
      </w:pPr>
      <w:r>
        <w:rPr>
          <w:rFonts w:ascii="楷体_GB2312" w:hAnsi="楷体_GB2312" w:eastAsia="楷体_GB2312"/>
        </w:rPr>
        <w:t>9.5 资产负债结构判断</w:t>
      </w:r>
    </w:p>
    <w:p w14:paraId="36545B7C">
      <w:pPr>
        <w:jc w:val="both"/>
      </w:pPr>
      <w:r>
        <w:rPr>
          <w:rFonts w:ascii="仿宋_GB2312" w:hAnsi="仿宋_GB2312"/>
        </w:rPr>
        <w:t>项目资产沉淀集中在区域样本库、模型参数、软件系统、报告模板、客户档案和历史分析记录，属于典型轻资产数字化项目。样本质量决定模型上限，模型表现决定报告可信度，报告可信度又会继续影响客户续费与案例扩展，因此样本库和历史档案是项目最需要持续做厚的资产。</w:t>
      </w:r>
    </w:p>
    <w:p w14:paraId="5D466409">
      <w:pPr>
        <w:jc w:val="both"/>
      </w:pPr>
      <w:r>
        <w:rPr>
          <w:rFonts w:ascii="仿宋_GB2312" w:hAnsi="仿宋_GB2312"/>
        </w:rPr>
        <w:t xml:space="preserve">负债安排需要保持审慎。项目扩张应优先使用校内科研资源、订单回款、项目经费和阶段性融资支撑，不宜通过高杠杆方式换取表面增长。对当前阶段而言，保持资金使用效率、维持系统稳定和控制试点成本，比追求过快扩张更符合财务安全要求。 </w:t>
      </w:r>
    </w:p>
    <w:p w14:paraId="70788BC0">
      <w:pPr>
        <w:pStyle w:val="4"/>
        <w:ind w:firstLine="0"/>
      </w:pPr>
      <w:r>
        <w:rPr>
          <w:rFonts w:ascii="楷体_GB2312" w:hAnsi="楷体_GB2312" w:eastAsia="楷体_GB2312"/>
        </w:rPr>
        <w:t>9.6 三情景营收与盈利对比</w:t>
      </w:r>
    </w:p>
    <w:p w14:paraId="5B9646D3">
      <w:pPr>
        <w:jc w:val="both"/>
      </w:pPr>
      <w:r>
        <w:rPr>
          <w:rFonts w:ascii="仿宋_GB2312" w:hAnsi="仿宋_GB2312"/>
        </w:rPr>
        <w:t>三情景对比说明，影响项目营收和盈利上限的核心，不是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会后移。</w:t>
      </w:r>
    </w:p>
    <w:p w14:paraId="2F27F315">
      <w:pPr>
        <w:jc w:val="both"/>
      </w:pPr>
      <w:r>
        <w:rPr>
          <w:rFonts w:ascii="仿宋_GB2312" w:hAnsi="仿宋_GB2312"/>
        </w:rPr>
        <w:t xml:space="preserve">项目具备明显的平台型特征。平台和模型能力一旦成熟，新增客户不需要同比例增加研发支出，边际服务成本相对可控。后续营收结构越偏向长期账号、持续报告和区域共建，项目利润表现就越稳定。 </w:t>
      </w:r>
    </w:p>
    <w:p w14:paraId="2AA52BB8">
      <w:pPr>
        <w:pStyle w:val="4"/>
        <w:ind w:firstLine="0"/>
      </w:pPr>
      <w:r>
        <w:rPr>
          <w:rFonts w:ascii="楷体_GB2312" w:hAnsi="楷体_GB2312" w:eastAsia="楷体_GB2312"/>
        </w:rPr>
        <w:t>9.7 盈亏平衡分析</w:t>
      </w:r>
    </w:p>
    <w:p w14:paraId="1D8B0970">
      <w:pPr>
        <w:jc w:val="both"/>
      </w:pPr>
      <w:r>
        <w:rPr>
          <w:rFonts w:ascii="仿宋_GB2312" w:hAnsi="仿宋_GB2312"/>
        </w:rPr>
        <w:t>盈亏平衡点可按“固定成本 / 单客户年贡献”进行测算。项目固定成本主要包括系统维护、云服务、样本更新、质量复核和基础管理支出；单客户年贡献则由年度账号服务、批次分析服务和附加报告服务共同构成。按当前收入结构估计，项目达到 12 至 15 家稳定年度客户，或形成 8 家年度客户叠加持续批次分析订单时，即可基本覆盖固定成本。</w:t>
      </w:r>
    </w:p>
    <w:p w14:paraId="79F5CE1F">
      <w:pPr>
        <w:jc w:val="both"/>
      </w:pPr>
      <w:r>
        <w:rPr>
          <w:rFonts w:ascii="仿宋_GB2312" w:hAnsi="仿宋_GB2312"/>
        </w:rPr>
        <w:t xml:space="preserve">越过平衡点后，增长重点不应继续停留在单次分析量扩张，而应转向提高续费率、扩大品牌方使用深度和增加区域共建项目。只有客户价值在同一套产品体系内持续放大，项目财务表现才会保持稳定改善。 </w:t>
      </w:r>
    </w:p>
    <w:p w14:paraId="65F1838E">
      <w:pPr>
        <w:pStyle w:val="4"/>
        <w:ind w:firstLine="0"/>
      </w:pPr>
      <w:r>
        <w:rPr>
          <w:rFonts w:ascii="楷体_GB2312" w:hAnsi="楷体_GB2312" w:eastAsia="楷体_GB2312"/>
        </w:rPr>
        <w:t>9.8 敏感性分析</w:t>
      </w:r>
    </w:p>
    <w:p w14:paraId="7D50C802">
      <w:pPr>
        <w:jc w:val="both"/>
      </w:pPr>
      <w:r>
        <w:rPr>
          <w:rFonts w:ascii="仿宋_GB2312" w:hAnsi="仿宋_GB2312"/>
        </w:rPr>
        <w:t>对项目影响最大的敏感变量主要包括年度账号转化率、续费率、模型准确度和区域样本扩充速度。年度账号转化率决定收入厚度，续费率决定收入稳定性，模型准确度决定客户信任和报告使用深度，样本扩充速度决定模型泛化能力和服务边界。上述变量均与业务推进和技术迭代同步变化，因此财务预测必须与产品实际表现联动判断。</w:t>
      </w:r>
    </w:p>
    <w:p w14:paraId="1F15E45F">
      <w:pPr>
        <w:jc w:val="both"/>
      </w:pPr>
      <w:r>
        <w:rPr>
          <w:rFonts w:ascii="仿宋_GB2312" w:hAnsi="仿宋_GB2312"/>
        </w:rPr>
        <w:t xml:space="preserve">敏感变量出现波动时，管理重点也应同步调整。若转化率下降，应优先检查试用流程、报告价值和客户导入机制；若续费率下降，应重点检查平台使用频次、查询便利性和结果实用度；若模型准确度波动，应回到样本分层、标签质量和异常样本处理机制。财务改进的前提，始终是业务链路和技术链路的稳定。 </w:t>
      </w:r>
    </w:p>
    <w:p w14:paraId="25E6DCDE">
      <w:pPr>
        <w:pStyle w:val="4"/>
        <w:ind w:firstLine="0"/>
      </w:pPr>
      <w:r>
        <w:rPr>
          <w:rFonts w:ascii="楷体_GB2312" w:hAnsi="楷体_GB2312" w:eastAsia="楷体_GB2312"/>
        </w:rPr>
        <w:t>9.9 关键财务比率趋势</w:t>
      </w:r>
    </w:p>
    <w:p w14:paraId="24B3E7A6">
      <w:pPr>
        <w:jc w:val="both"/>
      </w:pPr>
      <w:r>
        <w:rPr>
          <w:rFonts w:ascii="仿宋_GB2312" w:hAnsi="仿宋_GB2312"/>
        </w:rPr>
        <w:t>关键财务指标应围绕客户获取成本、年度账号续费率、单客户年收入、毛利率、回款周期和定制服务占比展开。上述指标中，年度账号续费率和单客户年收入最能反映平台与报告体系的真实使用价值；毛利率和回款周期则直接反映服务结构和资金效率。</w:t>
      </w:r>
    </w:p>
    <w:p w14:paraId="24CA8B38">
      <w:pPr>
        <w:jc w:val="both"/>
      </w:pPr>
      <w:r>
        <w:rPr>
          <w:rFonts w:ascii="仿宋_GB2312" w:hAnsi="仿宋_GB2312"/>
        </w:rPr>
        <w:t xml:space="preserve">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 </w:t>
      </w:r>
    </w:p>
    <w:p w14:paraId="094BBADD">
      <w:pPr>
        <w:pStyle w:val="4"/>
        <w:ind w:firstLine="0"/>
      </w:pPr>
      <w:r>
        <w:rPr>
          <w:rFonts w:ascii="楷体_GB2312" w:hAnsi="楷体_GB2312" w:eastAsia="楷体_GB2312"/>
        </w:rPr>
        <w:t>9.10 资本需求与融资规划</w:t>
      </w:r>
    </w:p>
    <w:p w14:paraId="394C69C2">
      <w:pPr>
        <w:jc w:val="both"/>
      </w:pPr>
      <w:r>
        <w:rPr>
          <w:rFonts w:ascii="仿宋_GB2312" w:hAnsi="仿宋_GB2312"/>
        </w:rPr>
        <w:t>项目前期资金需求集中在样本库扩充、理化标定、模型迭代、平台稳定性优化和区域示范案例打造等方面。现阶段引入外部资金，目的是放大已经形成基础的产品能力和样板案例。若产品成熟度、案例质量和交付能力尚未稳定，过早放大投入会直接抬高风险。</w:t>
      </w:r>
    </w:p>
    <w:p w14:paraId="4381F72A">
      <w:pPr>
        <w:jc w:val="both"/>
      </w:pPr>
      <w:r>
        <w:rPr>
          <w:rFonts w:ascii="仿宋_GB2312" w:hAnsi="仿宋_GB2312"/>
        </w:rPr>
        <w:t>融资节奏应与产品成熟度保持一致。项目应先完成区域样本库补强、平台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6BF3EF3B">
      <w:pPr>
        <w:jc w:val="both"/>
      </w:pPr>
      <w:r>
        <w:rPr>
          <w:rFonts w:ascii="仿宋_GB2312" w:hAnsi="仿宋_GB2312"/>
        </w:rPr>
        <w:t xml:space="preserve">长期来看，项目更适合通过“订单回款 + 阶段性融资 + 项目经费”组合方式形成资本支持结构，以保证资金使用效率与项目主线保持一致。模型、报告、样本和客户结构形成稳定基础后，资本投入才会真正转化为可持续增长。 </w:t>
      </w:r>
    </w:p>
    <w:p w14:paraId="082D96A2">
      <w:pPr>
        <w:jc w:val="both"/>
      </w:pPr>
      <w:r>
        <w:rPr>
          <w:rFonts w:ascii="仿宋_GB2312" w:hAnsi="仿宋_GB2312"/>
        </w:rPr>
        <w:t>按照这一节奏推进，融资不是为了弥补一个尚未完成的空壳项目，而是为了把已经成型的网站、小程序、样本库和试点案例继续放大。资本进入后的第一落点，应当始终围绕样本、算法、交付和客户四条主线展开。</w:t>
      </w:r>
    </w:p>
    <w:p w14:paraId="57F8836A">
      <w:pPr>
        <w:pStyle w:val="3"/>
        <w:ind w:firstLine="0"/>
      </w:pPr>
      <w:r>
        <w:rPr>
          <w:rFonts w:ascii="黑体" w:hAnsi="黑体" w:eastAsia="黑体"/>
        </w:rPr>
        <w:t>第十章 风险分析</w:t>
      </w:r>
    </w:p>
    <w:p w14:paraId="73D66D0B">
      <w:pPr>
        <w:pStyle w:val="4"/>
        <w:ind w:firstLine="0"/>
      </w:pPr>
      <w:r>
        <w:rPr>
          <w:rFonts w:ascii="楷体_GB2312" w:hAnsi="楷体_GB2312" w:eastAsia="楷体_GB2312"/>
        </w:rPr>
        <w:t>10.1 分析假设条件声明</w:t>
      </w:r>
    </w:p>
    <w:p w14:paraId="042242A6">
      <w:pPr>
        <w:jc w:val="both"/>
      </w:pPr>
      <w:r>
        <w:rPr>
          <w:rFonts w:ascii="仿宋_GB2312" w:hAnsi="仿宋_GB2312"/>
        </w:rPr>
        <w:t>本章风险分析建立在项目已经完成平台开发、具备样本基础、能够输出批次报告并开始进入试点推广的现实状态上。分析对象覆盖数据输入、模型输出、客户使用、商务回款、团队维护和成果保护等关键环节，凡是会直接影响系统交付、客户信任和持续使用的因素，均纳入本章讨论范围。</w:t>
      </w:r>
    </w:p>
    <w:p w14:paraId="31639354">
      <w:pPr>
        <w:jc w:val="both"/>
      </w:pPr>
      <w:r>
        <w:rPr>
          <w:rFonts w:ascii="仿宋_GB2312" w:hAnsi="仿宋_GB2312"/>
        </w:rPr>
        <w:t xml:space="preserve">风险判断采用影响程度、发生概率和可控制性三个维度进行综合评估，不把与当前阶段关联较弱的远期风险放在前面展开。对橙源智鉴来说，现阶段最值得盯紧的风险集中在样本可靠性、结果稳定性、交付顺畅度和客户持续使用意愿四个方面，因为这四项一旦出现波动，网站、小程序和报告三条交付线都会受到影响。 </w:t>
      </w:r>
    </w:p>
    <w:p w14:paraId="5417B9C2">
      <w:pPr>
        <w:pStyle w:val="4"/>
        <w:ind w:firstLine="0"/>
      </w:pPr>
      <w:r>
        <w:rPr>
          <w:rFonts w:ascii="楷体_GB2312" w:hAnsi="楷体_GB2312" w:eastAsia="楷体_GB2312"/>
        </w:rPr>
        <w:t>10.2 财务风险维度分析</w:t>
      </w:r>
    </w:p>
    <w:p w14:paraId="2D3E22D1">
      <w:pPr>
        <w:jc w:val="both"/>
      </w:pPr>
      <w:r>
        <w:rPr>
          <w:rFonts w:ascii="仿宋_GB2312" w:hAnsi="仿宋_GB2312"/>
        </w:rPr>
        <w:t>财务风险首先出现在客户付费节奏、续费率波动和样本投入前置三个位置。平台和智能分析服务持续运行都依赖服务器、样本标定、模型训练和现场支持等稳定投入，一旦收入结构长期停留在单次分析层面，现金流抗压能力就会明显下降。稳定账号客户和连续回款，是当前阶段最需要守住的财务底线。</w:t>
      </w:r>
    </w:p>
    <w:p w14:paraId="43CA6F83">
      <w:pPr>
        <w:jc w:val="both"/>
      </w:pPr>
      <w:r>
        <w:rPr>
          <w:rFonts w:ascii="仿宋_GB2312" w:hAnsi="仿宋_GB2312"/>
        </w:rPr>
        <w:t xml:space="preserve">现金流缺口通常出现在样本集中补强、模型集中优化和试点集中交付阶段。若该阶段恰好叠加客户回款延迟或签约进度放缓，项目会同时承受研发、运维和实施支出压力。财务风险控制需要从合同结构、预付款比例、阶段性结算和成本节奏四方面同步管理，以维持核心系统和样本工作的连续性。 </w:t>
      </w:r>
    </w:p>
    <w:p w14:paraId="4824C849">
      <w:pPr>
        <w:pStyle w:val="4"/>
        <w:ind w:firstLine="0"/>
      </w:pPr>
      <w:r>
        <w:rPr>
          <w:rFonts w:ascii="楷体_GB2312" w:hAnsi="楷体_GB2312" w:eastAsia="楷体_GB2312"/>
        </w:rPr>
        <w:t>10.3 市场风险维度分析</w:t>
      </w:r>
    </w:p>
    <w:p w14:paraId="46246E3D">
      <w:pPr>
        <w:jc w:val="both"/>
      </w:pPr>
      <w:r>
        <w:rPr>
          <w:rFonts w:ascii="仿宋_GB2312" w:hAnsi="仿宋_GB2312"/>
        </w:rPr>
        <w:t>市场风险会先体现在客户接受速度、案例集中度和替代方案竞争上。客户是否愿意把系统纳入日常分级、验货和品牌管理流程，仍然取决于试点效果和持续使用体验。若客户只把平台用于展示而没有真正纳入作业流程，上传频次、复购速度和报告使用深度都会受到影响，市场转化节奏也会放缓。</w:t>
      </w:r>
    </w:p>
    <w:p w14:paraId="7EA5EC34">
      <w:pPr>
        <w:jc w:val="both"/>
      </w:pPr>
      <w:r>
        <w:rPr>
          <w:rFonts w:ascii="仿宋_GB2312" w:hAnsi="仿宋_GB2312"/>
        </w:rPr>
        <w:t xml:space="preserve">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 </w:t>
      </w:r>
    </w:p>
    <w:p w14:paraId="3E63831F">
      <w:pPr>
        <w:pStyle w:val="4"/>
        <w:ind w:firstLine="0"/>
      </w:pPr>
      <w:r>
        <w:rPr>
          <w:rFonts w:ascii="楷体_GB2312" w:hAnsi="楷体_GB2312" w:eastAsia="楷体_GB2312"/>
        </w:rPr>
        <w:t>10.4 运营风险维度分析</w:t>
      </w:r>
    </w:p>
    <w:p w14:paraId="0AAA1C66">
      <w:pPr>
        <w:jc w:val="both"/>
      </w:pPr>
      <w:r>
        <w:rPr>
          <w:rFonts w:ascii="仿宋_GB2312" w:hAnsi="仿宋_GB2312"/>
        </w:rPr>
        <w:t>运营风险最容易在样本组织、文件标准、平台协同和交付排期四个方面暴露。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3B102A41">
      <w:pPr>
        <w:jc w:val="both"/>
      </w:pPr>
      <w:r>
        <w:rPr>
          <w:rFonts w:ascii="仿宋_GB2312" w:hAnsi="仿宋_GB2312"/>
        </w:rPr>
        <w:t xml:space="preserve">团队协同也是重要运营风险来源。若代码、模型版本、报告模板和合作记录缺少统一文档管理，系统维护依赖少数成员，一旦人员分工变化，平台和分析服务都可能受到影响。因此，项目需要同步建立样本台账、版本台账、模板台账和合作台账，保证研发、交付和运营信息能够连续留存。 </w:t>
      </w:r>
    </w:p>
    <w:p w14:paraId="7631D81A">
      <w:pPr>
        <w:pStyle w:val="4"/>
        <w:ind w:firstLine="0"/>
      </w:pPr>
      <w:r>
        <w:rPr>
          <w:rFonts w:ascii="楷体_GB2312" w:hAnsi="楷体_GB2312" w:eastAsia="楷体_GB2312"/>
        </w:rPr>
        <w:t>10.5 技术与合规风险维度分析</w:t>
      </w:r>
    </w:p>
    <w:p w14:paraId="713C4B23">
      <w:pPr>
        <w:jc w:val="both"/>
      </w:pPr>
      <w:r>
        <w:rPr>
          <w:rFonts w:ascii="仿宋_GB2312" w:hAnsi="仿宋_GB2312"/>
        </w:rPr>
        <w:t>技术与合规风险主要集中在跨批次模型稳定性、文件格式兼容性、数据授权和成果保护四个方面。模型若在不同季节、不同产区、不同批次之间波动较大，合作方就难以将结果作为长期依据；文件格式兼容性不足，会直接影响上传成功率和平台可用性；数据授权边界不清，则会对样本使用、报告展示和模型迭代带来持续隐患。</w:t>
      </w:r>
    </w:p>
    <w:p w14:paraId="311B7AEC">
      <w:pPr>
        <w:jc w:val="both"/>
      </w:pPr>
      <w:r>
        <w:rPr>
          <w:rFonts w:ascii="仿宋_GB2312" w:hAnsi="仿宋_GB2312"/>
        </w:rPr>
        <w:t xml:space="preserve">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 </w:t>
      </w:r>
    </w:p>
    <w:p w14:paraId="0647774B">
      <w:pPr>
        <w:pStyle w:val="4"/>
        <w:ind w:firstLine="0"/>
      </w:pPr>
      <w:r>
        <w:rPr>
          <w:rFonts w:ascii="楷体_GB2312" w:hAnsi="楷体_GB2312" w:eastAsia="楷体_GB2312"/>
        </w:rPr>
        <w:t>10.6 风险量化评估矩阵</w:t>
      </w:r>
    </w:p>
    <w:p w14:paraId="7EB83DA0">
      <w:pPr>
        <w:jc w:val="both"/>
      </w:pPr>
      <w:r>
        <w:rPr>
          <w:rFonts w:ascii="仿宋_GB2312" w:hAnsi="仿宋_GB2312"/>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7D212AF7">
      <w:pPr>
        <w:jc w:val="both"/>
      </w:pPr>
      <w:r>
        <w:rPr>
          <w:rFonts w:ascii="仿宋_GB2312" w:hAnsi="仿宋_GB2312"/>
        </w:rPr>
        <w:t xml:space="preserve">量化分层之后，管理动作也要同步分层。高风险事项应安排明确负责人和周期性复盘机制，中风险事项应纳入日常运营监控，低风险事项则在确保主线稳定的前提下动态调整。这样做的意义，在于把有限精力优先压到最容易影响交付成败的环节。 </w:t>
      </w:r>
    </w:p>
    <w:p w14:paraId="7C7A5211">
      <w:pPr>
        <w:pStyle w:val="4"/>
        <w:ind w:firstLine="0"/>
      </w:pPr>
      <w:r>
        <w:rPr>
          <w:rFonts w:ascii="楷体_GB2312" w:hAnsi="楷体_GB2312" w:eastAsia="楷体_GB2312"/>
        </w:rPr>
        <w:t>10.7 三情景风险演变路径</w:t>
      </w:r>
    </w:p>
    <w:p w14:paraId="7BAB5E9E">
      <w:pPr>
        <w:jc w:val="both"/>
      </w:pPr>
      <w:r>
        <w:rPr>
          <w:rFonts w:ascii="仿宋_GB2312" w:hAnsi="仿宋_GB2312"/>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7859CAC2">
      <w:pPr>
        <w:jc w:val="both"/>
      </w:pPr>
      <w:r>
        <w:rPr>
          <w:rFonts w:ascii="仿宋_GB2312" w:hAnsi="仿宋_GB2312"/>
        </w:rPr>
        <w:t xml:space="preserve">风险管理需要结合项目进展动态调整工作重心。样本、模型、交付和客户结构越稳定，团队就越应该把注意力放在标准化复制、服务一致性和扩张节奏上；如果样本补强、客户转化或现金流还不稳，就必须继续把资源压回样本建设、场景验证和资金节奏控制，先把基础盘守住。 </w:t>
      </w:r>
    </w:p>
    <w:p w14:paraId="27C45BF4">
      <w:pPr>
        <w:pStyle w:val="4"/>
        <w:ind w:firstLine="0"/>
      </w:pPr>
      <w:r>
        <w:rPr>
          <w:rFonts w:ascii="楷体_GB2312" w:hAnsi="楷体_GB2312" w:eastAsia="楷体_GB2312"/>
        </w:rPr>
        <w:t>10.8 风险应对策略矩阵</w:t>
      </w:r>
    </w:p>
    <w:p w14:paraId="330873A3">
      <w:pPr>
        <w:jc w:val="both"/>
      </w:pPr>
      <w:r>
        <w:rPr>
          <w:rFonts w:ascii="仿宋_GB2312" w:hAnsi="仿宋_GB2312"/>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6648FF71">
      <w:pPr>
        <w:jc w:val="both"/>
      </w:pPr>
      <w:r>
        <w:rPr>
          <w:rFonts w:ascii="仿宋_GB2312" w:hAnsi="仿宋_GB2312"/>
        </w:rPr>
        <w:t xml:space="preserve">转移与预案类措施主要用于数据授权、保密协议、服务器备份、关键岗位交接和异常情况处置等环节，目的在于防止单点问题演变为系统性风险。当前阶段更有效的做法，是把样本、系统、合同和交付流程中的关键节点固化成标准动作。 </w:t>
      </w:r>
    </w:p>
    <w:p w14:paraId="197C79FB">
      <w:pPr>
        <w:pStyle w:val="4"/>
        <w:ind w:firstLine="0"/>
      </w:pPr>
      <w:r>
        <w:rPr>
          <w:rFonts w:ascii="楷体_GB2312" w:hAnsi="楷体_GB2312" w:eastAsia="楷体_GB2312"/>
        </w:rPr>
        <w:t>10.9 关键风险指标监控建议</w:t>
      </w:r>
    </w:p>
    <w:p w14:paraId="57604330">
      <w:pPr>
        <w:jc w:val="both"/>
      </w:pPr>
      <w:r>
        <w:rPr>
          <w:rFonts w:ascii="仿宋_GB2312" w:hAnsi="仿宋_GB2312"/>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22FE5A56">
      <w:pPr>
        <w:jc w:val="both"/>
      </w:pPr>
      <w:r>
        <w:rPr>
          <w:rFonts w:ascii="仿宋_GB2312" w:hAnsi="仿宋_GB2312"/>
        </w:rPr>
        <w:t xml:space="preserve">建议按月形成经营与技术联合复盘机制，对高频指标持续跟踪，对异常波动指标及时定位到样本、模型、交付或客户流程。对年度账号转化率、跨批次准确率、报告返工率和可用现金覆盖月数这类关键指标，还应设置预警阈值，一旦连续两期偏离目标，就立即触发专题复盘和纠偏动作。后续落地质量，很大程度上取决于这些指标能否被长期记录并据此调整策略。 </w:t>
      </w:r>
    </w:p>
    <w:sectPr>
      <w:pgSz w:w="11906" w:h="16838"/>
      <w:pgMar w:top="1417" w:right="1417" w:bottom="1417" w:left="1417" w:header="850" w:footer="992" w:gutter="0"/>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mbria">
    <w:panose1 w:val="02040503050406030204"/>
    <w:charset w:val="00"/>
    <w:family w:val="roman"/>
    <w:pitch w:val="default"/>
    <w:sig w:usb0="E00006FF" w:usb1="420024FF" w:usb2="02000000" w:usb3="00000000" w:csb0="2000019F" w:csb1="00000000"/>
  </w:font>
  <w:font w:name="ＭＳ 明朝">
    <w:altName w:val="宋体"/>
    <w:panose1 w:val="00000000000000000000"/>
    <w:charset w:val="86"/>
    <w:family w:val="auto"/>
    <w:pitch w:val="default"/>
    <w:sig w:usb0="00000000" w:usb1="00000000" w:usb2="00000000" w:usb3="00000000" w:csb0="00000000" w:csb1="00000000"/>
  </w:font>
  <w:font w:name="仿宋_GB2312">
    <w:altName w:val="仿宋"/>
    <w:panose1 w:val="00000000000000000000"/>
    <w:charset w:val="86"/>
    <w:family w:val="roman"/>
    <w:pitch w:val="default"/>
    <w:sig w:usb0="00000000" w:usb1="00000000" w:usb2="00000000" w:usb3="00000000" w:csb0="00000000" w:csb1="00000000"/>
  </w:font>
  <w:font w:name="MS Gothic">
    <w:panose1 w:val="020B0609070205080204"/>
    <w:charset w:val="80"/>
    <w:family w:val="auto"/>
    <w:pitch w:val="default"/>
    <w:sig w:usb0="E00002FF" w:usb1="6AC7FDFB" w:usb2="08000012" w:usb3="00000000" w:csb0="4002009F" w:csb1="DFD70000"/>
  </w:font>
  <w:font w:name="Courier">
    <w:altName w:val="Courier New"/>
    <w:panose1 w:val="02070409020205020404"/>
    <w:charset w:val="00"/>
    <w:family w:val="auto"/>
    <w:pitch w:val="default"/>
    <w:sig w:usb0="00000000" w:usb1="00000000" w:usb2="00000000" w:usb3="00000000" w:csb0="00000001" w:csb1="00000000"/>
  </w:font>
  <w:font w:name="楷体_GB2312">
    <w:altName w:val="楷体"/>
    <w:panose1 w:val="00000000000000000000"/>
    <w:charset w:val="86"/>
    <w:family w:val="roman"/>
    <w:pitch w:val="default"/>
    <w:sig w:usb0="00000000" w:usb1="00000000" w:usb2="00000000" w:usb3="00000000" w:csb0="00000000" w:csb1="00000000"/>
  </w:font>
  <w:font w:name="ＭＳ 明朝">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仿宋">
    <w:panose1 w:val="02010609060101010101"/>
    <w:charset w:val="86"/>
    <w:family w:val="auto"/>
    <w:pitch w:val="default"/>
    <w:sig w:usb0="800002BF" w:usb1="38CF7CFA" w:usb2="00000016" w:usb3="00000000" w:csb0="00040001" w:csb1="00000000"/>
  </w:font>
  <w:font w:name="楷体">
    <w:panose1 w:val="02010609060101010101"/>
    <w:charset w:val="86"/>
    <w:family w:val="auto"/>
    <w:pitch w:val="default"/>
    <w:sig w:usb0="800002BF" w:usb1="38CF7CFA" w:usb2="00000016" w:usb3="00000000" w:csb0="00040001" w:csb1="00000000"/>
  </w:font>
  <w:font w:name="仿宋_GB2312">
    <w:altName w:val="仿宋"/>
    <w:panose1 w:val="00000000000000000000"/>
    <w:charset w:val="00"/>
    <w:family w:val="auto"/>
    <w:pitch w:val="default"/>
    <w:sig w:usb0="00000000" w:usb1="00000000" w:usb2="00000000" w:usb3="00000000" w:csb0="00000000" w:csb1="00000000"/>
  </w:font>
  <w:font w:name="Courier New">
    <w:panose1 w:val="02070309020205020404"/>
    <w:charset w:val="00"/>
    <w:family w:val="auto"/>
    <w:pitch w:val="default"/>
    <w:sig w:usb0="E0002EFF" w:usb1="C0007843" w:usb2="00000009" w:usb3="00000000" w:csb0="400001FF" w:csb1="FFFF0000"/>
  </w:font>
  <w:font w:name="Cambria Math">
    <w:panose1 w:val="02040503050406030204"/>
    <w:charset w:val="00"/>
    <w:family w:val="roman"/>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3EF2D88E">
    <w:pPr>
      <w:pStyle w:val="24"/>
      <w:spacing w:line="500" w:lineRule="exact"/>
      <w:ind w:firstLine="0"/>
      <w:jc w:val="center"/>
    </w:pPr>
    <w:r>
      <w:rPr>
        <w:rFonts w:eastAsia="Times New Roman"/>
      </w:rPr>
      <w:fldChar w:fldCharType="begin"/>
    </w:r>
    <w:r>
      <w:rPr>
        <w:rFonts w:eastAsia="Times New Roman"/>
      </w:rPr>
      <w:instrText xml:space="preserve">PAGE</w:instrText>
    </w:r>
    <w:r>
      <w:rPr>
        <w:rFonts w:eastAsia="Times New Roman"/>
      </w:rPr>
      <w:fldChar w:fldCharType="separate"/>
    </w:r>
    <w:r>
      <w:rPr>
        <w:rFonts w:eastAsia="Times New Roman"/>
      </w:rPr>
      <w:t>1</w:t>
    </w:r>
    <w:r>
      <w:rPr>
        <w:rFonts w:eastAsia="Times New Roman"/>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40" w:lineRule="auto"/>
      </w:pPr>
      <w:r>
        <w:separator/>
      </w:r>
    </w:p>
  </w:footnote>
  <w:footnote w:type="continuationSeparator" w:id="1">
    <w:p>
      <w:pPr>
        <w:spacing w:before="0"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FF2FA57"/>
    <w:multiLevelType w:val="singleLevel"/>
    <w:tmpl w:val="8FF2FA57"/>
    <w:lvl w:ilvl="0" w:tentative="0">
      <w:start w:val="8"/>
      <w:numFmt w:val="chineseCounting"/>
      <w:suff w:val="space"/>
      <w:lvlText w:val="第%1章"/>
      <w:lvlJc w:val="left"/>
      <w:rPr>
        <w:rFonts w:hint="eastAsia"/>
      </w:rPr>
    </w:lvl>
  </w:abstractNum>
  <w:abstractNum w:abstractNumId="1">
    <w:nsid w:val="FFFFFF7E"/>
    <w:multiLevelType w:val="singleLevel"/>
    <w:tmpl w:val="FFFFFF7E"/>
    <w:lvl w:ilvl="0" w:tentative="0">
      <w:start w:val="1"/>
      <w:numFmt w:val="decimal"/>
      <w:pStyle w:val="20"/>
      <w:lvlText w:val="%1."/>
      <w:lvlJc w:val="left"/>
      <w:pPr>
        <w:tabs>
          <w:tab w:val="left" w:pos="1080"/>
        </w:tabs>
        <w:ind w:left="1080" w:hanging="360"/>
      </w:pPr>
    </w:lvl>
  </w:abstractNum>
  <w:abstractNum w:abstractNumId="2">
    <w:nsid w:val="FFFFFF7F"/>
    <w:multiLevelType w:val="singleLevel"/>
    <w:tmpl w:val="FFFFFF7F"/>
    <w:lvl w:ilvl="0" w:tentative="0">
      <w:start w:val="1"/>
      <w:numFmt w:val="decimal"/>
      <w:pStyle w:val="13"/>
      <w:lvlText w:val="%1."/>
      <w:lvlJc w:val="left"/>
      <w:pPr>
        <w:tabs>
          <w:tab w:val="left" w:pos="720"/>
        </w:tabs>
        <w:ind w:left="720" w:hanging="360"/>
      </w:pPr>
    </w:lvl>
  </w:abstractNum>
  <w:abstractNum w:abstractNumId="3">
    <w:nsid w:val="FFFFFF82"/>
    <w:multiLevelType w:val="singleLevel"/>
    <w:tmpl w:val="FFFFFF82"/>
    <w:lvl w:ilvl="0" w:tentative="0">
      <w:start w:val="1"/>
      <w:numFmt w:val="bullet"/>
      <w:pStyle w:val="18"/>
      <w:lvlText w:val=""/>
      <w:lvlJc w:val="left"/>
      <w:pPr>
        <w:tabs>
          <w:tab w:val="left" w:pos="1080"/>
        </w:tabs>
        <w:ind w:left="1080" w:hanging="360"/>
      </w:pPr>
      <w:rPr>
        <w:rFonts w:hint="default" w:ascii="Symbol" w:hAnsi="Symbol"/>
      </w:rPr>
    </w:lvl>
  </w:abstractNum>
  <w:abstractNum w:abstractNumId="4">
    <w:nsid w:val="FFFFFF83"/>
    <w:multiLevelType w:val="singleLevel"/>
    <w:tmpl w:val="FFFFFF83"/>
    <w:lvl w:ilvl="0" w:tentative="0">
      <w:start w:val="1"/>
      <w:numFmt w:val="bullet"/>
      <w:pStyle w:val="23"/>
      <w:lvlText w:val=""/>
      <w:lvlJc w:val="left"/>
      <w:pPr>
        <w:tabs>
          <w:tab w:val="left" w:pos="720"/>
        </w:tabs>
        <w:ind w:left="720" w:hanging="360"/>
      </w:pPr>
      <w:rPr>
        <w:rFonts w:hint="default" w:ascii="Symbol" w:hAnsi="Symbol"/>
      </w:rPr>
    </w:lvl>
  </w:abstractNum>
  <w:abstractNum w:abstractNumId="5">
    <w:nsid w:val="FFFFFF88"/>
    <w:multiLevelType w:val="singleLevel"/>
    <w:tmpl w:val="FFFFFF88"/>
    <w:lvl w:ilvl="0" w:tentative="0">
      <w:start w:val="1"/>
      <w:numFmt w:val="decimal"/>
      <w:pStyle w:val="14"/>
      <w:lvlText w:val="%1."/>
      <w:lvlJc w:val="left"/>
      <w:pPr>
        <w:tabs>
          <w:tab w:val="left" w:pos="360"/>
        </w:tabs>
        <w:ind w:left="360" w:hanging="360"/>
      </w:pPr>
    </w:lvl>
  </w:abstractNum>
  <w:abstractNum w:abstractNumId="6">
    <w:nsid w:val="FFFFFF89"/>
    <w:multiLevelType w:val="singleLevel"/>
    <w:tmpl w:val="FFFFFF89"/>
    <w:lvl w:ilvl="0" w:tentative="0">
      <w:start w:val="1"/>
      <w:numFmt w:val="bullet"/>
      <w:pStyle w:val="16"/>
      <w:lvlText w:val=""/>
      <w:lvlJc w:val="left"/>
      <w:pPr>
        <w:tabs>
          <w:tab w:val="left" w:pos="360"/>
        </w:tabs>
        <w:ind w:left="360" w:hanging="360"/>
      </w:pPr>
      <w:rPr>
        <w:rFonts w:hint="default" w:ascii="Symbol" w:hAnsi="Symbol"/>
      </w:rPr>
    </w:lvl>
  </w:abstractNum>
  <w:num w:numId="1">
    <w:abstractNumId w:val="2"/>
  </w:num>
  <w:num w:numId="2">
    <w:abstractNumId w:val="5"/>
  </w:num>
  <w:num w:numId="3">
    <w:abstractNumId w:val="6"/>
  </w:num>
  <w:num w:numId="4">
    <w:abstractNumId w:val="3"/>
  </w:num>
  <w:num w:numId="5">
    <w:abstractNumId w:val="1"/>
  </w:num>
  <w:num w:numId="6">
    <w:abstractNumId w:val="4"/>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0"/>
  <w:bordersDoNotSurroundHeader w:val="1"/>
  <w:bordersDoNotSurroundFooter w:val="1"/>
  <w:documentProtection w:enforcement="0"/>
  <w:defaultTabStop w:val="720"/>
  <w:characterSpacingControl w:val="doNotCompress"/>
  <w:footnotePr>
    <w:footnote w:id="0"/>
    <w:footnote w:id="1"/>
  </w:footnotePr>
  <w:endnotePr>
    <w:endnote w:id="0"/>
    <w:endnote w:id="1"/>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8149C"/>
    <w:rsid w:val="0029639D"/>
    <w:rsid w:val="00310CDD"/>
    <w:rsid w:val="00326F90"/>
    <w:rsid w:val="00847971"/>
    <w:rsid w:val="00AA1D8D"/>
    <w:rsid w:val="00B47730"/>
    <w:rsid w:val="00CB0664"/>
    <w:rsid w:val="00E07EFD"/>
    <w:rsid w:val="00FC693F"/>
    <w:rsid w:val="1AF8515B"/>
    <w:rsid w:val="4AC0632C"/>
    <w:rsid w:val="57EE3633"/>
    <w:rsid w:val="679C6C08"/>
  </w:rsids>
  <m:mathPr>
    <m:mathFont m:val="Cambria Math"/>
    <m:brkBin m:val="before"/>
    <m:brkBinSub m:val="--"/>
    <m:smallFrac m:val="0"/>
    <m:dispDef/>
    <m:lMargin m:val="0"/>
    <m:rMargin m:val="0"/>
    <m:defJc m:val="centerGroup"/>
    <m:wrapIndent m:val="1440"/>
    <m:intLim m:val="subSup"/>
    <m:naryLim m:val="undOvr"/>
  </m:mathPr>
  <w:doNotAutoCompressPictures/>
  <w:themeFontLang w:val="en-US" w:eastAsia="ja-JP"/>
  <w:clrSchemeMapping w:bg1="light1" w:t1="dark1" w:bg2="light2" w:t2="dark2" w:accent1="accent1" w:accent2="accent2" w:accent3="accent3" w:accent4="accent4" w:accent5="accent5" w:accent6="accent6" w:hyperlink="hyperlink" w:followedHyperlink="followedHyperlink"/>
  <w:doNotIncludeSubdocsInStats/>
  <w14:defaultImageDpi w14:val="300"/>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qFormat="1" w:uiPriority="99" w:semiHidden="0" w:name="macro"/>
    <w:lsdException w:uiPriority="99" w:name="toa heading"/>
    <w:lsdException w:qFormat="1" w:uiPriority="99" w:semiHidden="0" w:name="List"/>
    <w:lsdException w:qFormat="1" w:uiPriority="99" w:semiHidden="0" w:name="List Bullet"/>
    <w:lsdException w:qFormat="1" w:uiPriority="99" w:semiHidden="0" w:name="List Number"/>
    <w:lsdException w:qFormat="1" w:uiPriority="99" w:semiHidden="0" w:name="List 2"/>
    <w:lsdException w:qFormat="1" w:uiPriority="99" w:semiHidden="0" w:name="List 3"/>
    <w:lsdException w:uiPriority="99" w:name="List 4"/>
    <w:lsdException w:uiPriority="99" w:name="List 5"/>
    <w:lsdException w:qFormat="1" w:uiPriority="99" w:semiHidden="0" w:name="List Bullet 2"/>
    <w:lsdException w:qFormat="1" w:uiPriority="99" w:semiHidden="0" w:name="List Bullet 3"/>
    <w:lsdException w:uiPriority="99" w:name="List Bullet 4"/>
    <w:lsdException w:uiPriority="99" w:name="List Bullet 5"/>
    <w:lsdException w:qFormat="1" w:uiPriority="99" w:semiHidden="0" w:name="List Number 2"/>
    <w:lsdException w:qFormat="1" w:uiPriority="99" w:semiHidden="0"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qFormat="1" w:uiPriority="99" w:semiHidden="0" w:name="Body Text"/>
    <w:lsdException w:uiPriority="99" w:name="Body Text Indent"/>
    <w:lsdException w:qFormat="1" w:uiPriority="99" w:semiHidden="0" w:name="List Continue"/>
    <w:lsdException w:qFormat="1" w:uiPriority="99" w:semiHidden="0" w:name="List Continue 2"/>
    <w:lsdException w:qFormat="1" w:uiPriority="99" w:semiHidden="0"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qFormat="1" w:uiPriority="99" w:semiHidden="0" w:name="Body Text 2"/>
    <w:lsdException w:qFormat="1" w:uiPriority="99" w:semiHidden="0"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nhideWhenUsed="0" w:uiPriority="0"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1" w:semiHidden="0" w:name="No Spacing"/>
    <w:lsdException w:qFormat="1" w:unhideWhenUsed="0" w:uiPriority="60" w:semiHidden="0" w:name="Light Shading"/>
    <w:lsdException w:qFormat="1" w:unhideWhenUsed="0" w:uiPriority="61" w:semiHidden="0" w:name="Light List"/>
    <w:lsdException w:qFormat="1" w:unhideWhenUsed="0" w:uiPriority="62" w:semiHidden="0" w:name="Light Grid"/>
    <w:lsdException w:qFormat="1" w:unhideWhenUsed="0" w:uiPriority="63" w:semiHidden="0" w:name="Medium Shading 1"/>
    <w:lsdException w:qFormat="1" w:unhideWhenUsed="0" w:uiPriority="64" w:semiHidden="0" w:name="Medium Shading 2"/>
    <w:lsdException w:qFormat="1" w:unhideWhenUsed="0" w:uiPriority="65" w:semiHidden="0" w:name="Medium List 1"/>
    <w:lsdException w:qFormat="1" w:unhideWhenUsed="0" w:uiPriority="66" w:semiHidden="0" w:name="Medium List 2"/>
    <w:lsdException w:qFormat="1" w:unhideWhenUsed="0" w:uiPriority="67" w:semiHidden="0" w:name="Medium Grid 1"/>
    <w:lsdException w:qFormat="1" w:unhideWhenUsed="0" w:uiPriority="68" w:semiHidden="0" w:name="Medium Grid 2"/>
    <w:lsdException w:qFormat="1" w:unhideWhenUsed="0" w:uiPriority="69" w:semiHidden="0" w:name="Medium Grid 3"/>
    <w:lsdException w:qFormat="1" w:unhideWhenUsed="0" w:uiPriority="70" w:semiHidden="0" w:name="Dark List"/>
    <w:lsdException w:qFormat="1" w:unhideWhenUsed="0" w:uiPriority="71" w:semiHidden="0" w:name="Colorful Shading"/>
    <w:lsdException w:qFormat="1" w:unhideWhenUsed="0" w:uiPriority="72" w:semiHidden="0" w:name="Colorful List"/>
    <w:lsdException w:qFormat="1" w:unhideWhenUsed="0" w:uiPriority="73" w:semiHidden="0" w:name="Colorful Grid"/>
    <w:lsdException w:qFormat="1" w:unhideWhenUsed="0" w:uiPriority="60" w:semiHidden="0" w:name="Light Shading Accent 1"/>
    <w:lsdException w:qFormat="1" w:unhideWhenUsed="0" w:uiPriority="61" w:semiHidden="0" w:name="Light List Accent 1"/>
    <w:lsdException w:qFormat="1" w:unhideWhenUsed="0" w:uiPriority="62" w:semiHidden="0" w:name="Light Grid Accent 1"/>
    <w:lsdException w:qFormat="1" w:unhideWhenUsed="0" w:uiPriority="63" w:semiHidden="0" w:name="Medium Shading 1 Accent 1"/>
    <w:lsdException w:qFormat="1" w:unhideWhenUsed="0" w:uiPriority="64" w:semiHidden="0" w:name="Medium Shading 2 Accent 1"/>
    <w:lsdException w:qFormat="1" w:unhideWhenUsed="0" w:uiPriority="65" w:semiHidden="0" w:name="Medium List 1 Accent 1"/>
    <w:lsdException w:qFormat="1" w:unhideWhenUsed="0" w:uiPriority="34" w:semiHidden="0" w:name="List Paragraph"/>
    <w:lsdException w:qFormat="1" w:unhideWhenUsed="0" w:uiPriority="29" w:semiHidden="0" w:name="Quote"/>
    <w:lsdException w:qFormat="1" w:unhideWhenUsed="0" w:uiPriority="30" w:semiHidden="0" w:name="Intense Quote"/>
    <w:lsdException w:qFormat="1" w:unhideWhenUsed="0" w:uiPriority="66" w:semiHidden="0" w:name="Medium List 2 Accent 1"/>
    <w:lsdException w:qFormat="1" w:unhideWhenUsed="0" w:uiPriority="67" w:semiHidden="0" w:name="Medium Grid 1 Accent 1"/>
    <w:lsdException w:qFormat="1" w:unhideWhenUsed="0" w:uiPriority="68" w:semiHidden="0" w:name="Medium Grid 2 Accent 1"/>
    <w:lsdException w:qFormat="1" w:unhideWhenUsed="0" w:uiPriority="69" w:semiHidden="0" w:name="Medium Grid 3 Accent 1"/>
    <w:lsdException w:qFormat="1" w:unhideWhenUsed="0" w:uiPriority="70" w:semiHidden="0" w:name="Dark List Accent 1"/>
    <w:lsdException w:qFormat="1" w:unhideWhenUsed="0" w:uiPriority="71" w:semiHidden="0" w:name="Colorful Shading Accent 1"/>
    <w:lsdException w:qFormat="1" w:unhideWhenUsed="0" w:uiPriority="72" w:semiHidden="0" w:name="Colorful List Accent 1"/>
    <w:lsdException w:qFormat="1" w:unhideWhenUsed="0" w:uiPriority="73" w:semiHidden="0" w:name="Colorful Grid Accent 1"/>
    <w:lsdException w:qFormat="1" w:unhideWhenUsed="0" w:uiPriority="60" w:semiHidden="0" w:name="Light Shading Accent 2"/>
    <w:lsdException w:qFormat="1" w:unhideWhenUsed="0" w:uiPriority="61" w:semiHidden="0" w:name="Light List Accent 2"/>
    <w:lsdException w:qFormat="1" w:unhideWhenUsed="0" w:uiPriority="62" w:semiHidden="0" w:name="Light Grid Accent 2"/>
    <w:lsdException w:qFormat="1" w:unhideWhenUsed="0" w:uiPriority="63" w:semiHidden="0" w:name="Medium Shading 1 Accent 2"/>
    <w:lsdException w:qFormat="1" w:unhideWhenUsed="0" w:uiPriority="64" w:semiHidden="0" w:name="Medium Shading 2 Accent 2"/>
    <w:lsdException w:qFormat="1" w:unhideWhenUsed="0" w:uiPriority="65" w:semiHidden="0" w:name="Medium List 1 Accent 2"/>
    <w:lsdException w:qFormat="1" w:unhideWhenUsed="0" w:uiPriority="66" w:semiHidden="0" w:name="Medium List 2 Accent 2"/>
    <w:lsdException w:qFormat="1" w:unhideWhenUsed="0" w:uiPriority="67" w:semiHidden="0" w:name="Medium Grid 1 Accent 2"/>
    <w:lsdException w:qFormat="1" w:unhideWhenUsed="0" w:uiPriority="68" w:semiHidden="0" w:name="Medium Grid 2 Accent 2"/>
    <w:lsdException w:qFormat="1" w:unhideWhenUsed="0" w:uiPriority="69" w:semiHidden="0" w:name="Medium Grid 3 Accent 2"/>
    <w:lsdException w:qFormat="1" w:unhideWhenUsed="0" w:uiPriority="70" w:semiHidden="0" w:name="Dark List Accent 2"/>
    <w:lsdException w:qFormat="1" w:unhideWhenUsed="0" w:uiPriority="71" w:semiHidden="0" w:name="Colorful Shading Accent 2"/>
    <w:lsdException w:qFormat="1" w:unhideWhenUsed="0" w:uiPriority="72" w:semiHidden="0" w:name="Colorful List Accent 2"/>
    <w:lsdException w:qFormat="1" w:unhideWhenUsed="0" w:uiPriority="73" w:semiHidden="0" w:name="Colorful Grid Accent 2"/>
    <w:lsdException w:qFormat="1" w:unhideWhenUsed="0" w:uiPriority="60" w:semiHidden="0" w:name="Light Shading Accent 3"/>
    <w:lsdException w:qFormat="1" w:unhideWhenUsed="0" w:uiPriority="61" w:semiHidden="0" w:name="Light List Accent 3"/>
    <w:lsdException w:qFormat="1" w:unhideWhenUsed="0" w:uiPriority="62" w:semiHidden="0" w:name="Light Grid Accent 3"/>
    <w:lsdException w:qFormat="1" w:unhideWhenUsed="0" w:uiPriority="63" w:semiHidden="0" w:name="Medium Shading 1 Accent 3"/>
    <w:lsdException w:qFormat="1" w:unhideWhenUsed="0" w:uiPriority="64" w:semiHidden="0" w:name="Medium Shading 2 Accent 3"/>
    <w:lsdException w:qFormat="1" w:unhideWhenUsed="0" w:uiPriority="65" w:semiHidden="0" w:name="Medium List 1 Accent 3"/>
    <w:lsdException w:qFormat="1" w:unhideWhenUsed="0" w:uiPriority="66" w:semiHidden="0" w:name="Medium List 2 Accent 3"/>
    <w:lsdException w:qFormat="1" w:unhideWhenUsed="0" w:uiPriority="67" w:semiHidden="0" w:name="Medium Grid 1 Accent 3"/>
    <w:lsdException w:qFormat="1" w:unhideWhenUsed="0" w:uiPriority="68" w:semiHidden="0" w:name="Medium Grid 2 Accent 3"/>
    <w:lsdException w:qFormat="1" w:unhideWhenUsed="0" w:uiPriority="69" w:semiHidden="0" w:name="Medium Grid 3 Accent 3"/>
    <w:lsdException w:qFormat="1" w:unhideWhenUsed="0" w:uiPriority="70" w:semiHidden="0" w:name="Dark List Accent 3"/>
    <w:lsdException w:qFormat="1" w:unhideWhenUsed="0" w:uiPriority="71" w:semiHidden="0" w:name="Colorful Shading Accent 3"/>
    <w:lsdException w:qFormat="1" w:unhideWhenUsed="0" w:uiPriority="72" w:semiHidden="0" w:name="Colorful List Accent 3"/>
    <w:lsdException w:qFormat="1" w:unhideWhenUsed="0" w:uiPriority="73" w:semiHidden="0" w:name="Colorful Grid Accent 3"/>
    <w:lsdException w:qFormat="1" w:unhideWhenUsed="0" w:uiPriority="60" w:semiHidden="0" w:name="Light Shading Accent 4"/>
    <w:lsdException w:qFormat="1" w:unhideWhenUsed="0" w:uiPriority="61" w:semiHidden="0" w:name="Light List Accent 4"/>
    <w:lsdException w:qFormat="1" w:unhideWhenUsed="0" w:uiPriority="62" w:semiHidden="0" w:name="Light Grid Accent 4"/>
    <w:lsdException w:qFormat="1" w:unhideWhenUsed="0" w:uiPriority="63" w:semiHidden="0" w:name="Medium Shading 1 Accent 4"/>
    <w:lsdException w:qFormat="1" w:unhideWhenUsed="0" w:uiPriority="64" w:semiHidden="0" w:name="Medium Shading 2 Accent 4"/>
    <w:lsdException w:qFormat="1" w:unhideWhenUsed="0" w:uiPriority="65" w:semiHidden="0" w:name="Medium List 1 Accent 4"/>
    <w:lsdException w:qFormat="1" w:unhideWhenUsed="0" w:uiPriority="66" w:semiHidden="0" w:name="Medium List 2 Accent 4"/>
    <w:lsdException w:qFormat="1" w:unhideWhenUsed="0" w:uiPriority="67" w:semiHidden="0" w:name="Medium Grid 1 Accent 4"/>
    <w:lsdException w:qFormat="1" w:unhideWhenUsed="0" w:uiPriority="68" w:semiHidden="0" w:name="Medium Grid 2 Accent 4"/>
    <w:lsdException w:qFormat="1" w:unhideWhenUsed="0" w:uiPriority="69" w:semiHidden="0" w:name="Medium Grid 3 Accent 4"/>
    <w:lsdException w:qFormat="1" w:unhideWhenUsed="0" w:uiPriority="70" w:semiHidden="0" w:name="Dark List Accent 4"/>
    <w:lsdException w:qFormat="1" w:unhideWhenUsed="0" w:uiPriority="71" w:semiHidden="0" w:name="Colorful Shading Accent 4"/>
    <w:lsdException w:qFormat="1" w:unhideWhenUsed="0" w:uiPriority="72" w:semiHidden="0" w:name="Colorful List Accent 4"/>
    <w:lsdException w:qFormat="1" w:unhideWhenUsed="0" w:uiPriority="73" w:semiHidden="0" w:name="Colorful Grid Accent 4"/>
    <w:lsdException w:qFormat="1" w:unhideWhenUsed="0" w:uiPriority="60" w:semiHidden="0" w:name="Light Shading Accent 5"/>
    <w:lsdException w:qFormat="1" w:unhideWhenUsed="0" w:uiPriority="61" w:semiHidden="0" w:name="Light List Accent 5"/>
    <w:lsdException w:qFormat="1" w:unhideWhenUsed="0" w:uiPriority="62" w:semiHidden="0" w:name="Light Grid Accent 5"/>
    <w:lsdException w:qFormat="1" w:unhideWhenUsed="0" w:uiPriority="63" w:semiHidden="0" w:name="Medium Shading 1 Accent 5"/>
    <w:lsdException w:qFormat="1" w:unhideWhenUsed="0" w:uiPriority="64" w:semiHidden="0" w:name="Medium Shading 2 Accent 5"/>
    <w:lsdException w:qFormat="1" w:unhideWhenUsed="0" w:uiPriority="65" w:semiHidden="0" w:name="Medium List 1 Accent 5"/>
    <w:lsdException w:qFormat="1" w:unhideWhenUsed="0" w:uiPriority="66" w:semiHidden="0" w:name="Medium List 2 Accent 5"/>
    <w:lsdException w:qFormat="1" w:unhideWhenUsed="0" w:uiPriority="67" w:semiHidden="0" w:name="Medium Grid 1 Accent 5"/>
    <w:lsdException w:qFormat="1" w:unhideWhenUsed="0" w:uiPriority="68" w:semiHidden="0" w:name="Medium Grid 2 Accent 5"/>
    <w:lsdException w:qFormat="1" w:unhideWhenUsed="0" w:uiPriority="69" w:semiHidden="0" w:name="Medium Grid 3 Accent 5"/>
    <w:lsdException w:qFormat="1" w:unhideWhenUsed="0" w:uiPriority="70" w:semiHidden="0" w:name="Dark List Accent 5"/>
    <w:lsdException w:qFormat="1" w:unhideWhenUsed="0" w:uiPriority="71" w:semiHidden="0" w:name="Colorful Shading Accent 5"/>
    <w:lsdException w:qFormat="1" w:unhideWhenUsed="0" w:uiPriority="72" w:semiHidden="0" w:name="Colorful List Accent 5"/>
    <w:lsdException w:qFormat="1" w:unhideWhenUsed="0" w:uiPriority="73" w:semiHidden="0" w:name="Colorful Grid Accent 5"/>
    <w:lsdException w:qFormat="1" w:unhideWhenUsed="0" w:uiPriority="60" w:semiHidden="0" w:name="Light Shading Accent 6"/>
    <w:lsdException w:qFormat="1" w:unhideWhenUsed="0" w:uiPriority="61" w:semiHidden="0" w:name="Light List Accent 6"/>
    <w:lsdException w:qFormat="1" w:unhideWhenUsed="0" w:uiPriority="62" w:semiHidden="0" w:name="Light Grid Accent 6"/>
    <w:lsdException w:qFormat="1" w:unhideWhenUsed="0" w:uiPriority="63" w:semiHidden="0" w:name="Medium Shading 1 Accent 6"/>
    <w:lsdException w:qFormat="1" w:unhideWhenUsed="0" w:uiPriority="64" w:semiHidden="0" w:name="Medium Shading 2 Accent 6"/>
    <w:lsdException w:qFormat="1" w:unhideWhenUsed="0" w:uiPriority="65" w:semiHidden="0" w:name="Medium List 1 Accent 6"/>
    <w:lsdException w:qFormat="1" w:unhideWhenUsed="0" w:uiPriority="66" w:semiHidden="0" w:name="Medium List 2 Accent 6"/>
    <w:lsdException w:qFormat="1" w:unhideWhenUsed="0" w:uiPriority="67" w:semiHidden="0" w:name="Medium Grid 1 Accent 6"/>
    <w:lsdException w:qFormat="1" w:unhideWhenUsed="0" w:uiPriority="68" w:semiHidden="0" w:name="Medium Grid 2 Accent 6"/>
    <w:lsdException w:qFormat="1" w:unhideWhenUsed="0" w:uiPriority="69" w:semiHidden="0" w:name="Medium Grid 3 Accent 6"/>
    <w:lsdException w:qFormat="1" w:unhideWhenUsed="0" w:uiPriority="70" w:semiHidden="0" w:name="Dark List Accent 6"/>
    <w:lsdException w:qFormat="1" w:unhideWhenUsed="0" w:uiPriority="71" w:semiHidden="0" w:name="Colorful Shading Accent 6"/>
    <w:lsdException w:qFormat="1" w:unhideWhenUsed="0" w:uiPriority="72" w:semiHidden="0" w:name="Colorful List Accent 6"/>
    <w:lsdException w:qFormat="1" w:unhideWhenUsed="0" w:uiPriority="73" w:semiHidden="0" w:name="Colorful Grid Accent 6"/>
  </w:latentStyles>
  <w:style w:type="paragraph" w:default="1" w:styleId="1">
    <w:name w:val="Normal"/>
    <w:qFormat/>
    <w:uiPriority w:val="0"/>
    <w:pPr>
      <w:spacing w:after="0" w:line="500" w:lineRule="exact"/>
      <w:ind w:firstLine="480"/>
    </w:pPr>
    <w:rPr>
      <w:rFonts w:ascii="Times New Roman" w:hAnsi="Times New Roman" w:eastAsia="仿宋_GB2312" w:cstheme="minorBidi"/>
      <w:sz w:val="24"/>
      <w:szCs w:val="22"/>
      <w:lang w:val="en-US" w:eastAsia="en-US" w:bidi="ar-SA"/>
    </w:rPr>
  </w:style>
  <w:style w:type="paragraph" w:styleId="3">
    <w:name w:val="heading 1"/>
    <w:basedOn w:val="1"/>
    <w:next w:val="1"/>
    <w:link w:val="139"/>
    <w:qFormat/>
    <w:uiPriority w:val="9"/>
    <w:pPr>
      <w:keepNext/>
      <w:keepLines/>
      <w:outlineLvl w:val="0"/>
    </w:pPr>
    <w:rPr>
      <w:rFonts w:asciiTheme="majorHAnsi" w:hAnsiTheme="majorHAnsi" w:eastAsiaTheme="majorEastAsia" w:cstheme="majorBidi"/>
      <w:bCs/>
      <w:color w:val="376092" w:themeColor="accent1" w:themeShade="BF"/>
      <w:sz w:val="32"/>
      <w:szCs w:val="28"/>
    </w:rPr>
  </w:style>
  <w:style w:type="paragraph" w:styleId="4">
    <w:name w:val="heading 2"/>
    <w:basedOn w:val="1"/>
    <w:next w:val="1"/>
    <w:link w:val="140"/>
    <w:unhideWhenUsed/>
    <w:qFormat/>
    <w:uiPriority w:val="9"/>
    <w:pPr>
      <w:keepNext/>
      <w:keepLines/>
      <w:outlineLvl w:val="1"/>
    </w:pPr>
    <w:rPr>
      <w:rFonts w:asciiTheme="majorHAnsi" w:hAnsiTheme="majorHAnsi" w:eastAsiaTheme="majorEastAsia" w:cstheme="majorBidi"/>
      <w:bCs/>
      <w:color w:val="4F81BD" w:themeColor="accent1"/>
      <w:sz w:val="32"/>
      <w:szCs w:val="26"/>
      <w14:textFill>
        <w14:solidFill>
          <w14:schemeClr w14:val="accent1"/>
        </w14:solidFill>
      </w14:textFill>
    </w:rPr>
  </w:style>
  <w:style w:type="paragraph" w:styleId="5">
    <w:name w:val="heading 3"/>
    <w:basedOn w:val="1"/>
    <w:next w:val="1"/>
    <w:link w:val="141"/>
    <w:unhideWhenUsed/>
    <w:qFormat/>
    <w:uiPriority w:val="9"/>
    <w:pPr>
      <w:keepNext/>
      <w:keepLines/>
      <w:outlineLvl w:val="2"/>
    </w:pPr>
    <w:rPr>
      <w:rFonts w:asciiTheme="majorHAnsi" w:hAnsiTheme="majorHAnsi" w:eastAsiaTheme="majorEastAsia" w:cstheme="majorBidi"/>
      <w:bCs/>
      <w:color w:val="4F81BD" w:themeColor="accent1"/>
      <w:sz w:val="28"/>
      <w14:textFill>
        <w14:solidFill>
          <w14:schemeClr w14:val="accent1"/>
        </w14:solidFill>
      </w14:textFill>
    </w:rPr>
  </w:style>
  <w:style w:type="paragraph" w:styleId="6">
    <w:name w:val="heading 4"/>
    <w:basedOn w:val="1"/>
    <w:next w:val="1"/>
    <w:link w:val="151"/>
    <w:semiHidden/>
    <w:unhideWhenUsed/>
    <w:qFormat/>
    <w:uiPriority w:val="9"/>
    <w:pPr>
      <w:keepNext/>
      <w:keepLines/>
      <w:spacing w:before="200"/>
      <w:outlineLvl w:val="3"/>
    </w:pPr>
    <w:rPr>
      <w:rFonts w:asciiTheme="majorHAnsi" w:hAnsiTheme="majorHAnsi" w:eastAsiaTheme="majorEastAsia" w:cstheme="majorBidi"/>
      <w:b/>
      <w:bCs/>
      <w:i/>
      <w:iCs/>
      <w:color w:val="4F81BD" w:themeColor="accent1"/>
      <w14:textFill>
        <w14:solidFill>
          <w14:schemeClr w14:val="accent1"/>
        </w14:solidFill>
      </w14:textFill>
    </w:rPr>
  </w:style>
  <w:style w:type="paragraph" w:styleId="7">
    <w:name w:val="heading 5"/>
    <w:basedOn w:val="1"/>
    <w:next w:val="1"/>
    <w:link w:val="152"/>
    <w:semiHidden/>
    <w:unhideWhenUsed/>
    <w:qFormat/>
    <w:uiPriority w:val="9"/>
    <w:pPr>
      <w:keepNext/>
      <w:keepLines/>
      <w:spacing w:before="200"/>
      <w:outlineLvl w:val="4"/>
    </w:pPr>
    <w:rPr>
      <w:rFonts w:asciiTheme="majorHAnsi" w:hAnsiTheme="majorHAnsi" w:eastAsiaTheme="majorEastAsia" w:cstheme="majorBidi"/>
      <w:color w:val="254061" w:themeColor="accent1" w:themeShade="80"/>
    </w:rPr>
  </w:style>
  <w:style w:type="paragraph" w:styleId="8">
    <w:name w:val="heading 6"/>
    <w:basedOn w:val="1"/>
    <w:next w:val="1"/>
    <w:link w:val="153"/>
    <w:semiHidden/>
    <w:unhideWhenUsed/>
    <w:qFormat/>
    <w:uiPriority w:val="9"/>
    <w:pPr>
      <w:keepNext/>
      <w:keepLines/>
      <w:spacing w:before="200"/>
      <w:outlineLvl w:val="5"/>
    </w:pPr>
    <w:rPr>
      <w:rFonts w:asciiTheme="majorHAnsi" w:hAnsiTheme="majorHAnsi" w:eastAsiaTheme="majorEastAsia" w:cstheme="majorBidi"/>
      <w:i/>
      <w:iCs/>
      <w:color w:val="254061" w:themeColor="accent1" w:themeShade="80"/>
    </w:rPr>
  </w:style>
  <w:style w:type="paragraph" w:styleId="9">
    <w:name w:val="heading 7"/>
    <w:basedOn w:val="1"/>
    <w:next w:val="1"/>
    <w:link w:val="154"/>
    <w:semiHidden/>
    <w:unhideWhenUsed/>
    <w:qFormat/>
    <w:uiPriority w:val="9"/>
    <w:pPr>
      <w:keepNext/>
      <w:keepLines/>
      <w:spacing w:before="200"/>
      <w:outlineLvl w:val="6"/>
    </w:pPr>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paragraph" w:styleId="10">
    <w:name w:val="heading 8"/>
    <w:basedOn w:val="1"/>
    <w:next w:val="1"/>
    <w:link w:val="155"/>
    <w:semiHidden/>
    <w:unhideWhenUsed/>
    <w:qFormat/>
    <w:uiPriority w:val="9"/>
    <w:pPr>
      <w:keepNext/>
      <w:keepLines/>
      <w:spacing w:before="200"/>
      <w:outlineLvl w:val="7"/>
    </w:pPr>
    <w:rPr>
      <w:rFonts w:asciiTheme="majorHAnsi" w:hAnsiTheme="majorHAnsi" w:eastAsiaTheme="majorEastAsia" w:cstheme="majorBidi"/>
      <w:color w:val="4F81BD" w:themeColor="accent1"/>
      <w:sz w:val="20"/>
      <w:szCs w:val="20"/>
      <w14:textFill>
        <w14:solidFill>
          <w14:schemeClr w14:val="accent1"/>
        </w14:solidFill>
      </w14:textFill>
    </w:rPr>
  </w:style>
  <w:style w:type="paragraph" w:styleId="11">
    <w:name w:val="heading 9"/>
    <w:basedOn w:val="1"/>
    <w:next w:val="1"/>
    <w:link w:val="156"/>
    <w:semiHidden/>
    <w:unhideWhenUsed/>
    <w:qFormat/>
    <w:uiPriority w:val="9"/>
    <w:pPr>
      <w:keepNext/>
      <w:keepLines/>
      <w:spacing w:before="200"/>
      <w:outlineLvl w:val="8"/>
    </w:pPr>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character" w:default="1" w:styleId="133">
    <w:name w:val="Default Paragraph Font"/>
    <w:semiHidden/>
    <w:unhideWhenUsed/>
    <w:qFormat/>
    <w:uiPriority w:val="1"/>
  </w:style>
  <w:style w:type="table" w:default="1" w:styleId="33">
    <w:name w:val="Normal Table"/>
    <w:semiHidden/>
    <w:unhideWhenUsed/>
    <w:qFormat/>
    <w:uiPriority w:val="99"/>
    <w:tblPr>
      <w:tblCellMar>
        <w:top w:w="0" w:type="dxa"/>
        <w:left w:w="108" w:type="dxa"/>
        <w:bottom w:w="0" w:type="dxa"/>
        <w:right w:w="108" w:type="dxa"/>
      </w:tblCellMar>
    </w:tblPr>
  </w:style>
  <w:style w:type="paragraph" w:styleId="2">
    <w:name w:val="macro"/>
    <w:link w:val="148"/>
    <w:unhideWhenUsed/>
    <w:qFormat/>
    <w:uiPriority w:val="99"/>
    <w:pPr>
      <w:tabs>
        <w:tab w:val="left" w:pos="576"/>
        <w:tab w:val="left" w:pos="1152"/>
        <w:tab w:val="left" w:pos="1728"/>
        <w:tab w:val="left" w:pos="2304"/>
        <w:tab w:val="left" w:pos="2880"/>
        <w:tab w:val="left" w:pos="3456"/>
        <w:tab w:val="left" w:pos="4032"/>
      </w:tabs>
      <w:spacing w:after="200" w:line="276" w:lineRule="auto"/>
    </w:pPr>
    <w:rPr>
      <w:rFonts w:ascii="Courier" w:hAnsi="Courier" w:eastAsiaTheme="minorEastAsia" w:cstheme="minorBidi"/>
      <w:sz w:val="20"/>
      <w:szCs w:val="20"/>
      <w:lang w:val="en-US" w:eastAsia="en-US" w:bidi="ar-SA"/>
    </w:rPr>
  </w:style>
  <w:style w:type="paragraph" w:styleId="12">
    <w:name w:val="List 3"/>
    <w:basedOn w:val="1"/>
    <w:unhideWhenUsed/>
    <w:qFormat/>
    <w:uiPriority w:val="99"/>
    <w:pPr>
      <w:ind w:left="1080" w:hanging="360"/>
      <w:contextualSpacing/>
    </w:pPr>
  </w:style>
  <w:style w:type="paragraph" w:styleId="13">
    <w:name w:val="List Number 2"/>
    <w:basedOn w:val="1"/>
    <w:unhideWhenUsed/>
    <w:qFormat/>
    <w:uiPriority w:val="99"/>
    <w:pPr>
      <w:numPr>
        <w:ilvl w:val="0"/>
        <w:numId w:val="1"/>
      </w:numPr>
      <w:contextualSpacing/>
    </w:pPr>
  </w:style>
  <w:style w:type="paragraph" w:styleId="14">
    <w:name w:val="List Number"/>
    <w:basedOn w:val="1"/>
    <w:unhideWhenUsed/>
    <w:qFormat/>
    <w:uiPriority w:val="99"/>
    <w:pPr>
      <w:numPr>
        <w:ilvl w:val="0"/>
        <w:numId w:val="2"/>
      </w:numPr>
      <w:contextualSpacing/>
    </w:pPr>
  </w:style>
  <w:style w:type="paragraph" w:styleId="15">
    <w:name w:val="caption"/>
    <w:basedOn w:val="1"/>
    <w:next w:val="1"/>
    <w:semiHidden/>
    <w:unhideWhenUsed/>
    <w:qFormat/>
    <w:uiPriority w:val="35"/>
    <w:pPr>
      <w:spacing w:line="240" w:lineRule="auto"/>
    </w:pPr>
    <w:rPr>
      <w:b/>
      <w:bCs/>
      <w:color w:val="4F81BD" w:themeColor="accent1"/>
      <w:sz w:val="18"/>
      <w:szCs w:val="18"/>
      <w14:textFill>
        <w14:solidFill>
          <w14:schemeClr w14:val="accent1"/>
        </w14:solidFill>
      </w14:textFill>
    </w:rPr>
  </w:style>
  <w:style w:type="paragraph" w:styleId="16">
    <w:name w:val="List Bullet"/>
    <w:basedOn w:val="1"/>
    <w:unhideWhenUsed/>
    <w:qFormat/>
    <w:uiPriority w:val="99"/>
    <w:pPr>
      <w:numPr>
        <w:ilvl w:val="0"/>
        <w:numId w:val="3"/>
      </w:numPr>
      <w:contextualSpacing/>
    </w:pPr>
  </w:style>
  <w:style w:type="paragraph" w:styleId="17">
    <w:name w:val="Body Text 3"/>
    <w:basedOn w:val="1"/>
    <w:link w:val="147"/>
    <w:unhideWhenUsed/>
    <w:qFormat/>
    <w:uiPriority w:val="99"/>
    <w:pPr>
      <w:spacing w:after="120"/>
    </w:pPr>
    <w:rPr>
      <w:sz w:val="16"/>
      <w:szCs w:val="16"/>
    </w:rPr>
  </w:style>
  <w:style w:type="paragraph" w:styleId="18">
    <w:name w:val="List Bullet 3"/>
    <w:basedOn w:val="1"/>
    <w:unhideWhenUsed/>
    <w:qFormat/>
    <w:uiPriority w:val="99"/>
    <w:pPr>
      <w:numPr>
        <w:ilvl w:val="0"/>
        <w:numId w:val="4"/>
      </w:numPr>
      <w:contextualSpacing/>
    </w:pPr>
  </w:style>
  <w:style w:type="paragraph" w:styleId="19">
    <w:name w:val="Body Text"/>
    <w:basedOn w:val="1"/>
    <w:link w:val="145"/>
    <w:unhideWhenUsed/>
    <w:qFormat/>
    <w:uiPriority w:val="99"/>
    <w:pPr>
      <w:spacing w:after="120"/>
    </w:pPr>
  </w:style>
  <w:style w:type="paragraph" w:styleId="20">
    <w:name w:val="List Number 3"/>
    <w:basedOn w:val="1"/>
    <w:unhideWhenUsed/>
    <w:qFormat/>
    <w:uiPriority w:val="99"/>
    <w:pPr>
      <w:numPr>
        <w:ilvl w:val="0"/>
        <w:numId w:val="5"/>
      </w:numPr>
      <w:contextualSpacing/>
    </w:pPr>
  </w:style>
  <w:style w:type="paragraph" w:styleId="21">
    <w:name w:val="List 2"/>
    <w:basedOn w:val="1"/>
    <w:unhideWhenUsed/>
    <w:qFormat/>
    <w:uiPriority w:val="99"/>
    <w:pPr>
      <w:ind w:left="720" w:hanging="360"/>
      <w:contextualSpacing/>
    </w:pPr>
  </w:style>
  <w:style w:type="paragraph" w:styleId="22">
    <w:name w:val="List Continue"/>
    <w:basedOn w:val="1"/>
    <w:unhideWhenUsed/>
    <w:qFormat/>
    <w:uiPriority w:val="99"/>
    <w:pPr>
      <w:spacing w:after="120"/>
      <w:ind w:left="360"/>
      <w:contextualSpacing/>
    </w:pPr>
  </w:style>
  <w:style w:type="paragraph" w:styleId="23">
    <w:name w:val="List Bullet 2"/>
    <w:basedOn w:val="1"/>
    <w:unhideWhenUsed/>
    <w:qFormat/>
    <w:uiPriority w:val="99"/>
    <w:pPr>
      <w:numPr>
        <w:ilvl w:val="0"/>
        <w:numId w:val="6"/>
      </w:numPr>
      <w:contextualSpacing/>
    </w:pPr>
  </w:style>
  <w:style w:type="paragraph" w:styleId="24">
    <w:name w:val="footer"/>
    <w:basedOn w:val="1"/>
    <w:link w:val="137"/>
    <w:unhideWhenUsed/>
    <w:qFormat/>
    <w:uiPriority w:val="99"/>
    <w:pPr>
      <w:tabs>
        <w:tab w:val="center" w:pos="4680"/>
        <w:tab w:val="right" w:pos="9360"/>
      </w:tabs>
      <w:spacing w:line="240" w:lineRule="auto"/>
    </w:pPr>
  </w:style>
  <w:style w:type="paragraph" w:styleId="25">
    <w:name w:val="header"/>
    <w:basedOn w:val="1"/>
    <w:link w:val="136"/>
    <w:unhideWhenUsed/>
    <w:qFormat/>
    <w:uiPriority w:val="99"/>
    <w:pPr>
      <w:tabs>
        <w:tab w:val="center" w:pos="4680"/>
        <w:tab w:val="right" w:pos="9360"/>
      </w:tabs>
      <w:spacing w:line="240" w:lineRule="auto"/>
    </w:pPr>
  </w:style>
  <w:style w:type="paragraph" w:styleId="26">
    <w:name w:val="Subtitle"/>
    <w:basedOn w:val="1"/>
    <w:next w:val="1"/>
    <w:link w:val="143"/>
    <w:qFormat/>
    <w:uiPriority w:val="11"/>
    <w:pPr>
      <w:ind w:firstLine="480"/>
    </w:pPr>
    <w:rPr>
      <w:rFonts w:asciiTheme="majorHAnsi" w:hAnsiTheme="majorHAnsi" w:eastAsiaTheme="majorEastAsia" w:cstheme="majorBidi"/>
      <w:i/>
      <w:iCs/>
      <w:color w:val="4F81BD" w:themeColor="accent1"/>
      <w:spacing w:val="15"/>
      <w:szCs w:val="24"/>
      <w14:textFill>
        <w14:solidFill>
          <w14:schemeClr w14:val="accent1"/>
        </w14:solidFill>
      </w14:textFill>
    </w:rPr>
  </w:style>
  <w:style w:type="paragraph" w:styleId="27">
    <w:name w:val="List"/>
    <w:basedOn w:val="1"/>
    <w:unhideWhenUsed/>
    <w:qFormat/>
    <w:uiPriority w:val="99"/>
    <w:pPr>
      <w:ind w:left="360" w:hanging="360"/>
      <w:contextualSpacing/>
    </w:pPr>
  </w:style>
  <w:style w:type="paragraph" w:styleId="28">
    <w:name w:val="Body Text 2"/>
    <w:basedOn w:val="1"/>
    <w:link w:val="146"/>
    <w:unhideWhenUsed/>
    <w:qFormat/>
    <w:uiPriority w:val="99"/>
    <w:pPr>
      <w:spacing w:after="120" w:line="480" w:lineRule="auto"/>
    </w:pPr>
  </w:style>
  <w:style w:type="paragraph" w:styleId="29">
    <w:name w:val="List Continue 2"/>
    <w:basedOn w:val="1"/>
    <w:unhideWhenUsed/>
    <w:qFormat/>
    <w:uiPriority w:val="99"/>
    <w:pPr>
      <w:spacing w:after="120"/>
      <w:ind w:left="720"/>
      <w:contextualSpacing/>
    </w:pPr>
  </w:style>
  <w:style w:type="paragraph" w:styleId="30">
    <w:name w:val="Normal (Web)"/>
    <w:basedOn w:val="1"/>
    <w:qFormat/>
    <w:uiPriority w:val="0"/>
    <w:pPr>
      <w:spacing w:beforeAutospacing="1" w:after="0" w:afterAutospacing="1"/>
    </w:pPr>
    <w:rPr>
      <w:rFonts w:cs="Times New Roman"/>
      <w:kern w:val="0"/>
      <w:sz w:val="24"/>
    </w:rPr>
  </w:style>
  <w:style w:type="paragraph" w:styleId="31">
    <w:name w:val="List Continue 3"/>
    <w:basedOn w:val="1"/>
    <w:unhideWhenUsed/>
    <w:qFormat/>
    <w:uiPriority w:val="99"/>
    <w:pPr>
      <w:spacing w:after="120"/>
      <w:ind w:left="1080"/>
      <w:contextualSpacing/>
    </w:pPr>
  </w:style>
  <w:style w:type="paragraph" w:styleId="32">
    <w:name w:val="Title"/>
    <w:basedOn w:val="1"/>
    <w:next w:val="1"/>
    <w:link w:val="142"/>
    <w:qFormat/>
    <w:uiPriority w:val="10"/>
    <w:pPr>
      <w:pBdr>
        <w:bottom w:val="single" w:color="4F81BD" w:themeColor="accent1" w:sz="8" w:space="4"/>
      </w:pBdr>
      <w:spacing w:after="300" w:line="240" w:lineRule="auto"/>
      <w:contextualSpacing/>
    </w:pPr>
    <w:rPr>
      <w:rFonts w:asciiTheme="majorHAnsi" w:hAnsiTheme="majorHAnsi" w:eastAsiaTheme="majorEastAsia" w:cstheme="majorBidi"/>
      <w:color w:val="17375E" w:themeColor="text2" w:themeShade="BF"/>
      <w:spacing w:val="5"/>
      <w:kern w:val="28"/>
      <w:sz w:val="52"/>
      <w:szCs w:val="52"/>
    </w:rPr>
  </w:style>
  <w:style w:type="table" w:styleId="34">
    <w:name w:val="Table Grid"/>
    <w:basedOn w:val="33"/>
    <w:qFormat/>
    <w:uiPriority w:val="5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35">
    <w:name w:val="Light Shading"/>
    <w:basedOn w:val="33"/>
    <w:qFormat/>
    <w:uiPriority w:val="60"/>
    <w:pPr>
      <w:spacing w:after="0" w:line="240" w:lineRule="auto"/>
    </w:pPr>
    <w:rPr>
      <w:color w:val="000000" w:themeColor="text1" w:themeShade="BF"/>
    </w:rPr>
    <w:tblPr>
      <w:tblBorders>
        <w:top w:val="single" w:color="000000" w:themeColor="text1" w:sz="8" w:space="0"/>
        <w:bottom w:val="single" w:color="000000" w:themeColor="text1" w:sz="8" w:space="0"/>
      </w:tblBorders>
    </w:tblPr>
    <w:tblStylePr w:type="fir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FBFBF" w:themeFill="text1" w:themeFillTint="3F"/>
      </w:tcPr>
    </w:tblStylePr>
    <w:tblStylePr w:type="band1Horz">
      <w:tblPr/>
      <w:tcPr>
        <w:tcBorders>
          <w:left w:val="nil"/>
          <w:right w:val="nil"/>
          <w:insideH w:val="nil"/>
          <w:insideV w:val="nil"/>
        </w:tcBorders>
        <w:shd w:val="clear" w:color="auto" w:fill="BFBFBF" w:themeFill="text1" w:themeFillTint="3F"/>
      </w:tcPr>
    </w:tblStylePr>
  </w:style>
  <w:style w:type="table" w:styleId="36">
    <w:name w:val="Light Shading Accent 1"/>
    <w:basedOn w:val="33"/>
    <w:qFormat/>
    <w:uiPriority w:val="60"/>
    <w:pPr>
      <w:spacing w:after="0" w:line="240" w:lineRule="auto"/>
    </w:pPr>
    <w:rPr>
      <w:color w:val="376092" w:themeColor="accent1" w:themeShade="BF"/>
    </w:rPr>
    <w:tblPr>
      <w:tblBorders>
        <w:top w:val="single" w:color="4F81BD" w:themeColor="accent1" w:sz="8" w:space="0"/>
        <w:bottom w:val="single" w:color="4F81BD" w:themeColor="accent1" w:sz="8" w:space="0"/>
      </w:tblBorders>
    </w:tblPr>
    <w:tblStylePr w:type="fir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la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37">
    <w:name w:val="Light Shading Accent 2"/>
    <w:basedOn w:val="33"/>
    <w:qFormat/>
    <w:uiPriority w:val="60"/>
    <w:pPr>
      <w:spacing w:after="0" w:line="240" w:lineRule="auto"/>
    </w:pPr>
    <w:rPr>
      <w:color w:val="953735" w:themeColor="accent2" w:themeShade="BF"/>
    </w:rPr>
    <w:tblPr>
      <w:tblBorders>
        <w:top w:val="single" w:color="C0504D" w:themeColor="accent2" w:sz="8" w:space="0"/>
        <w:bottom w:val="single" w:color="C0504D" w:themeColor="accent2" w:sz="8" w:space="0"/>
      </w:tblBorders>
    </w:tblPr>
    <w:tblStylePr w:type="fir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la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3" w:themeFill="accent2" w:themeFillTint="3F"/>
      </w:tcPr>
    </w:tblStylePr>
    <w:tblStylePr w:type="band1Horz">
      <w:tblPr/>
      <w:tcPr>
        <w:tcBorders>
          <w:left w:val="nil"/>
          <w:right w:val="nil"/>
          <w:insideH w:val="nil"/>
          <w:insideV w:val="nil"/>
        </w:tcBorders>
        <w:shd w:val="clear" w:color="auto" w:fill="EFD3D3" w:themeFill="accent2" w:themeFillTint="3F"/>
      </w:tcPr>
    </w:tblStylePr>
  </w:style>
  <w:style w:type="table" w:styleId="38">
    <w:name w:val="Light Shading Accent 3"/>
    <w:basedOn w:val="33"/>
    <w:qFormat/>
    <w:uiPriority w:val="60"/>
    <w:pPr>
      <w:spacing w:after="0" w:line="240" w:lineRule="auto"/>
    </w:pPr>
    <w:rPr>
      <w:color w:val="77933C" w:themeColor="accent3" w:themeShade="BF"/>
    </w:rPr>
    <w:tblPr>
      <w:tblBorders>
        <w:top w:val="single" w:color="9BBB59" w:themeColor="accent3" w:sz="8" w:space="0"/>
        <w:bottom w:val="single" w:color="9BBB59" w:themeColor="accent3" w:sz="8" w:space="0"/>
      </w:tblBorders>
    </w:tblPr>
    <w:tblStylePr w:type="fir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la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39">
    <w:name w:val="Light Shading Accent 4"/>
    <w:basedOn w:val="33"/>
    <w:qFormat/>
    <w:uiPriority w:val="60"/>
    <w:pPr>
      <w:spacing w:after="0" w:line="240" w:lineRule="auto"/>
    </w:pPr>
    <w:rPr>
      <w:color w:val="604A7B" w:themeColor="accent4" w:themeShade="BF"/>
    </w:rPr>
    <w:tblPr>
      <w:tblBorders>
        <w:top w:val="single" w:color="8064A2" w:themeColor="accent4" w:sz="8" w:space="0"/>
        <w:bottom w:val="single" w:color="8064A2" w:themeColor="accent4" w:sz="8" w:space="0"/>
      </w:tblBorders>
    </w:tblPr>
    <w:tblStylePr w:type="fir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la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40">
    <w:name w:val="Light Shading Accent 5"/>
    <w:basedOn w:val="33"/>
    <w:qFormat/>
    <w:uiPriority w:val="60"/>
    <w:pPr>
      <w:spacing w:after="0" w:line="240" w:lineRule="auto"/>
    </w:pPr>
    <w:rPr>
      <w:color w:val="31859C" w:themeColor="accent5" w:themeShade="BF"/>
    </w:rPr>
    <w:tblPr>
      <w:tblBorders>
        <w:top w:val="single" w:color="4BACC6" w:themeColor="accent5" w:sz="8" w:space="0"/>
        <w:bottom w:val="single" w:color="4BACC6" w:themeColor="accent5" w:sz="8" w:space="0"/>
      </w:tblBorders>
    </w:tblPr>
    <w:tblStylePr w:type="fir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la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0" w:themeFill="accent5" w:themeFillTint="3F"/>
      </w:tcPr>
    </w:tblStylePr>
    <w:tblStylePr w:type="band1Horz">
      <w:tblPr/>
      <w:tcPr>
        <w:tcBorders>
          <w:left w:val="nil"/>
          <w:right w:val="nil"/>
          <w:insideH w:val="nil"/>
          <w:insideV w:val="nil"/>
        </w:tcBorders>
        <w:shd w:val="clear" w:color="auto" w:fill="D2EAF0" w:themeFill="accent5" w:themeFillTint="3F"/>
      </w:tcPr>
    </w:tblStylePr>
  </w:style>
  <w:style w:type="table" w:styleId="41">
    <w:name w:val="Light Shading Accent 6"/>
    <w:basedOn w:val="33"/>
    <w:qFormat/>
    <w:uiPriority w:val="60"/>
    <w:pPr>
      <w:spacing w:after="0" w:line="240" w:lineRule="auto"/>
    </w:pPr>
    <w:rPr>
      <w:color w:val="E46C0A" w:themeColor="accent6" w:themeShade="BF"/>
    </w:rPr>
    <w:tblPr>
      <w:tblBorders>
        <w:top w:val="single" w:color="F79646" w:themeColor="accent6" w:sz="8" w:space="0"/>
        <w:bottom w:val="single" w:color="F79646" w:themeColor="accent6" w:sz="8" w:space="0"/>
      </w:tblBorders>
    </w:tblPr>
    <w:tblStylePr w:type="fir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la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5D1" w:themeFill="accent6" w:themeFillTint="3F"/>
      </w:tcPr>
    </w:tblStylePr>
    <w:tblStylePr w:type="band1Horz">
      <w:tblPr/>
      <w:tcPr>
        <w:tcBorders>
          <w:left w:val="nil"/>
          <w:right w:val="nil"/>
          <w:insideH w:val="nil"/>
          <w:insideV w:val="nil"/>
        </w:tcBorders>
        <w:shd w:val="clear" w:color="auto" w:fill="FDE5D1" w:themeFill="accent6" w:themeFillTint="3F"/>
      </w:tcPr>
    </w:tblStylePr>
  </w:style>
  <w:style w:type="table" w:styleId="42">
    <w:name w:val="Light List"/>
    <w:basedOn w:val="33"/>
    <w:qFormat/>
    <w:uiPriority w:val="61"/>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000000" w:themeFill="text1"/>
      </w:tcPr>
    </w:tblStylePr>
    <w:tblStylePr w:type="lastRow">
      <w:pPr>
        <w:spacing w:before="0" w:after="0" w:line="240" w:lineRule="auto"/>
      </w:pPr>
      <w:rPr>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43">
    <w:name w:val="Light List Accent 1"/>
    <w:basedOn w:val="33"/>
    <w:qFormat/>
    <w:uiPriority w:val="61"/>
    <w:pPr>
      <w:spacing w:after="0" w:line="240" w:lineRule="auto"/>
    </w:pPr>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4F81BD" w:themeFill="accent1"/>
      </w:tcPr>
    </w:tblStylePr>
    <w:tblStylePr w:type="lastRow">
      <w:pPr>
        <w:spacing w:before="0" w:after="0" w:line="240" w:lineRule="auto"/>
      </w:pPr>
      <w:rPr>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tcBorders>
      </w:tcPr>
    </w:tblStylePr>
    <w:tblStylePr w:type="firstCol">
      <w:rPr>
        <w:b/>
        <w:bCs/>
      </w:rPr>
    </w:tblStylePr>
    <w:tblStylePr w:type="lastCol">
      <w:rPr>
        <w:b/>
        <w:bCs/>
      </w:r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style>
  <w:style w:type="table" w:styleId="44">
    <w:name w:val="Light List Accent 2"/>
    <w:basedOn w:val="33"/>
    <w:qFormat/>
    <w:uiPriority w:val="61"/>
    <w:pPr>
      <w:spacing w:after="0" w:line="240" w:lineRule="auto"/>
    </w:pPr>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C0504D" w:themeFill="accent2"/>
      </w:tcPr>
    </w:tblStylePr>
    <w:tblStylePr w:type="lastRow">
      <w:pPr>
        <w:spacing w:before="0" w:after="0" w:line="240" w:lineRule="auto"/>
      </w:pPr>
      <w:rPr>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tcBorders>
      </w:tcPr>
    </w:tblStylePr>
    <w:tblStylePr w:type="firstCol">
      <w:rPr>
        <w:b/>
        <w:bCs/>
      </w:rPr>
    </w:tblStylePr>
    <w:tblStylePr w:type="lastCol">
      <w:rPr>
        <w:b/>
        <w:bCs/>
      </w:r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style>
  <w:style w:type="table" w:styleId="45">
    <w:name w:val="Light List Accent 3"/>
    <w:basedOn w:val="33"/>
    <w:qFormat/>
    <w:uiPriority w:val="61"/>
    <w:pPr>
      <w:spacing w:after="0" w:line="240" w:lineRule="auto"/>
    </w:pPr>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9BBB59" w:themeFill="accent3"/>
      </w:tcPr>
    </w:tblStylePr>
    <w:tblStylePr w:type="lastRow">
      <w:pPr>
        <w:spacing w:before="0" w:after="0" w:line="240" w:lineRule="auto"/>
      </w:pPr>
      <w:rPr>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tcBorders>
      </w:tcPr>
    </w:tblStylePr>
    <w:tblStylePr w:type="firstCol">
      <w:rPr>
        <w:b/>
        <w:bCs/>
      </w:rPr>
    </w:tblStylePr>
    <w:tblStylePr w:type="lastCol">
      <w:rPr>
        <w:b/>
        <w:bCs/>
      </w:r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style>
  <w:style w:type="table" w:styleId="46">
    <w:name w:val="Light List Accent 4"/>
    <w:basedOn w:val="33"/>
    <w:qFormat/>
    <w:uiPriority w:val="61"/>
    <w:pPr>
      <w:spacing w:after="0" w:line="240" w:lineRule="auto"/>
    </w:pPr>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8064A2" w:themeFill="accent4"/>
      </w:tcPr>
    </w:tblStylePr>
    <w:tblStylePr w:type="lastRow">
      <w:pPr>
        <w:spacing w:before="0" w:after="0" w:line="240" w:lineRule="auto"/>
      </w:pPr>
      <w:rPr>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tcBorders>
      </w:tcPr>
    </w:tblStylePr>
    <w:tblStylePr w:type="firstCol">
      <w:rPr>
        <w:b/>
        <w:bCs/>
      </w:rPr>
    </w:tblStylePr>
    <w:tblStylePr w:type="lastCol">
      <w:rPr>
        <w:b/>
        <w:bCs/>
      </w:r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style>
  <w:style w:type="table" w:styleId="47">
    <w:name w:val="Light List Accent 5"/>
    <w:basedOn w:val="33"/>
    <w:qFormat/>
    <w:uiPriority w:val="61"/>
    <w:pPr>
      <w:spacing w:after="0" w:line="240" w:lineRule="auto"/>
    </w:pPr>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4BACC6" w:themeFill="accent5"/>
      </w:tcPr>
    </w:tblStylePr>
    <w:tblStylePr w:type="lastRow">
      <w:pPr>
        <w:spacing w:before="0" w:after="0" w:line="240" w:lineRule="auto"/>
      </w:pPr>
      <w:rPr>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tcBorders>
      </w:tcPr>
    </w:tblStylePr>
    <w:tblStylePr w:type="firstCol">
      <w:rPr>
        <w:b/>
        <w:bCs/>
      </w:rPr>
    </w:tblStylePr>
    <w:tblStylePr w:type="lastCol">
      <w:rPr>
        <w:b/>
        <w:bCs/>
      </w:r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style>
  <w:style w:type="table" w:styleId="48">
    <w:name w:val="Light List Accent 6"/>
    <w:basedOn w:val="33"/>
    <w:qFormat/>
    <w:uiPriority w:val="61"/>
    <w:pPr>
      <w:spacing w:after="0" w:line="240" w:lineRule="auto"/>
    </w:pPr>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F79646" w:themeFill="accent6"/>
      </w:tcPr>
    </w:tblStylePr>
    <w:tblStylePr w:type="lastRow">
      <w:pPr>
        <w:spacing w:before="0" w:after="0" w:line="240" w:lineRule="auto"/>
      </w:pPr>
      <w:rPr>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tcBorders>
      </w:tcPr>
    </w:tblStylePr>
    <w:tblStylePr w:type="firstCol">
      <w:rPr>
        <w:b/>
        <w:bCs/>
      </w:rPr>
    </w:tblStylePr>
    <w:tblStylePr w:type="lastCol">
      <w:rPr>
        <w:b/>
        <w:bCs/>
      </w:r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style>
  <w:style w:type="table" w:styleId="49">
    <w:name w:val="Light Grid"/>
    <w:basedOn w:val="33"/>
    <w:qFormat/>
    <w:uiPriority w:val="62"/>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18" w:space="0"/>
          <w:right w:val="single" w:color="000000" w:themeColor="tex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shd w:val="clear" w:color="auto" w:fill="BFBFBF" w:themeFill="text1" w:themeFillTint="3F"/>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shd w:val="clear" w:color="auto" w:fill="BFBFBF" w:themeFill="text1" w:themeFillTint="3F"/>
      </w:tcPr>
    </w:tblStylePr>
    <w:tblStylePr w:type="band2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tcPr>
    </w:tblStylePr>
  </w:style>
  <w:style w:type="table" w:styleId="50">
    <w:name w:val="Light Grid Accent 1"/>
    <w:basedOn w:val="33"/>
    <w:qFormat/>
    <w:uiPriority w:val="62"/>
    <w:pPr>
      <w:spacing w:after="0" w:line="240" w:lineRule="auto"/>
    </w:pPr>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18" w:space="0"/>
          <w:right w:val="single" w:color="4F81BD" w:themeColor="accen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shd w:val="clear" w:color="auto" w:fill="D3DFEE" w:themeFill="accent1" w:themeFillTint="3F"/>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shd w:val="clear" w:color="auto" w:fill="D3DFEE" w:themeFill="accent1" w:themeFillTint="3F"/>
      </w:tcPr>
    </w:tblStylePr>
    <w:tblStylePr w:type="band2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tcPr>
    </w:tblStylePr>
  </w:style>
  <w:style w:type="table" w:styleId="51">
    <w:name w:val="Light Grid Accent 2"/>
    <w:basedOn w:val="33"/>
    <w:qFormat/>
    <w:uiPriority w:val="62"/>
    <w:pPr>
      <w:spacing w:after="0" w:line="240" w:lineRule="auto"/>
    </w:pPr>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18" w:space="0"/>
          <w:right w:val="single" w:color="C0504D" w:themeColor="accent2"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shd w:val="clear" w:color="auto" w:fill="EFD3D3" w:themeFill="accent2" w:themeFillTint="3F"/>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shd w:val="clear" w:color="auto" w:fill="EFD3D3" w:themeFill="accent2" w:themeFillTint="3F"/>
      </w:tcPr>
    </w:tblStylePr>
    <w:tblStylePr w:type="band2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tcPr>
    </w:tblStylePr>
  </w:style>
  <w:style w:type="table" w:styleId="52">
    <w:name w:val="Light Grid Accent 3"/>
    <w:basedOn w:val="33"/>
    <w:qFormat/>
    <w:uiPriority w:val="62"/>
    <w:pPr>
      <w:spacing w:after="0" w:line="240" w:lineRule="auto"/>
    </w:pPr>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18" w:space="0"/>
          <w:right w:val="single" w:color="9BBB59" w:themeColor="accent3"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shd w:val="clear" w:color="auto" w:fill="E6EED5" w:themeFill="accent3" w:themeFillTint="3F"/>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shd w:val="clear" w:color="auto" w:fill="E6EED5" w:themeFill="accent3" w:themeFillTint="3F"/>
      </w:tcPr>
    </w:tblStylePr>
    <w:tblStylePr w:type="band2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tcPr>
    </w:tblStylePr>
  </w:style>
  <w:style w:type="table" w:styleId="53">
    <w:name w:val="Light Grid Accent 4"/>
    <w:basedOn w:val="33"/>
    <w:qFormat/>
    <w:uiPriority w:val="62"/>
    <w:pPr>
      <w:spacing w:after="0" w:line="240" w:lineRule="auto"/>
    </w:pPr>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18" w:space="0"/>
          <w:right w:val="single" w:color="8064A2" w:themeColor="accent4"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shd w:val="clear" w:color="auto" w:fill="DFD8E8" w:themeFill="accent4" w:themeFillTint="3F"/>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shd w:val="clear" w:color="auto" w:fill="DFD8E8" w:themeFill="accent4" w:themeFillTint="3F"/>
      </w:tcPr>
    </w:tblStylePr>
    <w:tblStylePr w:type="band2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tcPr>
    </w:tblStylePr>
  </w:style>
  <w:style w:type="table" w:styleId="54">
    <w:name w:val="Light Grid Accent 5"/>
    <w:basedOn w:val="33"/>
    <w:qFormat/>
    <w:uiPriority w:val="62"/>
    <w:pPr>
      <w:spacing w:after="0" w:line="240" w:lineRule="auto"/>
    </w:pPr>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18" w:space="0"/>
          <w:right w:val="single" w:color="4BACC6" w:themeColor="accent5"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shd w:val="clear" w:color="auto" w:fill="D2EAF0" w:themeFill="accent5" w:themeFillTint="3F"/>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shd w:val="clear" w:color="auto" w:fill="D2EAF0" w:themeFill="accent5" w:themeFillTint="3F"/>
      </w:tcPr>
    </w:tblStylePr>
    <w:tblStylePr w:type="band2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tcPr>
    </w:tblStylePr>
  </w:style>
  <w:style w:type="table" w:styleId="55">
    <w:name w:val="Light Grid Accent 6"/>
    <w:basedOn w:val="33"/>
    <w:qFormat/>
    <w:uiPriority w:val="62"/>
    <w:pPr>
      <w:spacing w:after="0" w:line="240" w:lineRule="auto"/>
    </w:pPr>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18" w:space="0"/>
          <w:right w:val="single" w:color="F79646" w:themeColor="accent6"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shd w:val="clear" w:color="auto" w:fill="FDE5D1" w:themeFill="accent6" w:themeFillTint="3F"/>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shd w:val="clear" w:color="auto" w:fill="FDE5D1" w:themeFill="accent6" w:themeFillTint="3F"/>
      </w:tcPr>
    </w:tblStylePr>
    <w:tblStylePr w:type="band2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tcPr>
    </w:tblStylePr>
  </w:style>
  <w:style w:type="table" w:styleId="56">
    <w:name w:val="Medium Shading 1"/>
    <w:basedOn w:val="33"/>
    <w:qFormat/>
    <w:uiPriority w:val="63"/>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nil"/>
          <w:insideV w:val="nil"/>
        </w:tcBorders>
        <w:shd w:val="clear" w:color="auto" w:fill="000000" w:themeFill="text1"/>
      </w:tcPr>
    </w:tblStylePr>
    <w:tblStylePr w:type="lastRow">
      <w:pPr>
        <w:spacing w:before="0" w:after="0" w:line="240" w:lineRule="auto"/>
      </w:pPr>
      <w:rPr>
        <w:b/>
        <w:bCs/>
      </w:rPr>
      <w:tblPr/>
      <w:tcPr>
        <w:tcBorders>
          <w:top w:val="double" w:color="3F3F3F" w:themeColor="text1" w:themeTint="BF" w:sz="6" w:space="0"/>
          <w:left w:val="single" w:color="3F3F3F" w:themeColor="text1" w:themeTint="BF" w:sz="8" w:space="0"/>
          <w:bottom w:val="single" w:color="3F3F3F" w:themeColor="text1" w:themeTint="BF" w:sz="8" w:space="0"/>
          <w:right w:val="single" w:color="3F3F3F" w:themeColor="text1" w:themeTint="BF" w:sz="8" w:space="0"/>
          <w:insideH w:val="nil"/>
          <w:insideV w:val="nil"/>
        </w:tcBorders>
      </w:tcPr>
    </w:tblStylePr>
    <w:tblStylePr w:type="firstCol">
      <w:rPr>
        <w:b/>
        <w:bCs/>
      </w:rPr>
    </w:tblStylePr>
    <w:tblStylePr w:type="lastCol">
      <w:rPr>
        <w:b/>
        <w:bCs/>
      </w:rPr>
    </w:tblStylePr>
    <w:tblStylePr w:type="band1Vert">
      <w:tblPr/>
      <w:tcPr>
        <w:shd w:val="clear" w:color="auto" w:fill="BFBFBF" w:themeFill="text1" w:themeFillTint="3F"/>
      </w:tcPr>
    </w:tblStylePr>
    <w:tblStylePr w:type="band1Horz">
      <w:tblPr/>
      <w:tcPr>
        <w:tcBorders>
          <w:insideH w:val="nil"/>
          <w:insideV w:val="nil"/>
        </w:tcBorders>
        <w:shd w:val="clear" w:color="auto" w:fill="BFBFBF" w:themeFill="text1" w:themeFillTint="3F"/>
      </w:tcPr>
    </w:tblStylePr>
    <w:tblStylePr w:type="band2Horz">
      <w:tblPr/>
      <w:tcPr>
        <w:tcBorders>
          <w:insideH w:val="nil"/>
          <w:insideV w:val="nil"/>
        </w:tcBorders>
      </w:tcPr>
    </w:tblStylePr>
  </w:style>
  <w:style w:type="table" w:styleId="57">
    <w:name w:val="Medium Shading 1 Accent 1"/>
    <w:basedOn w:val="33"/>
    <w:qFormat/>
    <w:uiPriority w:val="63"/>
    <w:pPr>
      <w:spacing w:after="0" w:line="240" w:lineRule="auto"/>
    </w:pPr>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shd w:val="clear" w:color="auto" w:fill="4F81BD" w:themeFill="accent1"/>
      </w:tcPr>
    </w:tblStylePr>
    <w:tblStylePr w:type="lastRow">
      <w:pPr>
        <w:spacing w:before="0" w:after="0" w:line="240" w:lineRule="auto"/>
      </w:pPr>
      <w:rPr>
        <w:b/>
        <w:bCs/>
      </w:rPr>
      <w:tblPr/>
      <w:tcPr>
        <w:tcBorders>
          <w:top w:val="double" w:color="7BA0CD" w:themeColor="accent1" w:themeTint="BF" w:sz="6"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58">
    <w:name w:val="Medium Shading 1 Accent 2"/>
    <w:basedOn w:val="33"/>
    <w:qFormat/>
    <w:uiPriority w:val="63"/>
    <w:pPr>
      <w:spacing w:after="0" w:line="240" w:lineRule="auto"/>
    </w:pPr>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shd w:val="clear" w:color="auto" w:fill="C0504D" w:themeFill="accent2"/>
      </w:tcPr>
    </w:tblStylePr>
    <w:tblStylePr w:type="lastRow">
      <w:pPr>
        <w:spacing w:before="0" w:after="0" w:line="240" w:lineRule="auto"/>
      </w:pPr>
      <w:rPr>
        <w:b/>
        <w:bCs/>
      </w:rPr>
      <w:tblPr/>
      <w:tcPr>
        <w:tcBorders>
          <w:top w:val="double" w:color="CF7B79" w:themeColor="accent2" w:themeTint="BF" w:sz="6"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tcPr>
    </w:tblStylePr>
    <w:tblStylePr w:type="firstCol">
      <w:rPr>
        <w:b/>
        <w:bCs/>
      </w:rPr>
    </w:tblStylePr>
    <w:tblStylePr w:type="lastCol">
      <w:rPr>
        <w:b/>
        <w:bCs/>
      </w:rPr>
    </w:tblStylePr>
    <w:tblStylePr w:type="band1Vert">
      <w:tblPr/>
      <w:tcPr>
        <w:shd w:val="clear" w:color="auto" w:fill="EFD3D3" w:themeFill="accent2" w:themeFillTint="3F"/>
      </w:tcPr>
    </w:tblStylePr>
    <w:tblStylePr w:type="band1Horz">
      <w:tblPr/>
      <w:tcPr>
        <w:tcBorders>
          <w:insideH w:val="nil"/>
          <w:insideV w:val="nil"/>
        </w:tcBorders>
        <w:shd w:val="clear" w:color="auto" w:fill="EFD3D3" w:themeFill="accent2" w:themeFillTint="3F"/>
      </w:tcPr>
    </w:tblStylePr>
    <w:tblStylePr w:type="band2Horz">
      <w:tblPr/>
      <w:tcPr>
        <w:tcBorders>
          <w:insideH w:val="nil"/>
          <w:insideV w:val="nil"/>
        </w:tcBorders>
      </w:tcPr>
    </w:tblStylePr>
  </w:style>
  <w:style w:type="table" w:styleId="59">
    <w:name w:val="Medium Shading 1 Accent 3"/>
    <w:basedOn w:val="33"/>
    <w:qFormat/>
    <w:uiPriority w:val="63"/>
    <w:pPr>
      <w:spacing w:after="0" w:line="240" w:lineRule="auto"/>
    </w:pPr>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shd w:val="clear" w:color="auto" w:fill="9BBB59" w:themeFill="accent3"/>
      </w:tcPr>
    </w:tblStylePr>
    <w:tblStylePr w:type="lastRow">
      <w:pPr>
        <w:spacing w:before="0" w:after="0" w:line="240" w:lineRule="auto"/>
      </w:pPr>
      <w:rPr>
        <w:b/>
        <w:bCs/>
      </w:rPr>
      <w:tblPr/>
      <w:tcPr>
        <w:tcBorders>
          <w:top w:val="double" w:color="B4CC82" w:themeColor="accent3" w:themeTint="BF" w:sz="6"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60">
    <w:name w:val="Medium Shading 1 Accent 4"/>
    <w:basedOn w:val="33"/>
    <w:qFormat/>
    <w:uiPriority w:val="63"/>
    <w:pPr>
      <w:spacing w:after="0" w:line="240" w:lineRule="auto"/>
    </w:pPr>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shd w:val="clear" w:color="auto" w:fill="8064A2" w:themeFill="accent4"/>
      </w:tcPr>
    </w:tblStylePr>
    <w:tblStylePr w:type="lastRow">
      <w:pPr>
        <w:spacing w:before="0" w:after="0" w:line="240" w:lineRule="auto"/>
      </w:pPr>
      <w:rPr>
        <w:b/>
        <w:bCs/>
      </w:rPr>
      <w:tblPr/>
      <w:tcPr>
        <w:tcBorders>
          <w:top w:val="double" w:color="9F8AB9" w:themeColor="accent4" w:themeTint="BF" w:sz="6"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61">
    <w:name w:val="Medium Shading 1 Accent 5"/>
    <w:basedOn w:val="33"/>
    <w:qFormat/>
    <w:uiPriority w:val="63"/>
    <w:pPr>
      <w:spacing w:after="0" w:line="240" w:lineRule="auto"/>
    </w:pPr>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shd w:val="clear" w:color="auto" w:fill="4BACC6" w:themeFill="accent5"/>
      </w:tcPr>
    </w:tblStylePr>
    <w:tblStylePr w:type="lastRow">
      <w:pPr>
        <w:spacing w:before="0" w:after="0" w:line="240" w:lineRule="auto"/>
      </w:pPr>
      <w:rPr>
        <w:b/>
        <w:bCs/>
      </w:rPr>
      <w:tblPr/>
      <w:tcPr>
        <w:tcBorders>
          <w:top w:val="double" w:color="78C0D4" w:themeColor="accent5" w:themeTint="BF" w:sz="6"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tcPr>
    </w:tblStylePr>
    <w:tblStylePr w:type="firstCol">
      <w:rPr>
        <w:b/>
        <w:bCs/>
      </w:rPr>
    </w:tblStylePr>
    <w:tblStylePr w:type="lastCol">
      <w:rPr>
        <w:b/>
        <w:bCs/>
      </w:rPr>
    </w:tblStylePr>
    <w:tblStylePr w:type="band1Vert">
      <w:tblPr/>
      <w:tcPr>
        <w:shd w:val="clear" w:color="auto" w:fill="D2EAF0" w:themeFill="accent5" w:themeFillTint="3F"/>
      </w:tcPr>
    </w:tblStylePr>
    <w:tblStylePr w:type="band1Horz">
      <w:tblPr/>
      <w:tcPr>
        <w:tcBorders>
          <w:insideH w:val="nil"/>
          <w:insideV w:val="nil"/>
        </w:tcBorders>
        <w:shd w:val="clear" w:color="auto" w:fill="D2EAF0" w:themeFill="accent5" w:themeFillTint="3F"/>
      </w:tcPr>
    </w:tblStylePr>
    <w:tblStylePr w:type="band2Horz">
      <w:tblPr/>
      <w:tcPr>
        <w:tcBorders>
          <w:insideH w:val="nil"/>
          <w:insideV w:val="nil"/>
        </w:tcBorders>
      </w:tcPr>
    </w:tblStylePr>
  </w:style>
  <w:style w:type="table" w:styleId="62">
    <w:name w:val="Medium Shading 1 Accent 6"/>
    <w:basedOn w:val="33"/>
    <w:qFormat/>
    <w:uiPriority w:val="63"/>
    <w:pPr>
      <w:spacing w:after="0" w:line="240" w:lineRule="auto"/>
    </w:pPr>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shd w:val="clear" w:color="auto" w:fill="F79646" w:themeFill="accent6"/>
      </w:tcPr>
    </w:tblStylePr>
    <w:tblStylePr w:type="lastRow">
      <w:pPr>
        <w:spacing w:before="0" w:after="0" w:line="240" w:lineRule="auto"/>
      </w:pPr>
      <w:rPr>
        <w:b/>
        <w:bCs/>
      </w:rPr>
      <w:tblPr/>
      <w:tcPr>
        <w:tcBorders>
          <w:top w:val="double" w:color="F9B074" w:themeColor="accent6" w:themeTint="BF" w:sz="6"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tcPr>
    </w:tblStylePr>
    <w:tblStylePr w:type="firstCol">
      <w:rPr>
        <w:b/>
        <w:bCs/>
      </w:rPr>
    </w:tblStylePr>
    <w:tblStylePr w:type="lastCol">
      <w:rPr>
        <w:b/>
        <w:bCs/>
      </w:rPr>
    </w:tblStylePr>
    <w:tblStylePr w:type="band1Vert">
      <w:tblPr/>
      <w:tcPr>
        <w:shd w:val="clear" w:color="auto" w:fill="FDE5D1" w:themeFill="accent6" w:themeFillTint="3F"/>
      </w:tcPr>
    </w:tblStylePr>
    <w:tblStylePr w:type="band1Horz">
      <w:tblPr/>
      <w:tcPr>
        <w:tcBorders>
          <w:insideH w:val="nil"/>
          <w:insideV w:val="nil"/>
        </w:tcBorders>
        <w:shd w:val="clear" w:color="auto" w:fill="FDE5D1" w:themeFill="accent6" w:themeFillTint="3F"/>
      </w:tcPr>
    </w:tblStylePr>
    <w:tblStylePr w:type="band2Horz">
      <w:tblPr/>
      <w:tcPr>
        <w:tcBorders>
          <w:insideH w:val="nil"/>
          <w:insideV w:val="nil"/>
        </w:tcBorders>
      </w:tcPr>
    </w:tblStylePr>
  </w:style>
  <w:style w:type="table" w:styleId="63">
    <w:name w:val="Medium Shading 2"/>
    <w:basedOn w:val="33"/>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4">
    <w:name w:val="Medium Shading 2 Accent 1"/>
    <w:basedOn w:val="33"/>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4F81BD" w:themeFill="accent1"/>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5">
    <w:name w:val="Medium Shading 2 Accent 2"/>
    <w:basedOn w:val="33"/>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C0504D" w:themeFill="accent2"/>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6">
    <w:name w:val="Medium Shading 2 Accent 3"/>
    <w:basedOn w:val="33"/>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9BBB59" w:themeFill="accent3"/>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7">
    <w:name w:val="Medium Shading 2 Accent 4"/>
    <w:basedOn w:val="33"/>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8064A2" w:themeFill="accent4"/>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8">
    <w:name w:val="Medium Shading 2 Accent 5"/>
    <w:basedOn w:val="33"/>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4BACC6" w:themeFill="accent5"/>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9">
    <w:name w:val="Medium Shading 2 Accent 6"/>
    <w:basedOn w:val="33"/>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F79646" w:themeFill="accent6"/>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0">
    <w:name w:val="Medium List 1"/>
    <w:basedOn w:val="33"/>
    <w:qFormat/>
    <w:uiPriority w:val="65"/>
    <w:pPr>
      <w:spacing w:after="0" w:line="240" w:lineRule="auto"/>
    </w:pPr>
    <w:rPr>
      <w:color w:val="000000" w:themeColor="text1"/>
      <w14:textFill>
        <w14:solidFill>
          <w14:schemeClr w14:val="tx1"/>
        </w14:solidFill>
      </w14:textFill>
    </w:rPr>
    <w:tblPr>
      <w:tblBorders>
        <w:top w:val="single" w:color="000000" w:themeColor="text1" w:sz="8" w:space="0"/>
        <w:bottom w:val="single" w:color="000000" w:themeColor="text1" w:sz="8" w:space="0"/>
      </w:tblBorders>
    </w:tblPr>
    <w:tblStylePr w:type="firstRow">
      <w:rPr>
        <w:rFonts w:asciiTheme="majorHAnsi" w:hAnsiTheme="majorHAnsi" w:eastAsiaTheme="majorEastAsia" w:cstheme="majorBidi"/>
      </w:rPr>
      <w:tblPr/>
      <w:tcPr>
        <w:tcBorders>
          <w:top w:val="nil"/>
          <w:bottom w:val="single" w:color="000000" w:themeColor="text1" w:sz="8" w:space="0"/>
        </w:tcBorders>
      </w:tcPr>
    </w:tblStylePr>
    <w:tblStylePr w:type="lastRow">
      <w:rPr>
        <w:b/>
        <w:bCs/>
        <w:color w:val="1F497D" w:themeColor="text2"/>
        <w14:textFill>
          <w14:solidFill>
            <w14:schemeClr w14:val="tx2"/>
          </w14:solidFill>
        </w14:textFill>
      </w:rPr>
      <w:tblPr/>
      <w:tcPr>
        <w:tcBorders>
          <w:top w:val="single" w:color="000000" w:themeColor="text1" w:sz="8" w:space="0"/>
          <w:bottom w:val="single" w:color="000000" w:themeColor="text1" w:sz="8" w:space="0"/>
        </w:tcBorders>
      </w:tcPr>
    </w:tblStylePr>
    <w:tblStylePr w:type="firstCol">
      <w:rPr>
        <w:b/>
        <w:bCs/>
      </w:rPr>
    </w:tblStylePr>
    <w:tblStylePr w:type="lastCol">
      <w:rPr>
        <w:b/>
        <w:bCs/>
      </w:rPr>
      <w:tblPr/>
      <w:tcPr>
        <w:tcBorders>
          <w:top w:val="single" w:color="000000" w:themeColor="text1" w:sz="8" w:space="0"/>
          <w:bottom w:val="single" w:color="000000" w:themeColor="text1" w:sz="8" w:space="0"/>
        </w:tcBorders>
      </w:tcPr>
    </w:tblStylePr>
    <w:tblStylePr w:type="band1Vert">
      <w:tblPr/>
      <w:tcPr>
        <w:shd w:val="clear" w:color="auto" w:fill="BFBFBF" w:themeFill="text1" w:themeFillTint="3F"/>
      </w:tcPr>
    </w:tblStylePr>
    <w:tblStylePr w:type="band1Horz">
      <w:tblPr/>
      <w:tcPr>
        <w:shd w:val="clear" w:color="auto" w:fill="BFBFBF" w:themeFill="text1" w:themeFillTint="3F"/>
      </w:tcPr>
    </w:tblStylePr>
  </w:style>
  <w:style w:type="table" w:styleId="71">
    <w:name w:val="Medium List 1 Accent 1"/>
    <w:basedOn w:val="33"/>
    <w:qFormat/>
    <w:uiPriority w:val="65"/>
    <w:pPr>
      <w:spacing w:after="0" w:line="240" w:lineRule="auto"/>
    </w:pPr>
    <w:rPr>
      <w:color w:val="000000" w:themeColor="text1"/>
      <w14:textFill>
        <w14:solidFill>
          <w14:schemeClr w14:val="tx1"/>
        </w14:solidFill>
      </w14:textFill>
    </w:rPr>
    <w:tblPr>
      <w:tblBorders>
        <w:top w:val="single" w:color="4F81BD" w:themeColor="accent1" w:sz="8" w:space="0"/>
        <w:bottom w:val="single" w:color="4F81BD" w:themeColor="accent1" w:sz="8" w:space="0"/>
      </w:tblBorders>
    </w:tblPr>
    <w:tblStylePr w:type="firstRow">
      <w:rPr>
        <w:rFonts w:asciiTheme="majorHAnsi" w:hAnsiTheme="majorHAnsi" w:eastAsiaTheme="majorEastAsia" w:cstheme="majorBidi"/>
      </w:rPr>
      <w:tblPr/>
      <w:tcPr>
        <w:tcBorders>
          <w:top w:val="nil"/>
          <w:bottom w:val="single" w:color="4F81BD" w:themeColor="accent1" w:sz="8" w:space="0"/>
        </w:tcBorders>
      </w:tcPr>
    </w:tblStylePr>
    <w:tblStylePr w:type="lastRow">
      <w:rPr>
        <w:b/>
        <w:bCs/>
        <w:color w:val="1F497D" w:themeColor="text2"/>
        <w14:textFill>
          <w14:solidFill>
            <w14:schemeClr w14:val="tx2"/>
          </w14:solidFill>
        </w14:textFill>
      </w:rPr>
      <w:tblPr/>
      <w:tcPr>
        <w:tcBorders>
          <w:top w:val="single" w:color="4F81BD" w:themeColor="accent1" w:sz="8" w:space="0"/>
          <w:bottom w:val="single" w:color="4F81BD" w:themeColor="accent1" w:sz="8" w:space="0"/>
        </w:tcBorders>
      </w:tcPr>
    </w:tblStylePr>
    <w:tblStylePr w:type="firstCol">
      <w:rPr>
        <w:b/>
        <w:bCs/>
      </w:rPr>
    </w:tblStylePr>
    <w:tblStylePr w:type="lastCol">
      <w:rPr>
        <w:b/>
        <w:bCs/>
      </w:rPr>
      <w:tblPr/>
      <w:tcPr>
        <w:tcBorders>
          <w:top w:val="single" w:color="4F81BD" w:themeColor="accent1" w:sz="8" w:space="0"/>
          <w:bottom w:val="single" w:color="4F81BD" w:themeColor="accent1" w:sz="8" w:space="0"/>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72">
    <w:name w:val="Medium List 1 Accent 2"/>
    <w:basedOn w:val="33"/>
    <w:qFormat/>
    <w:uiPriority w:val="65"/>
    <w:pPr>
      <w:spacing w:after="0" w:line="240" w:lineRule="auto"/>
    </w:pPr>
    <w:rPr>
      <w:color w:val="000000" w:themeColor="text1"/>
      <w14:textFill>
        <w14:solidFill>
          <w14:schemeClr w14:val="tx1"/>
        </w14:solidFill>
      </w14:textFill>
    </w:rPr>
    <w:tblPr>
      <w:tblBorders>
        <w:top w:val="single" w:color="C0504D" w:themeColor="accent2" w:sz="8" w:space="0"/>
        <w:bottom w:val="single" w:color="C0504D" w:themeColor="accent2" w:sz="8" w:space="0"/>
      </w:tblBorders>
    </w:tblPr>
    <w:tblStylePr w:type="firstRow">
      <w:rPr>
        <w:rFonts w:asciiTheme="majorHAnsi" w:hAnsiTheme="majorHAnsi" w:eastAsiaTheme="majorEastAsia" w:cstheme="majorBidi"/>
      </w:rPr>
      <w:tblPr/>
      <w:tcPr>
        <w:tcBorders>
          <w:top w:val="nil"/>
          <w:bottom w:val="single" w:color="C0504D" w:themeColor="accent2" w:sz="8" w:space="0"/>
        </w:tcBorders>
      </w:tcPr>
    </w:tblStylePr>
    <w:tblStylePr w:type="lastRow">
      <w:rPr>
        <w:b/>
        <w:bCs/>
        <w:color w:val="1F497D" w:themeColor="text2"/>
        <w14:textFill>
          <w14:solidFill>
            <w14:schemeClr w14:val="tx2"/>
          </w14:solidFill>
        </w14:textFill>
      </w:rPr>
      <w:tblPr/>
      <w:tcPr>
        <w:tcBorders>
          <w:top w:val="single" w:color="C0504D" w:themeColor="accent2" w:sz="8" w:space="0"/>
          <w:bottom w:val="single" w:color="C0504D" w:themeColor="accent2" w:sz="8" w:space="0"/>
        </w:tcBorders>
      </w:tcPr>
    </w:tblStylePr>
    <w:tblStylePr w:type="firstCol">
      <w:rPr>
        <w:b/>
        <w:bCs/>
      </w:rPr>
    </w:tblStylePr>
    <w:tblStylePr w:type="lastCol">
      <w:rPr>
        <w:b/>
        <w:bCs/>
      </w:rPr>
      <w:tblPr/>
      <w:tcPr>
        <w:tcBorders>
          <w:top w:val="single" w:color="C0504D" w:themeColor="accent2" w:sz="8" w:space="0"/>
          <w:bottom w:val="single" w:color="C0504D" w:themeColor="accent2" w:sz="8" w:space="0"/>
        </w:tcBorders>
      </w:tcPr>
    </w:tblStylePr>
    <w:tblStylePr w:type="band1Vert">
      <w:tblPr/>
      <w:tcPr>
        <w:shd w:val="clear" w:color="auto" w:fill="EFD3D3" w:themeFill="accent2" w:themeFillTint="3F"/>
      </w:tcPr>
    </w:tblStylePr>
    <w:tblStylePr w:type="band1Horz">
      <w:tblPr/>
      <w:tcPr>
        <w:shd w:val="clear" w:color="auto" w:fill="EFD3D3" w:themeFill="accent2" w:themeFillTint="3F"/>
      </w:tcPr>
    </w:tblStylePr>
  </w:style>
  <w:style w:type="table" w:styleId="73">
    <w:name w:val="Medium List 1 Accent 3"/>
    <w:basedOn w:val="33"/>
    <w:qFormat/>
    <w:uiPriority w:val="65"/>
    <w:pPr>
      <w:spacing w:after="0" w:line="240" w:lineRule="auto"/>
    </w:pPr>
    <w:rPr>
      <w:color w:val="000000" w:themeColor="text1"/>
      <w14:textFill>
        <w14:solidFill>
          <w14:schemeClr w14:val="tx1"/>
        </w14:solidFill>
      </w14:textFill>
    </w:rPr>
    <w:tblPr>
      <w:tblBorders>
        <w:top w:val="single" w:color="9BBB59" w:themeColor="accent3" w:sz="8" w:space="0"/>
        <w:bottom w:val="single" w:color="9BBB59" w:themeColor="accent3" w:sz="8" w:space="0"/>
      </w:tblBorders>
    </w:tblPr>
    <w:tblStylePr w:type="firstRow">
      <w:rPr>
        <w:rFonts w:asciiTheme="majorHAnsi" w:hAnsiTheme="majorHAnsi" w:eastAsiaTheme="majorEastAsia" w:cstheme="majorBidi"/>
      </w:rPr>
      <w:tblPr/>
      <w:tcPr>
        <w:tcBorders>
          <w:top w:val="nil"/>
          <w:bottom w:val="single" w:color="9BBB59" w:themeColor="accent3" w:sz="8" w:space="0"/>
        </w:tcBorders>
      </w:tcPr>
    </w:tblStylePr>
    <w:tblStylePr w:type="lastRow">
      <w:rPr>
        <w:b/>
        <w:bCs/>
        <w:color w:val="1F497D" w:themeColor="text2"/>
        <w14:textFill>
          <w14:solidFill>
            <w14:schemeClr w14:val="tx2"/>
          </w14:solidFill>
        </w14:textFill>
      </w:rPr>
      <w:tblPr/>
      <w:tcPr>
        <w:tcBorders>
          <w:top w:val="single" w:color="9BBB59" w:themeColor="accent3" w:sz="8" w:space="0"/>
          <w:bottom w:val="single" w:color="9BBB59" w:themeColor="accent3" w:sz="8" w:space="0"/>
        </w:tcBorders>
      </w:tcPr>
    </w:tblStylePr>
    <w:tblStylePr w:type="firstCol">
      <w:rPr>
        <w:b/>
        <w:bCs/>
      </w:rPr>
    </w:tblStylePr>
    <w:tblStylePr w:type="lastCol">
      <w:rPr>
        <w:b/>
        <w:bCs/>
      </w:rPr>
      <w:tblPr/>
      <w:tcPr>
        <w:tcBorders>
          <w:top w:val="single" w:color="9BBB59" w:themeColor="accent3" w:sz="8" w:space="0"/>
          <w:bottom w:val="single" w:color="9BBB59" w:themeColor="accent3" w:sz="8" w:space="0"/>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74">
    <w:name w:val="Medium List 1 Accent 4"/>
    <w:basedOn w:val="33"/>
    <w:qFormat/>
    <w:uiPriority w:val="65"/>
    <w:pPr>
      <w:spacing w:after="0" w:line="240" w:lineRule="auto"/>
    </w:pPr>
    <w:rPr>
      <w:color w:val="000000" w:themeColor="text1"/>
      <w14:textFill>
        <w14:solidFill>
          <w14:schemeClr w14:val="tx1"/>
        </w14:solidFill>
      </w14:textFill>
    </w:rPr>
    <w:tblPr>
      <w:tblBorders>
        <w:top w:val="single" w:color="8064A2" w:themeColor="accent4" w:sz="8" w:space="0"/>
        <w:bottom w:val="single" w:color="8064A2" w:themeColor="accent4" w:sz="8" w:space="0"/>
      </w:tblBorders>
    </w:tblPr>
    <w:tblStylePr w:type="firstRow">
      <w:rPr>
        <w:rFonts w:asciiTheme="majorHAnsi" w:hAnsiTheme="majorHAnsi" w:eastAsiaTheme="majorEastAsia" w:cstheme="majorBidi"/>
      </w:rPr>
      <w:tblPr/>
      <w:tcPr>
        <w:tcBorders>
          <w:top w:val="nil"/>
          <w:bottom w:val="single" w:color="8064A2" w:themeColor="accent4" w:sz="8" w:space="0"/>
        </w:tcBorders>
      </w:tcPr>
    </w:tblStylePr>
    <w:tblStylePr w:type="lastRow">
      <w:rPr>
        <w:b/>
        <w:bCs/>
        <w:color w:val="1F497D" w:themeColor="text2"/>
        <w14:textFill>
          <w14:solidFill>
            <w14:schemeClr w14:val="tx2"/>
          </w14:solidFill>
        </w14:textFill>
      </w:rPr>
      <w:tblPr/>
      <w:tcPr>
        <w:tcBorders>
          <w:top w:val="single" w:color="8064A2" w:themeColor="accent4" w:sz="8" w:space="0"/>
          <w:bottom w:val="single" w:color="8064A2" w:themeColor="accent4" w:sz="8" w:space="0"/>
        </w:tcBorders>
      </w:tcPr>
    </w:tblStylePr>
    <w:tblStylePr w:type="firstCol">
      <w:rPr>
        <w:b/>
        <w:bCs/>
      </w:rPr>
    </w:tblStylePr>
    <w:tblStylePr w:type="lastCol">
      <w:rPr>
        <w:b/>
        <w:bCs/>
      </w:rPr>
      <w:tblPr/>
      <w:tcPr>
        <w:tcBorders>
          <w:top w:val="single" w:color="8064A2" w:themeColor="accent4" w:sz="8" w:space="0"/>
          <w:bottom w:val="single" w:color="8064A2" w:themeColor="accent4" w:sz="8" w:space="0"/>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75">
    <w:name w:val="Medium List 1 Accent 5"/>
    <w:basedOn w:val="33"/>
    <w:qFormat/>
    <w:uiPriority w:val="65"/>
    <w:pPr>
      <w:spacing w:after="0" w:line="240" w:lineRule="auto"/>
    </w:pPr>
    <w:rPr>
      <w:color w:val="000000" w:themeColor="text1"/>
      <w14:textFill>
        <w14:solidFill>
          <w14:schemeClr w14:val="tx1"/>
        </w14:solidFill>
      </w14:textFill>
    </w:rPr>
    <w:tblPr>
      <w:tblBorders>
        <w:top w:val="single" w:color="4BACC6" w:themeColor="accent5" w:sz="8" w:space="0"/>
        <w:bottom w:val="single" w:color="4BACC6" w:themeColor="accent5" w:sz="8" w:space="0"/>
      </w:tblBorders>
    </w:tblPr>
    <w:tblStylePr w:type="firstRow">
      <w:rPr>
        <w:rFonts w:asciiTheme="majorHAnsi" w:hAnsiTheme="majorHAnsi" w:eastAsiaTheme="majorEastAsia" w:cstheme="majorBidi"/>
      </w:rPr>
      <w:tblPr/>
      <w:tcPr>
        <w:tcBorders>
          <w:top w:val="nil"/>
          <w:bottom w:val="single" w:color="4BACC6" w:themeColor="accent5" w:sz="8" w:space="0"/>
        </w:tcBorders>
      </w:tcPr>
    </w:tblStylePr>
    <w:tblStylePr w:type="lastRow">
      <w:rPr>
        <w:b/>
        <w:bCs/>
        <w:color w:val="1F497D" w:themeColor="text2"/>
        <w14:textFill>
          <w14:solidFill>
            <w14:schemeClr w14:val="tx2"/>
          </w14:solidFill>
        </w14:textFill>
      </w:rPr>
      <w:tblPr/>
      <w:tcPr>
        <w:tcBorders>
          <w:top w:val="single" w:color="4BACC6" w:themeColor="accent5" w:sz="8" w:space="0"/>
          <w:bottom w:val="single" w:color="4BACC6" w:themeColor="accent5" w:sz="8" w:space="0"/>
        </w:tcBorders>
      </w:tcPr>
    </w:tblStylePr>
    <w:tblStylePr w:type="firstCol">
      <w:rPr>
        <w:b/>
        <w:bCs/>
      </w:rPr>
    </w:tblStylePr>
    <w:tblStylePr w:type="lastCol">
      <w:rPr>
        <w:b/>
        <w:bCs/>
      </w:rPr>
      <w:tblPr/>
      <w:tcPr>
        <w:tcBorders>
          <w:top w:val="single" w:color="4BACC6" w:themeColor="accent5" w:sz="8" w:space="0"/>
          <w:bottom w:val="single" w:color="4BACC6" w:themeColor="accent5" w:sz="8" w:space="0"/>
        </w:tcBorders>
      </w:tcPr>
    </w:tblStylePr>
    <w:tblStylePr w:type="band1Vert">
      <w:tblPr/>
      <w:tcPr>
        <w:shd w:val="clear" w:color="auto" w:fill="D2EAF0" w:themeFill="accent5" w:themeFillTint="3F"/>
      </w:tcPr>
    </w:tblStylePr>
    <w:tblStylePr w:type="band1Horz">
      <w:tblPr/>
      <w:tcPr>
        <w:shd w:val="clear" w:color="auto" w:fill="D2EAF0" w:themeFill="accent5" w:themeFillTint="3F"/>
      </w:tcPr>
    </w:tblStylePr>
  </w:style>
  <w:style w:type="table" w:styleId="76">
    <w:name w:val="Medium List 1 Accent 6"/>
    <w:basedOn w:val="33"/>
    <w:qFormat/>
    <w:uiPriority w:val="65"/>
    <w:pPr>
      <w:spacing w:after="0" w:line="240" w:lineRule="auto"/>
    </w:pPr>
    <w:rPr>
      <w:color w:val="000000" w:themeColor="text1"/>
      <w14:textFill>
        <w14:solidFill>
          <w14:schemeClr w14:val="tx1"/>
        </w14:solidFill>
      </w14:textFill>
    </w:rPr>
    <w:tblPr>
      <w:tblBorders>
        <w:top w:val="single" w:color="F79646" w:themeColor="accent6" w:sz="8" w:space="0"/>
        <w:bottom w:val="single" w:color="F79646" w:themeColor="accent6" w:sz="8" w:space="0"/>
      </w:tblBorders>
    </w:tblPr>
    <w:tblStylePr w:type="firstRow">
      <w:rPr>
        <w:rFonts w:asciiTheme="majorHAnsi" w:hAnsiTheme="majorHAnsi" w:eastAsiaTheme="majorEastAsia" w:cstheme="majorBidi"/>
      </w:rPr>
      <w:tblPr/>
      <w:tcPr>
        <w:tcBorders>
          <w:top w:val="nil"/>
          <w:bottom w:val="single" w:color="F79646" w:themeColor="accent6" w:sz="8" w:space="0"/>
        </w:tcBorders>
      </w:tcPr>
    </w:tblStylePr>
    <w:tblStylePr w:type="lastRow">
      <w:rPr>
        <w:b/>
        <w:bCs/>
        <w:color w:val="1F497D" w:themeColor="text2"/>
        <w14:textFill>
          <w14:solidFill>
            <w14:schemeClr w14:val="tx2"/>
          </w14:solidFill>
        </w14:textFill>
      </w:rPr>
      <w:tblPr/>
      <w:tcPr>
        <w:tcBorders>
          <w:top w:val="single" w:color="F79646" w:themeColor="accent6" w:sz="8" w:space="0"/>
          <w:bottom w:val="single" w:color="F79646" w:themeColor="accent6" w:sz="8" w:space="0"/>
        </w:tcBorders>
      </w:tcPr>
    </w:tblStylePr>
    <w:tblStylePr w:type="firstCol">
      <w:rPr>
        <w:b/>
        <w:bCs/>
      </w:rPr>
    </w:tblStylePr>
    <w:tblStylePr w:type="lastCol">
      <w:rPr>
        <w:b/>
        <w:bCs/>
      </w:rPr>
      <w:tblPr/>
      <w:tcPr>
        <w:tcBorders>
          <w:top w:val="single" w:color="F79646" w:themeColor="accent6" w:sz="8" w:space="0"/>
          <w:bottom w:val="single" w:color="F79646" w:themeColor="accent6" w:sz="8" w:space="0"/>
        </w:tcBorders>
      </w:tcPr>
    </w:tblStylePr>
    <w:tblStylePr w:type="band1Vert">
      <w:tblPr/>
      <w:tcPr>
        <w:shd w:val="clear" w:color="auto" w:fill="FDE5D1" w:themeFill="accent6" w:themeFillTint="3F"/>
      </w:tcPr>
    </w:tblStylePr>
    <w:tblStylePr w:type="band1Horz">
      <w:tblPr/>
      <w:tcPr>
        <w:shd w:val="clear" w:color="auto" w:fill="FDE5D1" w:themeFill="accent6" w:themeFillTint="3F"/>
      </w:tcPr>
    </w:tblStylePr>
  </w:style>
  <w:style w:type="table" w:styleId="77">
    <w:name w:val="Medium List 2"/>
    <w:basedOn w:val="33"/>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Pr>
    <w:tblStylePr w:type="firstRow">
      <w:rPr>
        <w:sz w:val="24"/>
        <w:szCs w:val="24"/>
      </w:rPr>
      <w:tblPr/>
      <w:tcPr>
        <w:tcBorders>
          <w:top w:val="nil"/>
          <w:left w:val="nil"/>
          <w:bottom w:val="single" w:color="000000" w:themeColor="text1" w:sz="24" w:space="0"/>
          <w:right w:val="nil"/>
          <w:insideH w:val="nil"/>
          <w:insideV w:val="nil"/>
        </w:tcBorders>
        <w:shd w:val="clear" w:color="auto" w:fill="FFFFFF" w:themeFill="background1"/>
      </w:tcPr>
    </w:tblStylePr>
    <w:tblStylePr w:type="lastRow">
      <w:tblPr/>
      <w:tcPr>
        <w:tcBorders>
          <w:top w:val="single" w:color="000000" w:themeColor="tex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000000" w:themeColor="text1" w:sz="8" w:space="0"/>
          <w:insideH w:val="nil"/>
          <w:insideV w:val="nil"/>
        </w:tcBorders>
        <w:shd w:val="clear" w:color="auto" w:fill="FFFFFF" w:themeFill="background1"/>
      </w:tcPr>
    </w:tblStylePr>
    <w:tblStylePr w:type="lastCol">
      <w:tblPr/>
      <w:tcPr>
        <w:tcBorders>
          <w:top w:val="nil"/>
          <w:left w:val="single" w:color="000000" w:themeColor="tex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FBFBF" w:themeFill="text1" w:themeFillTint="3F"/>
      </w:tcPr>
    </w:tblStylePr>
    <w:tblStylePr w:type="band1Horz">
      <w:tblPr/>
      <w:tcPr>
        <w:tcBorders>
          <w:top w:val="nil"/>
          <w:bottom w:val="nil"/>
          <w:insideH w:val="nil"/>
          <w:insideV w:val="nil"/>
        </w:tcBorders>
        <w:shd w:val="clear" w:color="auto" w:fill="BFBFBF"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78">
    <w:name w:val="Medium List 2 Accent 1"/>
    <w:basedOn w:val="33"/>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Pr>
    <w:tblStylePr w:type="firstRow">
      <w:rPr>
        <w:sz w:val="24"/>
        <w:szCs w:val="24"/>
      </w:rPr>
      <w:tblPr/>
      <w:tcPr>
        <w:tcBorders>
          <w:top w:val="nil"/>
          <w:left w:val="nil"/>
          <w:bottom w:val="single" w:color="4F81BD" w:themeColor="accent1" w:sz="24" w:space="0"/>
          <w:right w:val="nil"/>
          <w:insideH w:val="nil"/>
          <w:insideV w:val="nil"/>
        </w:tcBorders>
        <w:shd w:val="clear" w:color="auto" w:fill="FFFFFF" w:themeFill="background1"/>
      </w:tcPr>
    </w:tblStylePr>
    <w:tblStylePr w:type="lastRow">
      <w:tblPr/>
      <w:tcPr>
        <w:tcBorders>
          <w:top w:val="single" w:color="4F81BD" w:themeColor="accen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F81BD" w:themeColor="accent1" w:sz="8" w:space="0"/>
          <w:insideH w:val="nil"/>
          <w:insideV w:val="nil"/>
        </w:tcBorders>
        <w:shd w:val="clear" w:color="auto" w:fill="FFFFFF" w:themeFill="background1"/>
      </w:tcPr>
    </w:tblStylePr>
    <w:tblStylePr w:type="lastCol">
      <w:tblPr/>
      <w:tcPr>
        <w:tcBorders>
          <w:top w:val="nil"/>
          <w:left w:val="single" w:color="4F81BD" w:themeColor="accen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79">
    <w:name w:val="Medium List 2 Accent 2"/>
    <w:basedOn w:val="33"/>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Pr>
    <w:tblStylePr w:type="firstRow">
      <w:rPr>
        <w:sz w:val="24"/>
        <w:szCs w:val="24"/>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tblPr/>
      <w:tcPr>
        <w:tcBorders>
          <w:top w:val="single" w:color="C0504D" w:themeColor="accent2"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C0504D" w:themeColor="accent2" w:sz="8" w:space="0"/>
          <w:insideH w:val="nil"/>
          <w:insideV w:val="nil"/>
        </w:tcBorders>
        <w:shd w:val="clear" w:color="auto" w:fill="FFFFFF" w:themeFill="background1"/>
      </w:tcPr>
    </w:tblStylePr>
    <w:tblStylePr w:type="lastCol">
      <w:tblPr/>
      <w:tcPr>
        <w:tcBorders>
          <w:top w:val="nil"/>
          <w:left w:val="single" w:color="C0504D" w:themeColor="accent2"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3" w:themeFill="accent2" w:themeFillTint="3F"/>
      </w:tcPr>
    </w:tblStylePr>
    <w:tblStylePr w:type="band1Horz">
      <w:tblPr/>
      <w:tcPr>
        <w:tcBorders>
          <w:top w:val="nil"/>
          <w:bottom w:val="nil"/>
          <w:insideH w:val="nil"/>
          <w:insideV w:val="nil"/>
        </w:tcBorders>
        <w:shd w:val="clear" w:color="auto" w:fill="EFD3D3"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80">
    <w:name w:val="Medium List 2 Accent 3"/>
    <w:basedOn w:val="33"/>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Pr>
    <w:tblStylePr w:type="firstRow">
      <w:rPr>
        <w:sz w:val="24"/>
        <w:szCs w:val="24"/>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tblPr/>
      <w:tcPr>
        <w:tcBorders>
          <w:top w:val="single" w:color="9BBB59" w:themeColor="accent3"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9BBB59" w:themeColor="accent3" w:sz="8" w:space="0"/>
          <w:insideH w:val="nil"/>
          <w:insideV w:val="nil"/>
        </w:tcBorders>
        <w:shd w:val="clear" w:color="auto" w:fill="FFFFFF" w:themeFill="background1"/>
      </w:tcPr>
    </w:tblStylePr>
    <w:tblStylePr w:type="lastCol">
      <w:tblPr/>
      <w:tcPr>
        <w:tcBorders>
          <w:top w:val="nil"/>
          <w:left w:val="single" w:color="9BBB59" w:themeColor="accent3"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81">
    <w:name w:val="Medium List 2 Accent 4"/>
    <w:basedOn w:val="33"/>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Pr>
    <w:tblStylePr w:type="firstRow">
      <w:rPr>
        <w:sz w:val="24"/>
        <w:szCs w:val="24"/>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tblPr/>
      <w:tcPr>
        <w:tcBorders>
          <w:top w:val="single" w:color="8064A2" w:themeColor="accent4"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8064A2" w:themeColor="accent4" w:sz="8" w:space="0"/>
          <w:insideH w:val="nil"/>
          <w:insideV w:val="nil"/>
        </w:tcBorders>
        <w:shd w:val="clear" w:color="auto" w:fill="FFFFFF" w:themeFill="background1"/>
      </w:tcPr>
    </w:tblStylePr>
    <w:tblStylePr w:type="lastCol">
      <w:tblPr/>
      <w:tcPr>
        <w:tcBorders>
          <w:top w:val="nil"/>
          <w:left w:val="single" w:color="8064A2" w:themeColor="accent4"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82">
    <w:name w:val="Medium List 2 Accent 5"/>
    <w:basedOn w:val="33"/>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Pr>
    <w:tblStylePr w:type="firstRow">
      <w:rPr>
        <w:sz w:val="24"/>
        <w:szCs w:val="24"/>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tblPr/>
      <w:tcPr>
        <w:tcBorders>
          <w:top w:val="single" w:color="4BACC6" w:themeColor="accent5"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BACC6" w:themeColor="accent5" w:sz="8" w:space="0"/>
          <w:insideH w:val="nil"/>
          <w:insideV w:val="nil"/>
        </w:tcBorders>
        <w:shd w:val="clear" w:color="auto" w:fill="FFFFFF" w:themeFill="background1"/>
      </w:tcPr>
    </w:tblStylePr>
    <w:tblStylePr w:type="lastCol">
      <w:tblPr/>
      <w:tcPr>
        <w:tcBorders>
          <w:top w:val="nil"/>
          <w:left w:val="single" w:color="4BACC6" w:themeColor="accent5"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0" w:themeFill="accent5" w:themeFillTint="3F"/>
      </w:tcPr>
    </w:tblStylePr>
    <w:tblStylePr w:type="band1Horz">
      <w:tblPr/>
      <w:tcPr>
        <w:tcBorders>
          <w:top w:val="nil"/>
          <w:bottom w:val="nil"/>
          <w:insideH w:val="nil"/>
          <w:insideV w:val="nil"/>
        </w:tcBorders>
        <w:shd w:val="clear" w:color="auto" w:fill="D2EA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83">
    <w:name w:val="Medium List 2 Accent 6"/>
    <w:basedOn w:val="33"/>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Pr>
    <w:tblStylePr w:type="firstRow">
      <w:rPr>
        <w:sz w:val="24"/>
        <w:szCs w:val="24"/>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tblPr/>
      <w:tcPr>
        <w:tcBorders>
          <w:top w:val="single" w:color="F79646" w:themeColor="accent6"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F79646" w:themeColor="accent6" w:sz="8" w:space="0"/>
          <w:insideH w:val="nil"/>
          <w:insideV w:val="nil"/>
        </w:tcBorders>
        <w:shd w:val="clear" w:color="auto" w:fill="FFFFFF" w:themeFill="background1"/>
      </w:tcPr>
    </w:tblStylePr>
    <w:tblStylePr w:type="lastCol">
      <w:tblPr/>
      <w:tcPr>
        <w:tcBorders>
          <w:top w:val="nil"/>
          <w:left w:val="single" w:color="F79646" w:themeColor="accent6"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5D1" w:themeFill="accent6" w:themeFillTint="3F"/>
      </w:tcPr>
    </w:tblStylePr>
    <w:tblStylePr w:type="band1Horz">
      <w:tblPr/>
      <w:tcPr>
        <w:tcBorders>
          <w:top w:val="nil"/>
          <w:bottom w:val="nil"/>
          <w:insideH w:val="nil"/>
          <w:insideV w:val="nil"/>
        </w:tcBorders>
        <w:shd w:val="clear" w:color="auto" w:fill="FDE5D1"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84">
    <w:name w:val="Medium Grid 1"/>
    <w:basedOn w:val="33"/>
    <w:qFormat/>
    <w:uiPriority w:val="67"/>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insideV w:val="single" w:color="3F3F3F" w:themeColor="text1" w:themeTint="BF" w:sz="8" w:space="0"/>
      </w:tblBorders>
    </w:tblPr>
    <w:tcPr>
      <w:shd w:val="clear" w:color="auto" w:fill="BFBFBF" w:themeFill="text1" w:themeFillTint="3F"/>
    </w:tcPr>
    <w:tblStylePr w:type="firstRow">
      <w:rPr>
        <w:b/>
        <w:bCs/>
      </w:rPr>
    </w:tblStylePr>
    <w:tblStylePr w:type="lastRow">
      <w:rPr>
        <w:b/>
        <w:bCs/>
      </w:rPr>
      <w:tblPr/>
      <w:tcPr>
        <w:tcBorders>
          <w:top w:val="single" w:color="3F3F3F" w:themeColor="text1" w:themeTint="BF" w:sz="18" w:space="0"/>
        </w:tcBorders>
      </w:tcPr>
    </w:tblStylePr>
    <w:tblStylePr w:type="firstCol">
      <w:rPr>
        <w:b/>
        <w:bCs/>
      </w:rPr>
    </w:tblStylePr>
    <w:tblStylePr w:type="lastCol">
      <w:rPr>
        <w:b/>
        <w:bCs/>
      </w:rPr>
    </w:tblStylePr>
    <w:tblStylePr w:type="band1Vert">
      <w:tblPr/>
      <w:tcPr>
        <w:shd w:val="clear" w:color="auto" w:fill="7F7F7F" w:themeFill="text1" w:themeFillTint="7F"/>
      </w:tcPr>
    </w:tblStylePr>
    <w:tblStylePr w:type="band1Horz">
      <w:tblPr/>
      <w:tcPr>
        <w:shd w:val="clear" w:color="auto" w:fill="7F7F7F" w:themeFill="text1" w:themeFillTint="7F"/>
      </w:tcPr>
    </w:tblStylePr>
  </w:style>
  <w:style w:type="table" w:styleId="85">
    <w:name w:val="Medium Grid 1 Accent 1"/>
    <w:basedOn w:val="33"/>
    <w:qFormat/>
    <w:uiPriority w:val="67"/>
    <w:pPr>
      <w:spacing w:after="0" w:line="240" w:lineRule="auto"/>
    </w:pPr>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insideV w:val="single" w:color="7BA0CD" w:themeColor="accent1" w:themeTint="BF" w:sz="8" w:space="0"/>
      </w:tblBorders>
    </w:tblPr>
    <w:tcPr>
      <w:shd w:val="clear" w:color="auto" w:fill="D3DFEE" w:themeFill="accent1" w:themeFillTint="3F"/>
    </w:tcPr>
    <w:tblStylePr w:type="firstRow">
      <w:rPr>
        <w:b/>
        <w:bCs/>
      </w:rPr>
    </w:tblStylePr>
    <w:tblStylePr w:type="lastRow">
      <w:rPr>
        <w:b/>
        <w:bCs/>
      </w:rPr>
      <w:tblPr/>
      <w:tcPr>
        <w:tcBorders>
          <w:top w:val="single" w:color="7BA0CD" w:themeColor="accent1" w:themeTint="BF" w:sz="18" w:space="0"/>
        </w:tcBorders>
      </w:tcPr>
    </w:tblStylePr>
    <w:tblStylePr w:type="firstCol">
      <w:rPr>
        <w:b/>
        <w:bCs/>
      </w:rPr>
    </w:tblStylePr>
    <w:tblStylePr w:type="lastCol">
      <w:rPr>
        <w:b/>
        <w:bCs/>
      </w:rPr>
    </w:tblStylePr>
    <w:tblStylePr w:type="band1Vert">
      <w:tblPr/>
      <w:tcPr>
        <w:shd w:val="clear" w:color="auto" w:fill="A7C0DE" w:themeFill="accent1" w:themeFillTint="7F"/>
      </w:tcPr>
    </w:tblStylePr>
    <w:tblStylePr w:type="band1Horz">
      <w:tblPr/>
      <w:tcPr>
        <w:shd w:val="clear" w:color="auto" w:fill="A7C0DE" w:themeFill="accent1" w:themeFillTint="7F"/>
      </w:tcPr>
    </w:tblStylePr>
  </w:style>
  <w:style w:type="table" w:styleId="86">
    <w:name w:val="Medium Grid 1 Accent 2"/>
    <w:basedOn w:val="33"/>
    <w:qFormat/>
    <w:uiPriority w:val="67"/>
    <w:pPr>
      <w:spacing w:after="0" w:line="240" w:lineRule="auto"/>
    </w:pPr>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insideV w:val="single" w:color="CF7B79" w:themeColor="accent2" w:themeTint="BF" w:sz="8" w:space="0"/>
      </w:tblBorders>
    </w:tblPr>
    <w:tcPr>
      <w:shd w:val="clear" w:color="auto" w:fill="EFD3D3" w:themeFill="accent2" w:themeFillTint="3F"/>
    </w:tcPr>
    <w:tblStylePr w:type="firstRow">
      <w:rPr>
        <w:b/>
        <w:bCs/>
      </w:rPr>
    </w:tblStylePr>
    <w:tblStylePr w:type="lastRow">
      <w:rPr>
        <w:b/>
        <w:bCs/>
      </w:rPr>
      <w:tblPr/>
      <w:tcPr>
        <w:tcBorders>
          <w:top w:val="single" w:color="CF7B79" w:themeColor="accent2" w:themeTint="BF" w:sz="18" w:space="0"/>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87">
    <w:name w:val="Medium Grid 1 Accent 3"/>
    <w:basedOn w:val="33"/>
    <w:qFormat/>
    <w:uiPriority w:val="67"/>
    <w:pPr>
      <w:spacing w:after="0" w:line="240" w:lineRule="auto"/>
    </w:pPr>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insideV w:val="single" w:color="B4CC82" w:themeColor="accent3" w:themeTint="BF" w:sz="8" w:space="0"/>
      </w:tblBorders>
    </w:tblPr>
    <w:tcPr>
      <w:shd w:val="clear" w:color="auto" w:fill="E6EED5" w:themeFill="accent3" w:themeFillTint="3F"/>
    </w:tcPr>
    <w:tblStylePr w:type="firstRow">
      <w:rPr>
        <w:b/>
        <w:bCs/>
      </w:rPr>
    </w:tblStylePr>
    <w:tblStylePr w:type="lastRow">
      <w:rPr>
        <w:b/>
        <w:bCs/>
      </w:rPr>
      <w:tblPr/>
      <w:tcPr>
        <w:tcBorders>
          <w:top w:val="single" w:color="B4CC82" w:themeColor="accent3" w:themeTint="BF" w:sz="18" w:space="0"/>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88">
    <w:name w:val="Medium Grid 1 Accent 4"/>
    <w:basedOn w:val="33"/>
    <w:qFormat/>
    <w:uiPriority w:val="67"/>
    <w:pPr>
      <w:spacing w:after="0" w:line="240" w:lineRule="auto"/>
    </w:pPr>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insideV w:val="single" w:color="9F8AB9" w:themeColor="accent4" w:themeTint="BF" w:sz="8" w:space="0"/>
      </w:tblBorders>
    </w:tblPr>
    <w:tcPr>
      <w:shd w:val="clear" w:color="auto" w:fill="DFD8E8" w:themeFill="accent4" w:themeFillTint="3F"/>
    </w:tcPr>
    <w:tblStylePr w:type="firstRow">
      <w:rPr>
        <w:b/>
        <w:bCs/>
      </w:rPr>
    </w:tblStylePr>
    <w:tblStylePr w:type="lastRow">
      <w:rPr>
        <w:b/>
        <w:bCs/>
      </w:rPr>
      <w:tblPr/>
      <w:tcPr>
        <w:tcBorders>
          <w:top w:val="single" w:color="9F8AB9" w:themeColor="accent4" w:themeTint="BF" w:sz="18" w:space="0"/>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89">
    <w:name w:val="Medium Grid 1 Accent 5"/>
    <w:basedOn w:val="33"/>
    <w:qFormat/>
    <w:uiPriority w:val="67"/>
    <w:pPr>
      <w:spacing w:after="0" w:line="240" w:lineRule="auto"/>
    </w:pPr>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insideV w:val="single" w:color="78C0D4" w:themeColor="accent5" w:themeTint="BF" w:sz="8" w:space="0"/>
      </w:tblBorders>
    </w:tblPr>
    <w:tcPr>
      <w:shd w:val="clear" w:color="auto" w:fill="D2EAF0" w:themeFill="accent5" w:themeFillTint="3F"/>
    </w:tcPr>
    <w:tblStylePr w:type="firstRow">
      <w:rPr>
        <w:b/>
        <w:bCs/>
      </w:rPr>
    </w:tblStylePr>
    <w:tblStylePr w:type="lastRow">
      <w:rPr>
        <w:b/>
        <w:bCs/>
      </w:rPr>
      <w:tblPr/>
      <w:tcPr>
        <w:tcBorders>
          <w:top w:val="single" w:color="78C0D4" w:themeColor="accent5" w:themeTint="BF" w:sz="18" w:space="0"/>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90">
    <w:name w:val="Medium Grid 1 Accent 6"/>
    <w:basedOn w:val="33"/>
    <w:qFormat/>
    <w:uiPriority w:val="67"/>
    <w:pPr>
      <w:spacing w:after="0" w:line="240" w:lineRule="auto"/>
    </w:pPr>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insideV w:val="single" w:color="F9B074" w:themeColor="accent6" w:themeTint="BF" w:sz="8" w:space="0"/>
      </w:tblBorders>
    </w:tblPr>
    <w:tcPr>
      <w:shd w:val="clear" w:color="auto" w:fill="FDE5D1" w:themeFill="accent6" w:themeFillTint="3F"/>
    </w:tcPr>
    <w:tblStylePr w:type="firstRow">
      <w:rPr>
        <w:b/>
        <w:bCs/>
      </w:rPr>
    </w:tblStylePr>
    <w:tblStylePr w:type="lastRow">
      <w:rPr>
        <w:b/>
        <w:bCs/>
      </w:rPr>
      <w:tblPr/>
      <w:tcPr>
        <w:tcBorders>
          <w:top w:val="single" w:color="F9B074" w:themeColor="accent6" w:themeTint="BF" w:sz="18" w:space="0"/>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91">
    <w:name w:val="Medium Grid 2"/>
    <w:basedOn w:val="33"/>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Pr>
    <w:tcPr>
      <w:shd w:val="clear" w:color="auto" w:fill="BFBFBF" w:themeFill="text1" w:themeFillTint="3F"/>
    </w:tcPr>
    <w:tblStylePr w:type="firstRow">
      <w:rPr>
        <w:b/>
        <w:bCs/>
        <w:color w:val="000000" w:themeColor="text1"/>
        <w14:textFill>
          <w14:solidFill>
            <w14:schemeClr w14:val="tx1"/>
          </w14:solidFill>
        </w14:textFill>
      </w:rPr>
      <w:tblPr/>
      <w:tcPr>
        <w:shd w:val="clear" w:color="auto" w:fill="E5E5E5" w:themeFill="text1"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7F7F7F" w:themeFill="text1" w:themeFillTint="7F"/>
      </w:tcPr>
    </w:tblStylePr>
    <w:tblStylePr w:type="band1Horz">
      <w:tblPr/>
      <w:tcPr>
        <w:tcBorders>
          <w:insideH w:val="single" w:sz="6" w:space="0"/>
          <w:insideV w:val="single" w:sz="6" w:space="0"/>
        </w:tcBorders>
        <w:shd w:val="clear" w:color="auto" w:fill="7F7F7F" w:themeFill="text1" w:themeFillTint="7F"/>
      </w:tcPr>
    </w:tblStylePr>
    <w:tblStylePr w:type="nwCell">
      <w:tblPr/>
      <w:tcPr>
        <w:shd w:val="clear" w:color="auto" w:fill="FFFFFF" w:themeFill="background1"/>
      </w:tcPr>
    </w:tblStylePr>
  </w:style>
  <w:style w:type="table" w:styleId="92">
    <w:name w:val="Medium Grid 2 Accent 1"/>
    <w:basedOn w:val="33"/>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Pr>
    <w:tcPr>
      <w:shd w:val="clear" w:color="auto" w:fill="D3DFEE" w:themeFill="accent1" w:themeFillTint="3F"/>
    </w:tcPr>
    <w:tblStylePr w:type="firstRow">
      <w:rPr>
        <w:b/>
        <w:bCs/>
        <w:color w:val="000000" w:themeColor="text1"/>
        <w14:textFill>
          <w14:solidFill>
            <w14:schemeClr w14:val="tx1"/>
          </w14:solidFill>
        </w14:textFill>
      </w:rPr>
      <w:tblPr/>
      <w:tcPr>
        <w:shd w:val="clear" w:color="auto" w:fill="EDF2F8" w:themeFill="accent1"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C0DE" w:themeFill="accent1" w:themeFillTint="7F"/>
      </w:tcPr>
    </w:tblStylePr>
    <w:tblStylePr w:type="band1Horz">
      <w:tblPr/>
      <w:tcPr>
        <w:tcBorders>
          <w:insideH w:val="single" w:sz="6" w:space="0"/>
          <w:insideV w:val="single" w:sz="6" w:space="0"/>
        </w:tcBorders>
        <w:shd w:val="clear" w:color="auto" w:fill="A7C0DE" w:themeFill="accent1" w:themeFillTint="7F"/>
      </w:tcPr>
    </w:tblStylePr>
    <w:tblStylePr w:type="nwCell">
      <w:tblPr/>
      <w:tcPr>
        <w:shd w:val="clear" w:color="auto" w:fill="FFFFFF" w:themeFill="background1"/>
      </w:tcPr>
    </w:tblStylePr>
  </w:style>
  <w:style w:type="table" w:styleId="93">
    <w:name w:val="Medium Grid 2 Accent 2"/>
    <w:basedOn w:val="33"/>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Pr>
    <w:tcPr>
      <w:shd w:val="clear" w:color="auto" w:fill="EFD3D3" w:themeFill="accent2" w:themeFillTint="3F"/>
    </w:tcPr>
    <w:tblStylePr w:type="firstRow">
      <w:rPr>
        <w:b/>
        <w:bCs/>
        <w:color w:val="000000" w:themeColor="text1"/>
        <w14:textFill>
          <w14:solidFill>
            <w14:schemeClr w14:val="tx1"/>
          </w14:solidFill>
        </w14:textFill>
      </w:rPr>
      <w:tblPr/>
      <w:tcPr>
        <w:shd w:val="clear" w:color="auto" w:fill="F8EDED" w:themeFill="accent2"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insideV w:val="single" w:sz="6" w:space="0"/>
        </w:tcBorders>
        <w:shd w:val="clear" w:color="auto" w:fill="DFA7A6" w:themeFill="accent2" w:themeFillTint="7F"/>
      </w:tcPr>
    </w:tblStylePr>
    <w:tblStylePr w:type="nwCell">
      <w:tblPr/>
      <w:tcPr>
        <w:shd w:val="clear" w:color="auto" w:fill="FFFFFF" w:themeFill="background1"/>
      </w:tcPr>
    </w:tblStylePr>
  </w:style>
  <w:style w:type="table" w:styleId="94">
    <w:name w:val="Medium Grid 2 Accent 3"/>
    <w:basedOn w:val="33"/>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Pr>
    <w:tcPr>
      <w:shd w:val="clear" w:color="auto" w:fill="E6EED5" w:themeFill="accent3" w:themeFillTint="3F"/>
    </w:tcPr>
    <w:tblStylePr w:type="firstRow">
      <w:rPr>
        <w:b/>
        <w:bCs/>
        <w:color w:val="000000" w:themeColor="text1"/>
        <w14:textFill>
          <w14:solidFill>
            <w14:schemeClr w14:val="tx1"/>
          </w14:solidFill>
        </w14:textFill>
      </w:rPr>
      <w:tblPr/>
      <w:tcPr>
        <w:shd w:val="clear" w:color="auto" w:fill="F5F8EE" w:themeFill="accent3"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insideV w:val="single" w:sz="6" w:space="0"/>
        </w:tcBorders>
        <w:shd w:val="clear" w:color="auto" w:fill="CDDDAC" w:themeFill="accent3" w:themeFillTint="7F"/>
      </w:tcPr>
    </w:tblStylePr>
    <w:tblStylePr w:type="nwCell">
      <w:tblPr/>
      <w:tcPr>
        <w:shd w:val="clear" w:color="auto" w:fill="FFFFFF" w:themeFill="background1"/>
      </w:tcPr>
    </w:tblStylePr>
  </w:style>
  <w:style w:type="table" w:styleId="95">
    <w:name w:val="Medium Grid 2 Accent 4"/>
    <w:basedOn w:val="33"/>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Pr>
    <w:tcPr>
      <w:shd w:val="clear" w:color="auto" w:fill="DFD8E8" w:themeFill="accent4" w:themeFillTint="3F"/>
    </w:tcPr>
    <w:tblStylePr w:type="firstRow">
      <w:rPr>
        <w:b/>
        <w:bCs/>
        <w:color w:val="000000" w:themeColor="text1"/>
        <w14:textFill>
          <w14:solidFill>
            <w14:schemeClr w14:val="tx1"/>
          </w14:solidFill>
        </w14:textFill>
      </w:rPr>
      <w:tblPr/>
      <w:tcPr>
        <w:shd w:val="clear" w:color="auto" w:fill="F2EFF5" w:themeFill="accent4"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insideV w:val="single" w:sz="6" w:space="0"/>
        </w:tcBorders>
        <w:shd w:val="clear" w:color="auto" w:fill="BFB1D0" w:themeFill="accent4" w:themeFillTint="7F"/>
      </w:tcPr>
    </w:tblStylePr>
    <w:tblStylePr w:type="nwCell">
      <w:tblPr/>
      <w:tcPr>
        <w:shd w:val="clear" w:color="auto" w:fill="FFFFFF" w:themeFill="background1"/>
      </w:tcPr>
    </w:tblStylePr>
  </w:style>
  <w:style w:type="table" w:styleId="96">
    <w:name w:val="Medium Grid 2 Accent 5"/>
    <w:basedOn w:val="33"/>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Pr>
    <w:tcPr>
      <w:shd w:val="clear" w:color="auto" w:fill="D2EAF0" w:themeFill="accent5" w:themeFillTint="3F"/>
    </w:tcPr>
    <w:tblStylePr w:type="firstRow">
      <w:rPr>
        <w:b/>
        <w:bCs/>
        <w:color w:val="000000" w:themeColor="text1"/>
        <w14:textFill>
          <w14:solidFill>
            <w14:schemeClr w14:val="tx1"/>
          </w14:solidFill>
        </w14:textFill>
      </w:rPr>
      <w:tblPr/>
      <w:tcPr>
        <w:shd w:val="clear" w:color="auto" w:fill="EDF6F9" w:themeFill="accent5"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insideV w:val="single" w:sz="6" w:space="0"/>
        </w:tcBorders>
        <w:shd w:val="clear" w:color="auto" w:fill="A5D5E2" w:themeFill="accent5" w:themeFillTint="7F"/>
      </w:tcPr>
    </w:tblStylePr>
    <w:tblStylePr w:type="nwCell">
      <w:tblPr/>
      <w:tcPr>
        <w:shd w:val="clear" w:color="auto" w:fill="FFFFFF" w:themeFill="background1"/>
      </w:tcPr>
    </w:tblStylePr>
  </w:style>
  <w:style w:type="table" w:styleId="97">
    <w:name w:val="Medium Grid 2 Accent 6"/>
    <w:basedOn w:val="33"/>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Pr>
    <w:tcPr>
      <w:shd w:val="clear" w:color="auto" w:fill="FDE5D1" w:themeFill="accent6" w:themeFillTint="3F"/>
    </w:tcPr>
    <w:tblStylePr w:type="firstRow">
      <w:rPr>
        <w:b/>
        <w:bCs/>
        <w:color w:val="000000" w:themeColor="text1"/>
        <w14:textFill>
          <w14:solidFill>
            <w14:schemeClr w14:val="tx1"/>
          </w14:solidFill>
        </w14:textFill>
      </w:rPr>
      <w:tblPr/>
      <w:tcPr>
        <w:shd w:val="clear" w:color="auto" w:fill="FEF4EC" w:themeFill="accent6"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insideV w:val="single" w:sz="6" w:space="0"/>
        </w:tcBorders>
        <w:shd w:val="clear" w:color="auto" w:fill="FBCAA2" w:themeFill="accent6" w:themeFillTint="7F"/>
      </w:tcPr>
    </w:tblStylePr>
    <w:tblStylePr w:type="nwCell">
      <w:tblPr/>
      <w:tcPr>
        <w:shd w:val="clear" w:color="auto" w:fill="FFFFFF" w:themeFill="background1"/>
      </w:tcPr>
    </w:tblStylePr>
  </w:style>
  <w:style w:type="table" w:styleId="98">
    <w:name w:val="Medium Grid 3"/>
    <w:basedOn w:val="33"/>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BFBFBF" w:themeFill="text1"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000000" w:themeFill="text1"/>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000000" w:themeFill="text1"/>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000000" w:themeFill="text1"/>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000000" w:themeFill="tex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7F7F7F" w:themeFill="tex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7F7F7F" w:themeFill="text1" w:themeFillTint="7F"/>
      </w:tcPr>
    </w:tblStylePr>
  </w:style>
  <w:style w:type="table" w:styleId="99">
    <w:name w:val="Medium Grid 3 Accent 1"/>
    <w:basedOn w:val="33"/>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3DFEE" w:themeFill="accent1"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F81BD" w:themeFill="accent1"/>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F81BD" w:themeFill="accent1"/>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4F81BD" w:themeFill="accent1"/>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4F81BD" w:themeFill="accen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7C0DE" w:themeFill="accen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7C0DE" w:themeFill="accent1" w:themeFillTint="7F"/>
      </w:tcPr>
    </w:tblStylePr>
  </w:style>
  <w:style w:type="table" w:styleId="100">
    <w:name w:val="Medium Grid 3 Accent 2"/>
    <w:basedOn w:val="33"/>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EFD3D3" w:themeFill="accent2"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C0504D" w:themeFill="accent2"/>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C0504D" w:themeFill="accent2"/>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C0504D" w:themeFill="accent2"/>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C0504D" w:themeFill="accent2"/>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DFA7A6" w:themeFill="accent2"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DFA7A6" w:themeFill="accent2" w:themeFillTint="7F"/>
      </w:tcPr>
    </w:tblStylePr>
  </w:style>
  <w:style w:type="table" w:styleId="101">
    <w:name w:val="Medium Grid 3 Accent 3"/>
    <w:basedOn w:val="33"/>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E6EED5" w:themeFill="accent3"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9BBB59" w:themeFill="accent3"/>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9BBB59" w:themeFill="accent3"/>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9BBB59" w:themeFill="accent3"/>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9BBB59" w:themeFill="accent3"/>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CDDDAC" w:themeFill="accent3"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CDDDAC" w:themeFill="accent3" w:themeFillTint="7F"/>
      </w:tcPr>
    </w:tblStylePr>
  </w:style>
  <w:style w:type="table" w:styleId="102">
    <w:name w:val="Medium Grid 3 Accent 4"/>
    <w:basedOn w:val="33"/>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FD8E8" w:themeFill="accent4"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8064A2" w:themeFill="accent4"/>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8064A2" w:themeFill="accent4"/>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8064A2" w:themeFill="accent4"/>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8064A2" w:themeFill="accent4"/>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FB1D0" w:themeFill="accent4"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FB1D0" w:themeFill="accent4" w:themeFillTint="7F"/>
      </w:tcPr>
    </w:tblStylePr>
  </w:style>
  <w:style w:type="table" w:styleId="103">
    <w:name w:val="Medium Grid 3 Accent 5"/>
    <w:basedOn w:val="33"/>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2EAF0" w:themeFill="accent5"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BACC6" w:themeFill="accent5"/>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BACC6" w:themeFill="accent5"/>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4BACC6" w:themeFill="accent5"/>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4BACC6" w:themeFill="accent5"/>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5D5E2" w:themeFill="accent5"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5D5E2" w:themeFill="accent5" w:themeFillTint="7F"/>
      </w:tcPr>
    </w:tblStylePr>
  </w:style>
  <w:style w:type="table" w:styleId="104">
    <w:name w:val="Medium Grid 3 Accent 6"/>
    <w:basedOn w:val="33"/>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FDE5D1" w:themeFill="accent6"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F79646" w:themeFill="accent6"/>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F79646" w:themeFill="accent6"/>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F79646" w:themeFill="accent6"/>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F79646" w:themeFill="accent6"/>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FBCAA2" w:themeFill="accent6"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FBCAA2" w:themeFill="accent6" w:themeFillTint="7F"/>
      </w:tcPr>
    </w:tblStylePr>
  </w:style>
  <w:style w:type="table" w:styleId="105">
    <w:name w:val="Dark List"/>
    <w:basedOn w:val="33"/>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000000" w:themeFill="tex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color="FFFFFF" w:themeColor="background1" w:sz="18" w:space="0"/>
          <w:insideH w:val="nil"/>
          <w:insideV w:val="nil"/>
        </w:tcBorders>
        <w:shd w:val="clear" w:color="auto" w:fill="000000" w:themeFill="text1" w:themeFillShade="BF"/>
      </w:tcPr>
    </w:tblStylePr>
    <w:tblStylePr w:type="lastCol">
      <w:tblPr/>
      <w:tcPr>
        <w:tcBorders>
          <w:top w:val="nil"/>
          <w:left w:val="single" w:color="FFFFFF" w:themeColor="background1" w:sz="18" w:space="0"/>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06">
    <w:name w:val="Dark List Accent 1"/>
    <w:basedOn w:val="33"/>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4F81BD" w:themeFill="accen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43F61" w:themeFill="accent1" w:themeFillShade="7F"/>
      </w:tcPr>
    </w:tblStylePr>
    <w:tblStylePr w:type="firstCol">
      <w:tblPr/>
      <w:tcPr>
        <w:tcBorders>
          <w:top w:val="nil"/>
          <w:left w:val="nil"/>
          <w:bottom w:val="nil"/>
          <w:right w:val="single" w:color="FFFFFF" w:themeColor="background1" w:sz="18" w:space="0"/>
          <w:insideH w:val="nil"/>
          <w:insideV w:val="nil"/>
        </w:tcBorders>
        <w:shd w:val="clear" w:color="auto" w:fill="366091" w:themeFill="accent1" w:themeFillShade="BF"/>
      </w:tcPr>
    </w:tblStylePr>
    <w:tblStylePr w:type="lastCol">
      <w:tblPr/>
      <w:tcPr>
        <w:tcBorders>
          <w:top w:val="nil"/>
          <w:left w:val="single" w:color="FFFFFF" w:themeColor="background1" w:sz="18" w:space="0"/>
          <w:bottom w:val="nil"/>
          <w:right w:val="nil"/>
          <w:insideH w:val="nil"/>
          <w:insideV w:val="nil"/>
        </w:tcBorders>
        <w:shd w:val="clear" w:color="auto" w:fill="366091" w:themeFill="accent1" w:themeFillShade="BF"/>
      </w:tcPr>
    </w:tblStylePr>
    <w:tblStylePr w:type="band1Vert">
      <w:tblPr/>
      <w:tcPr>
        <w:tcBorders>
          <w:top w:val="nil"/>
          <w:left w:val="nil"/>
          <w:bottom w:val="nil"/>
          <w:right w:val="nil"/>
          <w:insideH w:val="nil"/>
          <w:insideV w:val="nil"/>
        </w:tcBorders>
        <w:shd w:val="clear" w:color="auto" w:fill="366091" w:themeFill="accent1" w:themeFillShade="BF"/>
      </w:tcPr>
    </w:tblStylePr>
    <w:tblStylePr w:type="band1Horz">
      <w:tblPr/>
      <w:tcPr>
        <w:tcBorders>
          <w:top w:val="nil"/>
          <w:left w:val="nil"/>
          <w:bottom w:val="nil"/>
          <w:right w:val="nil"/>
          <w:insideH w:val="nil"/>
          <w:insideV w:val="nil"/>
        </w:tcBorders>
        <w:shd w:val="clear" w:color="auto" w:fill="366091" w:themeFill="accent1" w:themeFillShade="BF"/>
      </w:tcPr>
    </w:tblStylePr>
  </w:style>
  <w:style w:type="table" w:styleId="107">
    <w:name w:val="Dark List Accent 2"/>
    <w:basedOn w:val="33"/>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C0504D" w:themeFill="accent2"/>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color="FFFFFF" w:themeColor="background1" w:sz="18" w:space="0"/>
          <w:insideH w:val="nil"/>
          <w:insideV w:val="nil"/>
        </w:tcBorders>
        <w:shd w:val="clear" w:color="auto" w:fill="943734" w:themeFill="accent2" w:themeFillShade="BF"/>
      </w:tcPr>
    </w:tblStylePr>
    <w:tblStylePr w:type="lastCol">
      <w:tblPr/>
      <w:tcPr>
        <w:tcBorders>
          <w:top w:val="nil"/>
          <w:left w:val="single" w:color="FFFFFF" w:themeColor="background1" w:sz="18" w:space="0"/>
          <w:bottom w:val="nil"/>
          <w:right w:val="nil"/>
          <w:insideH w:val="nil"/>
          <w:insideV w:val="nil"/>
        </w:tcBorders>
        <w:shd w:val="clear" w:color="auto" w:fill="943734" w:themeFill="accent2" w:themeFillShade="BF"/>
      </w:tcPr>
    </w:tblStylePr>
    <w:tblStylePr w:type="band1Vert">
      <w:tblPr/>
      <w:tcPr>
        <w:tcBorders>
          <w:top w:val="nil"/>
          <w:left w:val="nil"/>
          <w:bottom w:val="nil"/>
          <w:right w:val="nil"/>
          <w:insideH w:val="nil"/>
          <w:insideV w:val="nil"/>
        </w:tcBorders>
        <w:shd w:val="clear" w:color="auto" w:fill="943734" w:themeFill="accent2" w:themeFillShade="BF"/>
      </w:tcPr>
    </w:tblStylePr>
    <w:tblStylePr w:type="band1Horz">
      <w:tblPr/>
      <w:tcPr>
        <w:tcBorders>
          <w:top w:val="nil"/>
          <w:left w:val="nil"/>
          <w:bottom w:val="nil"/>
          <w:right w:val="nil"/>
          <w:insideH w:val="nil"/>
          <w:insideV w:val="nil"/>
        </w:tcBorders>
        <w:shd w:val="clear" w:color="auto" w:fill="943734" w:themeFill="accent2" w:themeFillShade="BF"/>
      </w:tcPr>
    </w:tblStylePr>
  </w:style>
  <w:style w:type="table" w:styleId="108">
    <w:name w:val="Dark List Accent 3"/>
    <w:basedOn w:val="33"/>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9BBB59" w:themeFill="accent3"/>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4E6127" w:themeFill="accent3" w:themeFillShade="7F"/>
      </w:tcPr>
    </w:tblStylePr>
    <w:tblStylePr w:type="firstCol">
      <w:tblPr/>
      <w:tcPr>
        <w:tcBorders>
          <w:top w:val="nil"/>
          <w:left w:val="nil"/>
          <w:bottom w:val="nil"/>
          <w:right w:val="single" w:color="FFFFFF" w:themeColor="background1" w:sz="18" w:space="0"/>
          <w:insideH w:val="nil"/>
          <w:insideV w:val="nil"/>
        </w:tcBorders>
        <w:shd w:val="clear" w:color="auto" w:fill="76923C" w:themeFill="accent3" w:themeFillShade="BF"/>
      </w:tcPr>
    </w:tblStylePr>
    <w:tblStylePr w:type="lastCol">
      <w:tblPr/>
      <w:tcPr>
        <w:tcBorders>
          <w:top w:val="nil"/>
          <w:left w:val="single" w:color="FFFFFF" w:themeColor="background1" w:sz="18" w:space="0"/>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109">
    <w:name w:val="Dark List Accent 4"/>
    <w:basedOn w:val="33"/>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8064A2" w:themeFill="accent4"/>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3F3051" w:themeFill="accent4" w:themeFillShade="7F"/>
      </w:tcPr>
    </w:tblStylePr>
    <w:tblStylePr w:type="firstCol">
      <w:tblPr/>
      <w:tcPr>
        <w:tcBorders>
          <w:top w:val="nil"/>
          <w:left w:val="nil"/>
          <w:bottom w:val="nil"/>
          <w:right w:val="single" w:color="FFFFFF" w:themeColor="background1" w:sz="18" w:space="0"/>
          <w:insideH w:val="nil"/>
          <w:insideV w:val="nil"/>
        </w:tcBorders>
        <w:shd w:val="clear" w:color="auto" w:fill="5F497A" w:themeFill="accent4" w:themeFillShade="BF"/>
      </w:tcPr>
    </w:tblStylePr>
    <w:tblStylePr w:type="lastCol">
      <w:tblPr/>
      <w:tcPr>
        <w:tcBorders>
          <w:top w:val="nil"/>
          <w:left w:val="single" w:color="FFFFFF" w:themeColor="background1" w:sz="18" w:space="0"/>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110">
    <w:name w:val="Dark List Accent 5"/>
    <w:basedOn w:val="33"/>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4BACC6" w:themeFill="accent5"/>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color="FFFFFF" w:themeColor="background1" w:sz="18" w:space="0"/>
          <w:insideH w:val="nil"/>
          <w:insideV w:val="nil"/>
        </w:tcBorders>
        <w:shd w:val="clear" w:color="auto" w:fill="31849B" w:themeFill="accent5" w:themeFillShade="BF"/>
      </w:tcPr>
    </w:tblStylePr>
    <w:tblStylePr w:type="lastCol">
      <w:tblPr/>
      <w:tcPr>
        <w:tcBorders>
          <w:top w:val="nil"/>
          <w:left w:val="single" w:color="FFFFFF" w:themeColor="background1" w:sz="18" w:space="0"/>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111">
    <w:name w:val="Dark List Accent 6"/>
    <w:basedOn w:val="33"/>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F79646" w:themeFill="accent6"/>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color="FFFFFF" w:themeColor="background1" w:sz="18" w:space="0"/>
          <w:insideH w:val="nil"/>
          <w:insideV w:val="nil"/>
        </w:tcBorders>
        <w:shd w:val="clear" w:color="auto" w:fill="E36C09" w:themeFill="accent6" w:themeFillShade="BF"/>
      </w:tcPr>
    </w:tblStylePr>
    <w:tblStylePr w:type="lastCol">
      <w:tblPr/>
      <w:tcPr>
        <w:tcBorders>
          <w:top w:val="nil"/>
          <w:left w:val="single" w:color="FFFFFF" w:themeColor="background1" w:sz="18" w:space="0"/>
          <w:bottom w:val="nil"/>
          <w:right w:val="nil"/>
          <w:insideH w:val="nil"/>
          <w:insideV w:val="nil"/>
        </w:tcBorders>
        <w:shd w:val="clear" w:color="auto" w:fill="E36C09" w:themeFill="accent6" w:themeFillShade="BF"/>
      </w:tcPr>
    </w:tblStylePr>
    <w:tblStylePr w:type="band1Vert">
      <w:tblPr/>
      <w:tcPr>
        <w:tcBorders>
          <w:top w:val="nil"/>
          <w:left w:val="nil"/>
          <w:bottom w:val="nil"/>
          <w:right w:val="nil"/>
          <w:insideH w:val="nil"/>
          <w:insideV w:val="nil"/>
        </w:tcBorders>
        <w:shd w:val="clear" w:color="auto" w:fill="E36C09" w:themeFill="accent6" w:themeFillShade="BF"/>
      </w:tcPr>
    </w:tblStylePr>
    <w:tblStylePr w:type="band1Horz">
      <w:tblPr/>
      <w:tcPr>
        <w:tcBorders>
          <w:top w:val="nil"/>
          <w:left w:val="nil"/>
          <w:bottom w:val="nil"/>
          <w:right w:val="nil"/>
          <w:insideH w:val="nil"/>
          <w:insideV w:val="nil"/>
        </w:tcBorders>
        <w:shd w:val="clear" w:color="auto" w:fill="E36C09" w:themeFill="accent6" w:themeFillShade="BF"/>
      </w:tcPr>
    </w:tblStylePr>
  </w:style>
  <w:style w:type="table" w:styleId="112">
    <w:name w:val="Colorful Shading"/>
    <w:basedOn w:val="33"/>
    <w:qFormat/>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000000" w:themeColor="text1" w:sz="4" w:space="0"/>
        <w:bottom w:val="single" w:color="000000" w:themeColor="text1" w:sz="4" w:space="0"/>
        <w:right w:val="single" w:color="000000" w:themeColor="text1" w:sz="4" w:space="0"/>
        <w:insideH w:val="single" w:color="FFFFFF" w:themeColor="background1" w:sz="4" w:space="0"/>
        <w:insideV w:val="single" w:color="FFFFFF" w:themeColor="background1" w:sz="4" w:space="0"/>
      </w:tblBorders>
    </w:tblPr>
    <w:tcPr>
      <w:shd w:val="clear" w:color="auto" w:fill="E5E5E5" w:themeFill="tex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000000" w:themeFill="text1"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000000" w:themeFill="text1"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7F7F7F" w:themeFill="tex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3">
    <w:name w:val="Colorful Shading Accent 1"/>
    <w:basedOn w:val="33"/>
    <w:qFormat/>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4F81BD" w:themeColor="accent1" w:sz="4" w:space="0"/>
        <w:bottom w:val="single" w:color="4F81BD" w:themeColor="accent1" w:sz="4" w:space="0"/>
        <w:right w:val="single" w:color="4F81BD" w:themeColor="accent1" w:sz="4" w:space="0"/>
        <w:insideH w:val="single" w:color="FFFFFF" w:themeColor="background1" w:sz="4" w:space="0"/>
        <w:insideV w:val="single" w:color="FFFFFF" w:themeColor="background1" w:sz="4" w:space="0"/>
      </w:tblBorders>
    </w:tblPr>
    <w:tcPr>
      <w:shd w:val="clear" w:color="auto" w:fill="EDF2F8" w:themeFill="accen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2B4D74" w:themeFill="accent1"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2B4D74" w:themeFill="accent1"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2B4D74" w:themeFill="accent1" w:themeFillShade="99"/>
      </w:tcPr>
    </w:tblStylePr>
    <w:tblStylePr w:type="band1Vert">
      <w:tblPr/>
      <w:tcPr>
        <w:shd w:val="clear" w:color="auto" w:fill="B8CCE4" w:themeFill="accent1" w:themeFillTint="66"/>
      </w:tcPr>
    </w:tblStylePr>
    <w:tblStylePr w:type="band1Horz">
      <w:tblPr/>
      <w:tcPr>
        <w:shd w:val="clear" w:color="auto" w:fill="A7C0DE" w:themeFill="accen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4">
    <w:name w:val="Colorful Shading Accent 2"/>
    <w:basedOn w:val="33"/>
    <w:qFormat/>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C0504D" w:themeColor="accent2" w:sz="4" w:space="0"/>
        <w:bottom w:val="single" w:color="C0504D" w:themeColor="accent2" w:sz="4" w:space="0"/>
        <w:right w:val="single" w:color="C0504D" w:themeColor="accent2" w:sz="4" w:space="0"/>
        <w:insideH w:val="single" w:color="FFFFFF" w:themeColor="background1" w:sz="4" w:space="0"/>
        <w:insideV w:val="single" w:color="FFFFFF" w:themeColor="background1" w:sz="4" w:space="0"/>
      </w:tblBorders>
    </w:tblPr>
    <w:tcPr>
      <w:shd w:val="clear" w:color="auto" w:fill="F8EDED" w:themeFill="accent2"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772C2A" w:themeFill="accent2"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772C2A" w:themeFill="accent2"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5">
    <w:name w:val="Colorful Shading Accent 3"/>
    <w:basedOn w:val="33"/>
    <w:qFormat/>
    <w:uiPriority w:val="71"/>
    <w:pPr>
      <w:spacing w:after="0" w:line="240" w:lineRule="auto"/>
    </w:pPr>
    <w:rPr>
      <w:color w:val="000000" w:themeColor="text1"/>
      <w14:textFill>
        <w14:solidFill>
          <w14:schemeClr w14:val="tx1"/>
        </w14:solidFill>
      </w14:textFill>
    </w:rPr>
    <w:tblPr>
      <w:tblBorders>
        <w:top w:val="single" w:color="8064A2" w:themeColor="accent4" w:sz="24" w:space="0"/>
        <w:left w:val="single" w:color="9BBB59" w:themeColor="accent3" w:sz="4" w:space="0"/>
        <w:bottom w:val="single" w:color="9BBB59" w:themeColor="accent3" w:sz="4" w:space="0"/>
        <w:right w:val="single" w:color="9BBB59" w:themeColor="accent3" w:sz="4" w:space="0"/>
        <w:insideH w:val="single" w:color="FFFFFF" w:themeColor="background1" w:sz="4" w:space="0"/>
        <w:insideV w:val="single" w:color="FFFFFF" w:themeColor="background1" w:sz="4" w:space="0"/>
      </w:tblBorders>
    </w:tblPr>
    <w:tcPr>
      <w:shd w:val="clear" w:color="auto" w:fill="F5F8EE" w:themeFill="accent3" w:themeFillTint="19"/>
    </w:tcPr>
    <w:tblStylePr w:type="firstRow">
      <w:rPr>
        <w:b/>
        <w:bCs/>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5E7530" w:themeFill="accent3"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5E7530" w:themeFill="accent3"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116">
    <w:name w:val="Colorful Shading Accent 4"/>
    <w:basedOn w:val="33"/>
    <w:qFormat/>
    <w:uiPriority w:val="71"/>
    <w:pPr>
      <w:spacing w:after="0" w:line="240" w:lineRule="auto"/>
    </w:pPr>
    <w:rPr>
      <w:color w:val="000000" w:themeColor="text1"/>
      <w14:textFill>
        <w14:solidFill>
          <w14:schemeClr w14:val="tx1"/>
        </w14:solidFill>
      </w14:textFill>
    </w:rPr>
    <w:tblPr>
      <w:tblBorders>
        <w:top w:val="single" w:color="9BBB59" w:themeColor="accent3" w:sz="24" w:space="0"/>
        <w:left w:val="single" w:color="8064A2" w:themeColor="accent4" w:sz="4" w:space="0"/>
        <w:bottom w:val="single" w:color="8064A2" w:themeColor="accent4" w:sz="4" w:space="0"/>
        <w:right w:val="single" w:color="8064A2" w:themeColor="accent4" w:sz="4" w:space="0"/>
        <w:insideH w:val="single" w:color="FFFFFF" w:themeColor="background1" w:sz="4" w:space="0"/>
        <w:insideV w:val="single" w:color="FFFFFF" w:themeColor="background1" w:sz="4" w:space="0"/>
      </w:tblBorders>
    </w:tblPr>
    <w:tcPr>
      <w:shd w:val="clear" w:color="auto" w:fill="F2EFF5" w:themeFill="accent4" w:themeFillTint="19"/>
    </w:tcPr>
    <w:tblStylePr w:type="firstRow">
      <w:rPr>
        <w:b/>
        <w:bCs/>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4C3A62" w:themeFill="accent4"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4C3A62" w:themeFill="accent4"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4C3A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7">
    <w:name w:val="Colorful Shading Accent 5"/>
    <w:basedOn w:val="33"/>
    <w:qFormat/>
    <w:uiPriority w:val="71"/>
    <w:pPr>
      <w:spacing w:after="0" w:line="240" w:lineRule="auto"/>
    </w:pPr>
    <w:rPr>
      <w:color w:val="000000" w:themeColor="text1"/>
      <w14:textFill>
        <w14:solidFill>
          <w14:schemeClr w14:val="tx1"/>
        </w14:solidFill>
      </w14:textFill>
    </w:rPr>
    <w:tblPr>
      <w:tblBorders>
        <w:top w:val="single" w:color="F79646" w:themeColor="accent6" w:sz="24" w:space="0"/>
        <w:left w:val="single" w:color="4BACC6" w:themeColor="accent5" w:sz="4" w:space="0"/>
        <w:bottom w:val="single" w:color="4BACC6" w:themeColor="accent5" w:sz="4" w:space="0"/>
        <w:right w:val="single" w:color="4BACC6" w:themeColor="accent5" w:sz="4" w:space="0"/>
        <w:insideH w:val="single" w:color="FFFFFF" w:themeColor="background1" w:sz="4" w:space="0"/>
        <w:insideV w:val="single" w:color="FFFFFF" w:themeColor="background1" w:sz="4" w:space="0"/>
      </w:tblBorders>
    </w:tblPr>
    <w:tcPr>
      <w:shd w:val="clear" w:color="auto" w:fill="EDF6F9" w:themeFill="accent5" w:themeFillTint="19"/>
    </w:tcPr>
    <w:tblStylePr w:type="firstRow">
      <w:rPr>
        <w:b/>
        <w:bCs/>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276A7C" w:themeFill="accent5"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276A7C" w:themeFill="accent5"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8">
    <w:name w:val="Colorful Shading Accent 6"/>
    <w:basedOn w:val="33"/>
    <w:qFormat/>
    <w:uiPriority w:val="71"/>
    <w:pPr>
      <w:spacing w:after="0" w:line="240" w:lineRule="auto"/>
    </w:pPr>
    <w:rPr>
      <w:color w:val="000000" w:themeColor="text1"/>
      <w14:textFill>
        <w14:solidFill>
          <w14:schemeClr w14:val="tx1"/>
        </w14:solidFill>
      </w14:textFill>
    </w:rPr>
    <w:tblPr>
      <w:tblBorders>
        <w:top w:val="single" w:color="4BACC6" w:themeColor="accent5" w:sz="24" w:space="0"/>
        <w:left w:val="single" w:color="F79646" w:themeColor="accent6" w:sz="4" w:space="0"/>
        <w:bottom w:val="single" w:color="F79646" w:themeColor="accent6" w:sz="4" w:space="0"/>
        <w:right w:val="single" w:color="F79646" w:themeColor="accent6" w:sz="4" w:space="0"/>
        <w:insideH w:val="single" w:color="FFFFFF" w:themeColor="background1" w:sz="4" w:space="0"/>
        <w:insideV w:val="single" w:color="FFFFFF" w:themeColor="background1" w:sz="4" w:space="0"/>
      </w:tblBorders>
    </w:tblPr>
    <w:tcPr>
      <w:shd w:val="clear" w:color="auto" w:fill="FEF4EC" w:themeFill="accent6" w:themeFillTint="19"/>
    </w:tcPr>
    <w:tblStylePr w:type="firstRow">
      <w:rPr>
        <w:b/>
        <w:bCs/>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B65607" w:themeFill="accent6"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B65607" w:themeFill="accent6"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B65607"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9">
    <w:name w:val="Colorful List"/>
    <w:basedOn w:val="33"/>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E5E5E5" w:themeFill="text1"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FBFBF" w:themeFill="text1" w:themeFillTint="3F"/>
      </w:tcPr>
    </w:tblStylePr>
    <w:tblStylePr w:type="band1Horz">
      <w:tblPr/>
      <w:tcPr>
        <w:shd w:val="clear" w:color="auto" w:fill="CCCCCC" w:themeFill="text1" w:themeFillTint="33"/>
      </w:tcPr>
    </w:tblStylePr>
  </w:style>
  <w:style w:type="table" w:styleId="120">
    <w:name w:val="Colorful List Accent 1"/>
    <w:basedOn w:val="33"/>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EDF2F8" w:themeFill="accent1"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121">
    <w:name w:val="Colorful List Accent 2"/>
    <w:basedOn w:val="33"/>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F8EDED" w:themeFill="accent2"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3" w:themeFill="accent2" w:themeFillTint="3F"/>
      </w:tcPr>
    </w:tblStylePr>
    <w:tblStylePr w:type="band1Horz">
      <w:tblPr/>
      <w:tcPr>
        <w:shd w:val="clear" w:color="auto" w:fill="F2DBDB" w:themeFill="accent2" w:themeFillTint="33"/>
      </w:tcPr>
    </w:tblStylePr>
  </w:style>
  <w:style w:type="table" w:styleId="122">
    <w:name w:val="Colorful List Accent 3"/>
    <w:basedOn w:val="33"/>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F5F8EE" w:themeFill="accent3"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664E82" w:themeFill="accent4" w:themeFillShade="CC"/>
      </w:tcPr>
    </w:tblStylePr>
    <w:tblStylePr w:type="lastRow">
      <w:rPr>
        <w:b/>
        <w:bCs/>
        <w:color w:val="664F83" w:themeColor="accent4"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123">
    <w:name w:val="Colorful List Accent 4"/>
    <w:basedOn w:val="33"/>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F2EFF5" w:themeFill="accent4"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7E9C40" w:themeFill="accent3" w:themeFillShade="CC"/>
      </w:tcPr>
    </w:tblStylePr>
    <w:tblStylePr w:type="lastRow">
      <w:rPr>
        <w:b/>
        <w:bCs/>
        <w:color w:val="7E9D40" w:themeColor="accent3"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124">
    <w:name w:val="Colorful List Accent 5"/>
    <w:basedOn w:val="33"/>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EDF6F9" w:themeFill="accent5"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F3730A" w:themeFill="accent6" w:themeFillShade="CC"/>
      </w:tcPr>
    </w:tblStylePr>
    <w:tblStylePr w:type="lastRow">
      <w:rPr>
        <w:b/>
        <w:bCs/>
        <w:color w:val="F3740B" w:themeColor="accent6"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0" w:themeFill="accent5" w:themeFillTint="3F"/>
      </w:tcPr>
    </w:tblStylePr>
    <w:tblStylePr w:type="band1Horz">
      <w:tblPr/>
      <w:tcPr>
        <w:shd w:val="clear" w:color="auto" w:fill="DAEEF3" w:themeFill="accent5" w:themeFillTint="33"/>
      </w:tcPr>
    </w:tblStylePr>
  </w:style>
  <w:style w:type="table" w:styleId="125">
    <w:name w:val="Colorful List Accent 6"/>
    <w:basedOn w:val="33"/>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FEF4EC" w:themeFill="accent6"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348DA5" w:themeFill="accent5" w:themeFillShade="CC"/>
      </w:tcPr>
    </w:tblStylePr>
    <w:tblStylePr w:type="lastRow">
      <w:rPr>
        <w:b/>
        <w:bCs/>
        <w:color w:val="358EA6" w:themeColor="accent5"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5D1" w:themeFill="accent6" w:themeFillTint="3F"/>
      </w:tcPr>
    </w:tblStylePr>
    <w:tblStylePr w:type="band1Horz">
      <w:tblPr/>
      <w:tcPr>
        <w:shd w:val="clear" w:color="auto" w:fill="FDE9D9" w:themeFill="accent6" w:themeFillTint="33"/>
      </w:tcPr>
    </w:tblStylePr>
  </w:style>
  <w:style w:type="table" w:styleId="126">
    <w:name w:val="Colorful Grid"/>
    <w:basedOn w:val="33"/>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14:textFill>
          <w14:solidFill>
            <w14:schemeClr w14:val="tx1"/>
          </w14:solidFill>
        </w14:textFill>
      </w:rPr>
      <w:tblPr/>
      <w:tcPr>
        <w:shd w:val="clear" w:color="auto" w:fill="999999" w:themeFill="text1" w:themeFillTint="66"/>
      </w:tcPr>
    </w:tblStylePr>
    <w:tblStylePr w:type="firstCol">
      <w:rPr>
        <w:color w:val="FFFFFF" w:themeColor="background1"/>
        <w14:textFill>
          <w14:solidFill>
            <w14:schemeClr w14:val="bg1"/>
          </w14:solidFill>
        </w14:textFill>
      </w:rPr>
      <w:tblPr/>
      <w:tcPr>
        <w:shd w:val="clear" w:color="auto" w:fill="000000" w:themeFill="text1" w:themeFillShade="BF"/>
      </w:tcPr>
    </w:tblStylePr>
    <w:tblStylePr w:type="lastCol">
      <w:rPr>
        <w:color w:val="FFFFFF" w:themeColor="background1"/>
        <w14:textFill>
          <w14:solidFill>
            <w14:schemeClr w14:val="bg1"/>
          </w14:solidFill>
        </w14:textFill>
      </w:rPr>
      <w:tblPr/>
      <w:tcPr>
        <w:shd w:val="clear" w:color="auto" w:fill="000000" w:themeFill="text1" w:themeFillShade="BF"/>
      </w:tcPr>
    </w:tblStylePr>
    <w:tblStylePr w:type="band1Vert">
      <w:tblPr/>
      <w:tcPr>
        <w:shd w:val="clear" w:color="auto" w:fill="7F7F7F" w:themeFill="text1" w:themeFillTint="7F"/>
      </w:tcPr>
    </w:tblStylePr>
    <w:tblStylePr w:type="band1Horz">
      <w:tblPr/>
      <w:tcPr>
        <w:shd w:val="clear" w:color="auto" w:fill="7F7F7F" w:themeFill="text1" w:themeFillTint="7F"/>
      </w:tcPr>
    </w:tblStylePr>
  </w:style>
  <w:style w:type="table" w:styleId="127">
    <w:name w:val="Colorful Grid Accent 1"/>
    <w:basedOn w:val="33"/>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14:textFill>
          <w14:solidFill>
            <w14:schemeClr w14:val="tx1"/>
          </w14:solidFill>
        </w14:textFill>
      </w:rPr>
      <w:tblPr/>
      <w:tcPr>
        <w:shd w:val="clear" w:color="auto" w:fill="B8CCE4" w:themeFill="accent1" w:themeFillTint="66"/>
      </w:tcPr>
    </w:tblStylePr>
    <w:tblStylePr w:type="firstCol">
      <w:rPr>
        <w:color w:val="FFFFFF" w:themeColor="background1"/>
        <w14:textFill>
          <w14:solidFill>
            <w14:schemeClr w14:val="bg1"/>
          </w14:solidFill>
        </w14:textFill>
      </w:rPr>
      <w:tblPr/>
      <w:tcPr>
        <w:shd w:val="clear" w:color="auto" w:fill="366091" w:themeFill="accent1" w:themeFillShade="BF"/>
      </w:tcPr>
    </w:tblStylePr>
    <w:tblStylePr w:type="lastCol">
      <w:rPr>
        <w:color w:val="FFFFFF" w:themeColor="background1"/>
        <w14:textFill>
          <w14:solidFill>
            <w14:schemeClr w14:val="bg1"/>
          </w14:solidFill>
        </w14:textFill>
      </w:rPr>
      <w:tblPr/>
      <w:tcPr>
        <w:shd w:val="clear" w:color="auto" w:fill="366091" w:themeFill="accent1" w:themeFillShade="BF"/>
      </w:tcPr>
    </w:tblStylePr>
    <w:tblStylePr w:type="band1Vert">
      <w:tblPr/>
      <w:tcPr>
        <w:shd w:val="clear" w:color="auto" w:fill="A7C0DE" w:themeFill="accent1" w:themeFillTint="7F"/>
      </w:tcPr>
    </w:tblStylePr>
    <w:tblStylePr w:type="band1Horz">
      <w:tblPr/>
      <w:tcPr>
        <w:shd w:val="clear" w:color="auto" w:fill="A7C0DE" w:themeFill="accent1" w:themeFillTint="7F"/>
      </w:tcPr>
    </w:tblStylePr>
  </w:style>
  <w:style w:type="table" w:styleId="128">
    <w:name w:val="Colorful Grid Accent 2"/>
    <w:basedOn w:val="33"/>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14:textFill>
          <w14:solidFill>
            <w14:schemeClr w14:val="tx1"/>
          </w14:solidFill>
        </w14:textFill>
      </w:rPr>
      <w:tblPr/>
      <w:tcPr>
        <w:shd w:val="clear" w:color="auto" w:fill="E5B8B7" w:themeFill="accent2" w:themeFillTint="66"/>
      </w:tcPr>
    </w:tblStylePr>
    <w:tblStylePr w:type="firstCol">
      <w:rPr>
        <w:color w:val="FFFFFF" w:themeColor="background1"/>
        <w14:textFill>
          <w14:solidFill>
            <w14:schemeClr w14:val="bg1"/>
          </w14:solidFill>
        </w14:textFill>
      </w:rPr>
      <w:tblPr/>
      <w:tcPr>
        <w:shd w:val="clear" w:color="auto" w:fill="943734" w:themeFill="accent2" w:themeFillShade="BF"/>
      </w:tcPr>
    </w:tblStylePr>
    <w:tblStylePr w:type="lastCol">
      <w:rPr>
        <w:color w:val="FFFFFF" w:themeColor="background1"/>
        <w14:textFill>
          <w14:solidFill>
            <w14:schemeClr w14:val="bg1"/>
          </w14:solidFill>
        </w14:textFill>
      </w:rPr>
      <w:tblPr/>
      <w:tcPr>
        <w:shd w:val="clear" w:color="auto" w:fill="9437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29">
    <w:name w:val="Colorful Grid Accent 3"/>
    <w:basedOn w:val="33"/>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14:textFill>
          <w14:solidFill>
            <w14:schemeClr w14:val="tx1"/>
          </w14:solidFill>
        </w14:textFill>
      </w:rPr>
      <w:tblPr/>
      <w:tcPr>
        <w:shd w:val="clear" w:color="auto" w:fill="D6E3BC" w:themeFill="accent3" w:themeFillTint="66"/>
      </w:tcPr>
    </w:tblStylePr>
    <w:tblStylePr w:type="firstCol">
      <w:rPr>
        <w:color w:val="FFFFFF" w:themeColor="background1"/>
        <w14:textFill>
          <w14:solidFill>
            <w14:schemeClr w14:val="bg1"/>
          </w14:solidFill>
        </w14:textFill>
      </w:rPr>
      <w:tblPr/>
      <w:tcPr>
        <w:shd w:val="clear" w:color="auto" w:fill="76923C" w:themeFill="accent3" w:themeFillShade="BF"/>
      </w:tcPr>
    </w:tblStylePr>
    <w:tblStylePr w:type="lastCol">
      <w:rPr>
        <w:color w:val="FFFFFF" w:themeColor="background1"/>
        <w14:textFill>
          <w14:solidFill>
            <w14:schemeClr w14:val="bg1"/>
          </w14:solidFill>
        </w14:textFill>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30">
    <w:name w:val="Colorful Grid Accent 4"/>
    <w:basedOn w:val="33"/>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14:textFill>
          <w14:solidFill>
            <w14:schemeClr w14:val="tx1"/>
          </w14:solidFill>
        </w14:textFill>
      </w:rPr>
      <w:tblPr/>
      <w:tcPr>
        <w:shd w:val="clear" w:color="auto" w:fill="CCC0D9" w:themeFill="accent4" w:themeFillTint="66"/>
      </w:tcPr>
    </w:tblStylePr>
    <w:tblStylePr w:type="firstCol">
      <w:rPr>
        <w:color w:val="FFFFFF" w:themeColor="background1"/>
        <w14:textFill>
          <w14:solidFill>
            <w14:schemeClr w14:val="bg1"/>
          </w14:solidFill>
        </w14:textFill>
      </w:rPr>
      <w:tblPr/>
      <w:tcPr>
        <w:shd w:val="clear" w:color="auto" w:fill="5F497A" w:themeFill="accent4" w:themeFillShade="BF"/>
      </w:tcPr>
    </w:tblStylePr>
    <w:tblStylePr w:type="lastCol">
      <w:rPr>
        <w:color w:val="FFFFFF" w:themeColor="background1"/>
        <w14:textFill>
          <w14:solidFill>
            <w14:schemeClr w14:val="bg1"/>
          </w14:solidFill>
        </w14:textFill>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31">
    <w:name w:val="Colorful Grid Accent 5"/>
    <w:basedOn w:val="33"/>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14:textFill>
          <w14:solidFill>
            <w14:schemeClr w14:val="tx1"/>
          </w14:solidFill>
        </w14:textFill>
      </w:rPr>
      <w:tblPr/>
      <w:tcPr>
        <w:shd w:val="clear" w:color="auto" w:fill="B6DDE8" w:themeFill="accent5" w:themeFillTint="66"/>
      </w:tcPr>
    </w:tblStylePr>
    <w:tblStylePr w:type="firstCol">
      <w:rPr>
        <w:color w:val="FFFFFF" w:themeColor="background1"/>
        <w14:textFill>
          <w14:solidFill>
            <w14:schemeClr w14:val="bg1"/>
          </w14:solidFill>
        </w14:textFill>
      </w:rPr>
      <w:tblPr/>
      <w:tcPr>
        <w:shd w:val="clear" w:color="auto" w:fill="31849B" w:themeFill="accent5" w:themeFillShade="BF"/>
      </w:tcPr>
    </w:tblStylePr>
    <w:tblStylePr w:type="lastCol">
      <w:rPr>
        <w:color w:val="FFFFFF" w:themeColor="background1"/>
        <w14:textFill>
          <w14:solidFill>
            <w14:schemeClr w14:val="bg1"/>
          </w14:solidFill>
        </w14:textFill>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32">
    <w:name w:val="Colorful Grid Accent 6"/>
    <w:basedOn w:val="33"/>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14:textFill>
          <w14:solidFill>
            <w14:schemeClr w14:val="tx1"/>
          </w14:solidFill>
        </w14:textFill>
      </w:rPr>
      <w:tblPr/>
      <w:tcPr>
        <w:shd w:val="clear" w:color="auto" w:fill="FBD4B4" w:themeFill="accent6" w:themeFillTint="66"/>
      </w:tcPr>
    </w:tblStylePr>
    <w:tblStylePr w:type="firstCol">
      <w:rPr>
        <w:color w:val="FFFFFF" w:themeColor="background1"/>
        <w14:textFill>
          <w14:solidFill>
            <w14:schemeClr w14:val="bg1"/>
          </w14:solidFill>
        </w14:textFill>
      </w:rPr>
      <w:tblPr/>
      <w:tcPr>
        <w:shd w:val="clear" w:color="auto" w:fill="E36C09" w:themeFill="accent6" w:themeFillShade="BF"/>
      </w:tcPr>
    </w:tblStylePr>
    <w:tblStylePr w:type="lastCol">
      <w:rPr>
        <w:color w:val="FFFFFF" w:themeColor="background1"/>
        <w14:textFill>
          <w14:solidFill>
            <w14:schemeClr w14:val="bg1"/>
          </w14:solidFill>
        </w14:textFill>
      </w:rPr>
      <w:tblPr/>
      <w:tcPr>
        <w:shd w:val="clear" w:color="auto" w:fill="E36C09"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styleId="134">
    <w:name w:val="Strong"/>
    <w:basedOn w:val="133"/>
    <w:qFormat/>
    <w:uiPriority w:val="22"/>
    <w:rPr>
      <w:b/>
      <w:bCs/>
    </w:rPr>
  </w:style>
  <w:style w:type="character" w:styleId="135">
    <w:name w:val="Emphasis"/>
    <w:basedOn w:val="133"/>
    <w:qFormat/>
    <w:uiPriority w:val="20"/>
    <w:rPr>
      <w:i/>
      <w:iCs/>
    </w:rPr>
  </w:style>
  <w:style w:type="character" w:customStyle="1" w:styleId="136">
    <w:name w:val="页眉 字符"/>
    <w:basedOn w:val="133"/>
    <w:link w:val="25"/>
    <w:qFormat/>
    <w:uiPriority w:val="99"/>
  </w:style>
  <w:style w:type="character" w:customStyle="1" w:styleId="137">
    <w:name w:val="页脚 字符"/>
    <w:basedOn w:val="133"/>
    <w:link w:val="24"/>
    <w:qFormat/>
    <w:uiPriority w:val="99"/>
  </w:style>
  <w:style w:type="paragraph" w:styleId="138">
    <w:name w:val="No Spacing"/>
    <w:qFormat/>
    <w:uiPriority w:val="1"/>
    <w:pPr>
      <w:spacing w:after="0" w:line="240" w:lineRule="auto"/>
    </w:pPr>
    <w:rPr>
      <w:rFonts w:asciiTheme="minorHAnsi" w:hAnsiTheme="minorHAnsi" w:eastAsiaTheme="minorEastAsia" w:cstheme="minorBidi"/>
      <w:sz w:val="22"/>
      <w:szCs w:val="22"/>
      <w:lang w:val="en-US" w:eastAsia="en-US" w:bidi="ar-SA"/>
    </w:rPr>
  </w:style>
  <w:style w:type="character" w:customStyle="1" w:styleId="139">
    <w:name w:val="标题 1 字符"/>
    <w:basedOn w:val="133"/>
    <w:link w:val="3"/>
    <w:qFormat/>
    <w:uiPriority w:val="9"/>
    <w:rPr>
      <w:rFonts w:asciiTheme="majorHAnsi" w:hAnsiTheme="majorHAnsi" w:eastAsiaTheme="majorEastAsia" w:cstheme="majorBidi"/>
      <w:b/>
      <w:bCs/>
      <w:color w:val="376092" w:themeColor="accent1" w:themeShade="BF"/>
      <w:sz w:val="28"/>
      <w:szCs w:val="28"/>
    </w:rPr>
  </w:style>
  <w:style w:type="character" w:customStyle="1" w:styleId="140">
    <w:name w:val="标题 2 字符"/>
    <w:basedOn w:val="133"/>
    <w:link w:val="4"/>
    <w:qFormat/>
    <w:uiPriority w:val="9"/>
    <w:rPr>
      <w:rFonts w:asciiTheme="majorHAnsi" w:hAnsiTheme="majorHAnsi" w:eastAsiaTheme="majorEastAsia" w:cstheme="majorBidi"/>
      <w:b/>
      <w:bCs/>
      <w:color w:val="4F81BD" w:themeColor="accent1"/>
      <w:sz w:val="26"/>
      <w:szCs w:val="26"/>
      <w14:textFill>
        <w14:solidFill>
          <w14:schemeClr w14:val="accent1"/>
        </w14:solidFill>
      </w14:textFill>
    </w:rPr>
  </w:style>
  <w:style w:type="character" w:customStyle="1" w:styleId="141">
    <w:name w:val="标题 3 字符"/>
    <w:basedOn w:val="133"/>
    <w:link w:val="5"/>
    <w:qFormat/>
    <w:uiPriority w:val="9"/>
    <w:rPr>
      <w:rFonts w:asciiTheme="majorHAnsi" w:hAnsiTheme="majorHAnsi" w:eastAsiaTheme="majorEastAsia" w:cstheme="majorBidi"/>
      <w:b/>
      <w:bCs/>
      <w:color w:val="4F81BD" w:themeColor="accent1"/>
      <w14:textFill>
        <w14:solidFill>
          <w14:schemeClr w14:val="accent1"/>
        </w14:solidFill>
      </w14:textFill>
    </w:rPr>
  </w:style>
  <w:style w:type="character" w:customStyle="1" w:styleId="142">
    <w:name w:val="标题 字符"/>
    <w:basedOn w:val="133"/>
    <w:link w:val="32"/>
    <w:qFormat/>
    <w:uiPriority w:val="10"/>
    <w:rPr>
      <w:rFonts w:asciiTheme="majorHAnsi" w:hAnsiTheme="majorHAnsi" w:eastAsiaTheme="majorEastAsia" w:cstheme="majorBidi"/>
      <w:color w:val="17375E" w:themeColor="text2" w:themeShade="BF"/>
      <w:spacing w:val="5"/>
      <w:kern w:val="28"/>
      <w:sz w:val="52"/>
      <w:szCs w:val="52"/>
    </w:rPr>
  </w:style>
  <w:style w:type="character" w:customStyle="1" w:styleId="143">
    <w:name w:val="副标题 字符"/>
    <w:basedOn w:val="133"/>
    <w:link w:val="26"/>
    <w:qFormat/>
    <w:uiPriority w:val="11"/>
    <w:rPr>
      <w:rFonts w:asciiTheme="majorHAnsi" w:hAnsiTheme="majorHAnsi" w:eastAsiaTheme="majorEastAsia" w:cstheme="majorBidi"/>
      <w:i/>
      <w:iCs/>
      <w:color w:val="4F81BD" w:themeColor="accent1"/>
      <w:spacing w:val="15"/>
      <w:sz w:val="24"/>
      <w:szCs w:val="24"/>
      <w14:textFill>
        <w14:solidFill>
          <w14:schemeClr w14:val="accent1"/>
        </w14:solidFill>
      </w14:textFill>
    </w:rPr>
  </w:style>
  <w:style w:type="paragraph" w:styleId="144">
    <w:name w:val="List Paragraph"/>
    <w:basedOn w:val="1"/>
    <w:qFormat/>
    <w:uiPriority w:val="34"/>
    <w:pPr>
      <w:ind w:left="720"/>
      <w:contextualSpacing/>
    </w:pPr>
  </w:style>
  <w:style w:type="character" w:customStyle="1" w:styleId="145">
    <w:name w:val="正文文本 字符"/>
    <w:basedOn w:val="133"/>
    <w:link w:val="19"/>
    <w:qFormat/>
    <w:uiPriority w:val="99"/>
  </w:style>
  <w:style w:type="character" w:customStyle="1" w:styleId="146">
    <w:name w:val="正文文本 2 字符"/>
    <w:basedOn w:val="133"/>
    <w:link w:val="28"/>
    <w:qFormat/>
    <w:uiPriority w:val="99"/>
  </w:style>
  <w:style w:type="character" w:customStyle="1" w:styleId="147">
    <w:name w:val="正文文本 3 字符"/>
    <w:basedOn w:val="133"/>
    <w:link w:val="17"/>
    <w:qFormat/>
    <w:uiPriority w:val="99"/>
    <w:rPr>
      <w:sz w:val="16"/>
      <w:szCs w:val="16"/>
    </w:rPr>
  </w:style>
  <w:style w:type="character" w:customStyle="1" w:styleId="148">
    <w:name w:val="宏文本 字符"/>
    <w:basedOn w:val="133"/>
    <w:link w:val="2"/>
    <w:qFormat/>
    <w:uiPriority w:val="99"/>
    <w:rPr>
      <w:rFonts w:ascii="Courier" w:hAnsi="Courier"/>
      <w:sz w:val="20"/>
      <w:szCs w:val="20"/>
    </w:rPr>
  </w:style>
  <w:style w:type="paragraph" w:styleId="149">
    <w:name w:val="Quote"/>
    <w:basedOn w:val="1"/>
    <w:next w:val="1"/>
    <w:link w:val="150"/>
    <w:qFormat/>
    <w:uiPriority w:val="29"/>
    <w:rPr>
      <w:i/>
      <w:iCs/>
      <w:color w:val="000000" w:themeColor="text1"/>
      <w14:textFill>
        <w14:solidFill>
          <w14:schemeClr w14:val="tx1"/>
        </w14:solidFill>
      </w14:textFill>
    </w:rPr>
  </w:style>
  <w:style w:type="character" w:customStyle="1" w:styleId="150">
    <w:name w:val="引用 字符"/>
    <w:basedOn w:val="133"/>
    <w:link w:val="149"/>
    <w:qFormat/>
    <w:uiPriority w:val="29"/>
    <w:rPr>
      <w:i/>
      <w:iCs/>
      <w:color w:val="000000" w:themeColor="text1"/>
      <w14:textFill>
        <w14:solidFill>
          <w14:schemeClr w14:val="tx1"/>
        </w14:solidFill>
      </w14:textFill>
    </w:rPr>
  </w:style>
  <w:style w:type="character" w:customStyle="1" w:styleId="151">
    <w:name w:val="标题 4 字符"/>
    <w:basedOn w:val="133"/>
    <w:link w:val="6"/>
    <w:semiHidden/>
    <w:qFormat/>
    <w:uiPriority w:val="9"/>
    <w:rPr>
      <w:rFonts w:asciiTheme="majorHAnsi" w:hAnsiTheme="majorHAnsi" w:eastAsiaTheme="majorEastAsia" w:cstheme="majorBidi"/>
      <w:b/>
      <w:bCs/>
      <w:i/>
      <w:iCs/>
      <w:color w:val="4F81BD" w:themeColor="accent1"/>
      <w14:textFill>
        <w14:solidFill>
          <w14:schemeClr w14:val="accent1"/>
        </w14:solidFill>
      </w14:textFill>
    </w:rPr>
  </w:style>
  <w:style w:type="character" w:customStyle="1" w:styleId="152">
    <w:name w:val="标题 5 字符"/>
    <w:basedOn w:val="133"/>
    <w:link w:val="7"/>
    <w:semiHidden/>
    <w:qFormat/>
    <w:uiPriority w:val="9"/>
    <w:rPr>
      <w:rFonts w:asciiTheme="majorHAnsi" w:hAnsiTheme="majorHAnsi" w:eastAsiaTheme="majorEastAsia" w:cstheme="majorBidi"/>
      <w:color w:val="254061" w:themeColor="accent1" w:themeShade="80"/>
    </w:rPr>
  </w:style>
  <w:style w:type="character" w:customStyle="1" w:styleId="153">
    <w:name w:val="标题 6 字符"/>
    <w:basedOn w:val="133"/>
    <w:link w:val="8"/>
    <w:semiHidden/>
    <w:qFormat/>
    <w:uiPriority w:val="9"/>
    <w:rPr>
      <w:rFonts w:asciiTheme="majorHAnsi" w:hAnsiTheme="majorHAnsi" w:eastAsiaTheme="majorEastAsia" w:cstheme="majorBidi"/>
      <w:i/>
      <w:iCs/>
      <w:color w:val="254061" w:themeColor="accent1" w:themeShade="80"/>
    </w:rPr>
  </w:style>
  <w:style w:type="character" w:customStyle="1" w:styleId="154">
    <w:name w:val="标题 7 字符"/>
    <w:basedOn w:val="133"/>
    <w:link w:val="9"/>
    <w:semiHidden/>
    <w:qFormat/>
    <w:uiPriority w:val="9"/>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character" w:customStyle="1" w:styleId="155">
    <w:name w:val="标题 8 字符"/>
    <w:basedOn w:val="133"/>
    <w:link w:val="10"/>
    <w:semiHidden/>
    <w:qFormat/>
    <w:uiPriority w:val="9"/>
    <w:rPr>
      <w:rFonts w:asciiTheme="majorHAnsi" w:hAnsiTheme="majorHAnsi" w:eastAsiaTheme="majorEastAsia" w:cstheme="majorBidi"/>
      <w:color w:val="4F81BD" w:themeColor="accent1"/>
      <w:sz w:val="20"/>
      <w:szCs w:val="20"/>
      <w14:textFill>
        <w14:solidFill>
          <w14:schemeClr w14:val="accent1"/>
        </w14:solidFill>
      </w14:textFill>
    </w:rPr>
  </w:style>
  <w:style w:type="character" w:customStyle="1" w:styleId="156">
    <w:name w:val="标题 9 字符"/>
    <w:basedOn w:val="133"/>
    <w:link w:val="11"/>
    <w:semiHidden/>
    <w:qFormat/>
    <w:uiPriority w:val="9"/>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paragraph" w:styleId="157">
    <w:name w:val="Intense Quote"/>
    <w:basedOn w:val="1"/>
    <w:next w:val="1"/>
    <w:link w:val="158"/>
    <w:qFormat/>
    <w:uiPriority w:val="30"/>
    <w:pPr>
      <w:pBdr>
        <w:bottom w:val="single" w:color="4F81BD" w:themeColor="accent1" w:sz="4" w:space="4"/>
      </w:pBdr>
      <w:spacing w:before="200" w:after="280"/>
      <w:ind w:left="936" w:right="936"/>
    </w:pPr>
    <w:rPr>
      <w:b/>
      <w:bCs/>
      <w:i/>
      <w:iCs/>
      <w:color w:val="4F81BD" w:themeColor="accent1"/>
      <w14:textFill>
        <w14:solidFill>
          <w14:schemeClr w14:val="accent1"/>
        </w14:solidFill>
      </w14:textFill>
    </w:rPr>
  </w:style>
  <w:style w:type="character" w:customStyle="1" w:styleId="158">
    <w:name w:val="明显引用 字符"/>
    <w:basedOn w:val="133"/>
    <w:link w:val="157"/>
    <w:qFormat/>
    <w:uiPriority w:val="30"/>
    <w:rPr>
      <w:b/>
      <w:bCs/>
      <w:i/>
      <w:iCs/>
      <w:color w:val="4F81BD" w:themeColor="accent1"/>
      <w14:textFill>
        <w14:solidFill>
          <w14:schemeClr w14:val="accent1"/>
        </w14:solidFill>
      </w14:textFill>
    </w:rPr>
  </w:style>
  <w:style w:type="character" w:customStyle="1" w:styleId="159">
    <w:name w:val="Subtle Emphasis"/>
    <w:basedOn w:val="133"/>
    <w:qFormat/>
    <w:uiPriority w:val="19"/>
    <w:rPr>
      <w:i/>
      <w:iCs/>
      <w:color w:val="808080" w:themeColor="text1" w:themeTint="80"/>
      <w14:textFill>
        <w14:solidFill>
          <w14:schemeClr w14:val="tx1">
            <w14:lumMod w14:val="50000"/>
            <w14:lumOff w14:val="50000"/>
          </w14:schemeClr>
        </w14:solidFill>
      </w14:textFill>
    </w:rPr>
  </w:style>
  <w:style w:type="character" w:customStyle="1" w:styleId="160">
    <w:name w:val="Intense Emphasis"/>
    <w:basedOn w:val="133"/>
    <w:qFormat/>
    <w:uiPriority w:val="21"/>
    <w:rPr>
      <w:b/>
      <w:bCs/>
      <w:i/>
      <w:iCs/>
      <w:color w:val="4F81BD" w:themeColor="accent1"/>
      <w14:textFill>
        <w14:solidFill>
          <w14:schemeClr w14:val="accent1"/>
        </w14:solidFill>
      </w14:textFill>
    </w:rPr>
  </w:style>
  <w:style w:type="character" w:customStyle="1" w:styleId="161">
    <w:name w:val="Subtle Reference"/>
    <w:basedOn w:val="133"/>
    <w:qFormat/>
    <w:uiPriority w:val="31"/>
    <w:rPr>
      <w:smallCaps/>
      <w:color w:val="C0504D" w:themeColor="accent2"/>
      <w:u w:val="single"/>
      <w14:textFill>
        <w14:solidFill>
          <w14:schemeClr w14:val="accent2"/>
        </w14:solidFill>
      </w14:textFill>
    </w:rPr>
  </w:style>
  <w:style w:type="character" w:customStyle="1" w:styleId="162">
    <w:name w:val="Intense Reference"/>
    <w:basedOn w:val="133"/>
    <w:qFormat/>
    <w:uiPriority w:val="32"/>
    <w:rPr>
      <w:b/>
      <w:bCs/>
      <w:smallCaps/>
      <w:color w:val="C0504D" w:themeColor="accent2"/>
      <w:spacing w:val="5"/>
      <w:u w:val="single"/>
      <w14:textFill>
        <w14:solidFill>
          <w14:schemeClr w14:val="accent2"/>
        </w14:solidFill>
      </w14:textFill>
    </w:rPr>
  </w:style>
  <w:style w:type="character" w:customStyle="1" w:styleId="163">
    <w:name w:val="Book Title"/>
    <w:basedOn w:val="133"/>
    <w:qFormat/>
    <w:uiPriority w:val="33"/>
    <w:rPr>
      <w:b/>
      <w:bCs/>
      <w:smallCaps/>
      <w:spacing w:val="5"/>
    </w:rPr>
  </w:style>
  <w:style w:type="paragraph" w:customStyle="1" w:styleId="164">
    <w:name w:val="TOC Heading"/>
    <w:basedOn w:val="3"/>
    <w:next w:val="1"/>
    <w:semiHidden/>
    <w:unhideWhenUsed/>
    <w:qFormat/>
    <w:uiPriority w:val="39"/>
    <w:pPr>
      <w:outlineLvl w:val="9"/>
    </w:pPr>
  </w:style>
</w:styles>
</file>

<file path=word/_rels/document.xml.rels><?xml version="1.0" encoding="UTF-8" standalone="yes"?>
<Relationships xmlns="http://schemas.openxmlformats.org/package/2006/relationships"><Relationship Id="rId9" Type="http://schemas.openxmlformats.org/officeDocument/2006/relationships/image" Target="media/image3.jpeg"/><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1" Type="http://schemas.openxmlformats.org/officeDocument/2006/relationships/fontTable" Target="fontTable.xml"/><Relationship Id="rId20" Type="http://schemas.openxmlformats.org/officeDocument/2006/relationships/customXml" Target="../customXml/item1.xml"/><Relationship Id="rId2" Type="http://schemas.openxmlformats.org/officeDocument/2006/relationships/settings" Target="settings.xml"/><Relationship Id="rId19" Type="http://schemas.openxmlformats.org/officeDocument/2006/relationships/numbering" Target="numbering.xml"/><Relationship Id="rId18" Type="http://schemas.openxmlformats.org/officeDocument/2006/relationships/image" Target="media/image12.jpeg"/><Relationship Id="rId17" Type="http://schemas.openxmlformats.org/officeDocument/2006/relationships/image" Target="media/image11.jpeg"/><Relationship Id="rId16" Type="http://schemas.openxmlformats.org/officeDocument/2006/relationships/image" Target="media/image10.jpeg"/><Relationship Id="rId15" Type="http://schemas.openxmlformats.org/officeDocument/2006/relationships/image" Target="media/image9.jpeg"/><Relationship Id="rId14" Type="http://schemas.openxmlformats.org/officeDocument/2006/relationships/image" Target="media/image8.png"/><Relationship Id="rId13" Type="http://schemas.openxmlformats.org/officeDocument/2006/relationships/image" Target="media/image7.jpeg"/><Relationship Id="rId12" Type="http://schemas.openxmlformats.org/officeDocument/2006/relationships/image" Target="media/image6.jpeg"/><Relationship Id="rId11" Type="http://schemas.openxmlformats.org/officeDocument/2006/relationships/image" Target="media/image5.jpeg"/><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datastoreItem>
</file>

<file path=docProps/app.xml><?xml version="1.0" encoding="utf-8"?>
<Properties xmlns="http://schemas.openxmlformats.org/officeDocument/2006/extended-properties" xmlns:vt="http://schemas.openxmlformats.org/officeDocument/2006/docPropsVTypes">
  <Template>Normal.dotm</Template>
  <Pages>41</Pages>
  <Words>20385</Words>
  <Characters>20891</Characters>
  <Lines>755</Lines>
  <Paragraphs>299</Paragraphs>
  <TotalTime>0</TotalTime>
  <ScaleCrop>false</ScaleCrop>
  <LinksUpToDate>false</LinksUpToDate>
  <CharactersWithSpaces>21150</CharactersWithSpaces>
  <Application>WPS Office_12.1.0.20784_F1E327BC-269C-435d-A152-05C5408002CA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2026-04-07T03:34:00Z</dcterms:created>
  <dc:creator>python-docx</dc:creator>
  <dc:description>generated by python-docx</dc:description>
  <cp:lastModifiedBy>WPS_1641114784</cp:lastModifiedBy>
  <dcterms:modified xsi:type="dcterms:W3CDTF">2026-04-07T03:39:17Z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eyJoZGlkIjoiMDljYzUzMWQ4OWI0YzBkYjYzMDRhZTY5ZjZkYmFmYTgiLCJ1c2VySWQiOiIxMzA2ODM4ODIzIn0=</vt:lpwstr>
  </property>
  <property fmtid="{D5CDD505-2E9C-101B-9397-08002B2CF9AE}" pid="3" name="KSOProductBuildVer">
    <vt:lpwstr>2052-12.1.0.20784</vt:lpwstr>
  </property>
  <property fmtid="{D5CDD505-2E9C-101B-9397-08002B2CF9AE}" pid="4" name="ICV">
    <vt:lpwstr>3B69BC7BDBE744CF9122B5521A83ED01_12</vt:lpwstr>
  </property>
</Properties>
</file>