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3F68A8A" w14:textId="77777777" w:rsidR="00470923" w:rsidRDefault="00B41790">
      <w:pPr>
        <w:ind w:firstLine="0"/>
        <w:jc w:val="center"/>
      </w:pPr>
      <w:r>
        <w:rPr>
          <w:rFonts w:ascii="黑体" w:eastAsia="黑体" w:hAnsi="黑体"/>
          <w:sz w:val="36"/>
        </w:rPr>
        <w:t>橙源智鉴项目计划书</w:t>
      </w:r>
    </w:p>
    <w:p w14:paraId="442DA8EC" w14:textId="77777777" w:rsidR="00470923" w:rsidRDefault="00B41790">
      <w:pPr>
        <w:ind w:firstLine="0"/>
        <w:jc w:val="center"/>
      </w:pPr>
      <w:r>
        <w:rPr>
          <w:rFonts w:ascii="仿宋_GB2312" w:eastAsia="仿宋_GB2312" w:hAnsi="仿宋_GB2312"/>
          <w:sz w:val="24"/>
        </w:rPr>
        <w:t>版本：</w:t>
      </w:r>
      <w:r>
        <w:rPr>
          <w:rFonts w:ascii="仿宋_GB2312" w:eastAsia="仿宋_GB2312" w:hAnsi="仿宋_GB2312"/>
          <w:sz w:val="24"/>
        </w:rPr>
        <w:t>V1.0</w:t>
      </w:r>
    </w:p>
    <w:p w14:paraId="26B648F1" w14:textId="77777777" w:rsidR="00470923" w:rsidRDefault="00B41790">
      <w:pPr>
        <w:ind w:firstLine="0"/>
        <w:jc w:val="center"/>
      </w:pPr>
      <w:r>
        <w:rPr>
          <w:rFonts w:ascii="仿宋_GB2312" w:eastAsia="仿宋_GB2312" w:hAnsi="仿宋_GB2312"/>
          <w:sz w:val="24"/>
        </w:rPr>
        <w:t>日期：</w:t>
      </w:r>
      <w:r>
        <w:rPr>
          <w:rFonts w:ascii="仿宋_GB2312" w:eastAsia="仿宋_GB2312" w:hAnsi="仿宋_GB2312"/>
          <w:sz w:val="24"/>
        </w:rPr>
        <w:t>2026</w:t>
      </w:r>
      <w:r>
        <w:rPr>
          <w:rFonts w:ascii="仿宋_GB2312" w:eastAsia="仿宋_GB2312" w:hAnsi="仿宋_GB2312"/>
          <w:sz w:val="24"/>
        </w:rPr>
        <w:t>年</w:t>
      </w:r>
      <w:r>
        <w:rPr>
          <w:rFonts w:ascii="仿宋_GB2312" w:eastAsia="仿宋_GB2312" w:hAnsi="仿宋_GB2312"/>
          <w:sz w:val="24"/>
        </w:rPr>
        <w:t>4</w:t>
      </w:r>
      <w:r>
        <w:rPr>
          <w:rFonts w:ascii="仿宋_GB2312" w:eastAsia="仿宋_GB2312" w:hAnsi="仿宋_GB2312"/>
          <w:sz w:val="24"/>
        </w:rPr>
        <w:t>月</w:t>
      </w:r>
      <w:r>
        <w:rPr>
          <w:rFonts w:ascii="仿宋_GB2312" w:eastAsia="仿宋_GB2312" w:hAnsi="仿宋_GB2312"/>
          <w:sz w:val="24"/>
        </w:rPr>
        <w:t>7</w:t>
      </w:r>
      <w:r>
        <w:rPr>
          <w:rFonts w:ascii="仿宋_GB2312" w:eastAsia="仿宋_GB2312" w:hAnsi="仿宋_GB2312"/>
          <w:sz w:val="24"/>
        </w:rPr>
        <w:t>日</w:t>
      </w:r>
    </w:p>
    <w:p w14:paraId="3A190BE9" w14:textId="77777777" w:rsidR="00470923" w:rsidRDefault="00470923">
      <w:pPr>
        <w:sectPr w:rsidR="00470923">
          <w:footerReference w:type="default" r:id="rId8"/>
          <w:pgSz w:w="11906" w:h="16838"/>
          <w:pgMar w:top="1440" w:right="1797" w:bottom="1440" w:left="1797" w:header="850" w:footer="992" w:gutter="0"/>
          <w:cols w:space="720"/>
          <w:docGrid w:linePitch="360"/>
        </w:sectPr>
      </w:pPr>
    </w:p>
    <w:p w14:paraId="6DEAB29F" w14:textId="77777777" w:rsidR="00470923" w:rsidRDefault="00B41790">
      <w:pPr>
        <w:ind w:firstLine="0"/>
        <w:jc w:val="center"/>
      </w:pPr>
      <w:r>
        <w:rPr>
          <w:rFonts w:ascii="宋体" w:hAnsi="宋体"/>
          <w:sz w:val="21"/>
        </w:rPr>
        <w:lastRenderedPageBreak/>
        <w:t>目录</w:t>
      </w:r>
    </w:p>
    <w:p w14:paraId="4D915B38" w14:textId="77777777" w:rsidR="00C06855" w:rsidRDefault="00B41790">
      <w:pPr>
        <w:ind w:firstLine="0"/>
        <w:rPr>
          <w:noProof/>
        </w:rPr>
      </w:pPr>
      <w:r>
        <w:rPr>
          <w:rFonts w:ascii="宋体" w:hAnsi="宋体"/>
          <w:sz w:val="21"/>
        </w:rPr>
        <w:t>{</w:t>
      </w:r>
      <w:r w:rsidR="00C06855">
        <w:rPr>
          <w:rFonts w:ascii="宋体" w:hAnsi="宋体" w:hint="eastAsia"/>
          <w:sz w:val="21"/>
        </w:rPr>
        <w:fldChar w:fldCharType="begin"/>
      </w:r>
      <w:r w:rsidR="00C06855">
        <w:rPr>
          <w:rFonts w:ascii="宋体" w:hAnsi="宋体" w:hint="eastAsia"/>
          <w:sz w:val="21"/>
        </w:rPr>
        <w:instrText xml:space="preserve"> </w:instrText>
      </w:r>
      <w:r w:rsidR="00C06855">
        <w:rPr>
          <w:rFonts w:ascii="宋体" w:hAnsi="宋体"/>
          <w:sz w:val="21"/>
        </w:rPr>
        <w:instrText>TOC \o "1-2" \z \u</w:instrText>
      </w:r>
      <w:r w:rsidR="00C06855">
        <w:rPr>
          <w:rFonts w:ascii="宋体" w:hAnsi="宋体" w:hint="eastAsia"/>
          <w:sz w:val="21"/>
        </w:rPr>
        <w:instrText xml:space="preserve"> </w:instrText>
      </w:r>
      <w:r w:rsidR="00C06855">
        <w:rPr>
          <w:rFonts w:ascii="宋体" w:hAnsi="宋体" w:hint="eastAsia"/>
          <w:sz w:val="21"/>
        </w:rPr>
        <w:fldChar w:fldCharType="separate"/>
      </w:r>
    </w:p>
    <w:p w14:paraId="5C65629C" w14:textId="67912AC5"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第一章：项目概述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p>
    <w:p w14:paraId="3884F0C2" w14:textId="1C2E640D"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1.1 项目背景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p>
    <w:p w14:paraId="5F152681" w14:textId="1B1FA79D"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1.2 政策支持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p>
    <w:p w14:paraId="49730F82" w14:textId="1A91E9B2"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1.3 技术支撑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p>
    <w:p w14:paraId="5E26D69A" w14:textId="4014E6A5"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1.4 项目基础与阶段目标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p>
    <w:p w14:paraId="1303ACC3" w14:textId="60E8A936"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第二章：产品效益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p>
    <w:p w14:paraId="0F076E03" w14:textId="00B50F63"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2.1 社会效益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p>
    <w:p w14:paraId="2B143345" w14:textId="73DEA1AC"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2.2 经济效益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p>
    <w:p w14:paraId="40FFB12A" w14:textId="2D817D2C"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2.3 教育引领</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p>
    <w:p w14:paraId="2C3C5C98" w14:textId="6B5B3DCC"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第三章：可行性分析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p>
    <w:p w14:paraId="22B8FFDF" w14:textId="16D550D2"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3.1 市场可行性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p>
    <w:p w14:paraId="2E3CE0E2" w14:textId="248DA412"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3.2 技术可行性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p>
    <w:p w14:paraId="708C13E4" w14:textId="5F34E205"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3.3 经济可行性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_Toc226459219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48E41135" w14:textId="62536A57"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3.4 运营可行性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p>
    <w:p w14:paraId="7074EFFF" w14:textId="2DE2CAF4"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第四章：市场优势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p>
    <w:p w14:paraId="5128105B" w14:textId="7B1E9D97"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4.1 检测市场分析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p>
    <w:p w14:paraId="090863AE" w14:textId="2688ADD7"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4.2 行业痛点与需求结构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17</w:t>
      </w:r>
      <w:r>
        <w:rPr>
          <w:rFonts w:hint="eastAsia"/>
          <w:noProof/>
          <w:webHidden/>
        </w:rPr>
        <w:fldChar w:fldCharType="end"/>
      </w:r>
    </w:p>
    <w:p w14:paraId="21E4BDEA" w14:textId="63172603"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4.3 用户分析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17</w:t>
      </w:r>
      <w:r>
        <w:rPr>
          <w:rFonts w:hint="eastAsia"/>
          <w:noProof/>
          <w:webHidden/>
        </w:rPr>
        <w:fldChar w:fldCharType="end"/>
      </w:r>
    </w:p>
    <w:p w14:paraId="5F567A38" w14:textId="29B56989"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4.4 竞争分析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139BA9BD" w14:textId="6D405BA1"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第五章：技术策略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20</w:t>
      </w:r>
      <w:r>
        <w:rPr>
          <w:rFonts w:hint="eastAsia"/>
          <w:noProof/>
          <w:webHidden/>
        </w:rPr>
        <w:fldChar w:fldCharType="end"/>
      </w:r>
    </w:p>
    <w:p w14:paraId="55CB60A5" w14:textId="281DA204"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5.1 总体技术路线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20</w:t>
      </w:r>
      <w:r>
        <w:rPr>
          <w:rFonts w:hint="eastAsia"/>
          <w:noProof/>
          <w:webHidden/>
        </w:rPr>
        <w:fldChar w:fldCharType="end"/>
      </w:r>
    </w:p>
    <w:p w14:paraId="7647817D" w14:textId="2844D1F3"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5.2 实验设计与标准化流程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21</w:t>
      </w:r>
      <w:r>
        <w:rPr>
          <w:rFonts w:hint="eastAsia"/>
          <w:noProof/>
          <w:webHidden/>
        </w:rPr>
        <w:fldChar w:fldCharType="end"/>
      </w:r>
    </w:p>
    <w:p w14:paraId="303F99AA" w14:textId="26D1842B"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lastRenderedPageBreak/>
        <w:t>5.3 核心算法与模型策略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21</w:t>
      </w:r>
      <w:r>
        <w:rPr>
          <w:rFonts w:hint="eastAsia"/>
          <w:noProof/>
          <w:webHidden/>
        </w:rPr>
        <w:fldChar w:fldCharType="end"/>
      </w:r>
    </w:p>
    <w:p w14:paraId="12F6CEF9" w14:textId="702986B7"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5.4 光谱机理与特征指纹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22</w:t>
      </w:r>
      <w:r>
        <w:rPr>
          <w:rFonts w:hint="eastAsia"/>
          <w:noProof/>
          <w:webHidden/>
        </w:rPr>
        <w:fldChar w:fldCharType="end"/>
      </w:r>
    </w:p>
    <w:p w14:paraId="216EF37C" w14:textId="26D771D4"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第六章：产品策略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24</w:t>
      </w:r>
      <w:r>
        <w:rPr>
          <w:rFonts w:hint="eastAsia"/>
          <w:noProof/>
          <w:webHidden/>
        </w:rPr>
        <w:fldChar w:fldCharType="end"/>
      </w:r>
    </w:p>
    <w:p w14:paraId="387FAB66" w14:textId="752CB095"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6.1 产品定位与交付形态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24</w:t>
      </w:r>
      <w:r>
        <w:rPr>
          <w:rFonts w:hint="eastAsia"/>
          <w:noProof/>
          <w:webHidden/>
        </w:rPr>
        <w:fldChar w:fldCharType="end"/>
      </w:r>
    </w:p>
    <w:p w14:paraId="14DF293F" w14:textId="02EBE886"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6.2 产品分层与收费思路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24</w:t>
      </w:r>
      <w:r>
        <w:rPr>
          <w:rFonts w:hint="eastAsia"/>
          <w:noProof/>
          <w:webHidden/>
        </w:rPr>
        <w:fldChar w:fldCharType="end"/>
      </w:r>
    </w:p>
    <w:p w14:paraId="503E0A69" w14:textId="623DB3EB"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6.3 实施与交付策略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25</w:t>
      </w:r>
      <w:r>
        <w:rPr>
          <w:rFonts w:hint="eastAsia"/>
          <w:noProof/>
          <w:webHidden/>
        </w:rPr>
        <w:fldChar w:fldCharType="end"/>
      </w:r>
    </w:p>
    <w:p w14:paraId="772244A5" w14:textId="5CDD07F1"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6.4 推广与销售模式</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25</w:t>
      </w:r>
      <w:r>
        <w:rPr>
          <w:rFonts w:hint="eastAsia"/>
          <w:noProof/>
          <w:webHidden/>
        </w:rPr>
        <w:fldChar w:fldCharType="end"/>
      </w:r>
    </w:p>
    <w:p w14:paraId="78B05A5C" w14:textId="10E90C24"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第七章：运营策略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20877555" w14:textId="6B8DE110"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7.1 运营定位与目标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07AD05BD" w14:textId="46D3BEA7"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7.2 阶段运营安排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13C1DE8F" w14:textId="478687F6"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7.3 核心运营模块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28</w:t>
      </w:r>
      <w:r>
        <w:rPr>
          <w:rFonts w:hint="eastAsia"/>
          <w:noProof/>
          <w:webHidden/>
        </w:rPr>
        <w:fldChar w:fldCharType="end"/>
      </w:r>
    </w:p>
    <w:p w14:paraId="0F83BE96" w14:textId="0FAAA7AA"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第八章：团队介绍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4C334188" w14:textId="055D6DCF"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8.1 团队组织架构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6565CB5B" w14:textId="7B9EFAD5"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8.2 专家顾问团队</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0D3750CE" w14:textId="1A7E4616"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8.3 核心团队成员介绍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1E23B426" w14:textId="0FD50F31"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8.4 团队核心优势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5AC2C9F4" w14:textId="58AD60D3"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第九章：财务预测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35</w:t>
      </w:r>
      <w:r>
        <w:rPr>
          <w:rFonts w:hint="eastAsia"/>
          <w:noProof/>
          <w:webHidden/>
        </w:rPr>
        <w:fldChar w:fldCharType="end"/>
      </w:r>
    </w:p>
    <w:p w14:paraId="7DCA7FA9" w14:textId="5348B4C2"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9.1 财务假设前提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35</w:t>
      </w:r>
      <w:r>
        <w:rPr>
          <w:rFonts w:hint="eastAsia"/>
          <w:noProof/>
          <w:webHidden/>
        </w:rPr>
        <w:fldChar w:fldCharType="end"/>
      </w:r>
    </w:p>
    <w:p w14:paraId="5C90776B" w14:textId="0DBCD777"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9.2 三情景核心假设对比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35</w:t>
      </w:r>
      <w:r>
        <w:rPr>
          <w:rFonts w:hint="eastAsia"/>
          <w:noProof/>
          <w:webHidden/>
        </w:rPr>
        <w:fldChar w:fldCharType="end"/>
      </w:r>
    </w:p>
    <w:p w14:paraId="2D423BFC" w14:textId="1BD39864"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9.3 五年损益预测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6103EC8A" w14:textId="0C65AF48"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9.4 五年现金流量预测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6E965A99" w14:textId="4FB4D7F8"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9.5 资产负债结构判断</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191E9213" w14:textId="6AE438B7"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9.6 三情景营收与盈利对比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38</w:t>
      </w:r>
      <w:r>
        <w:rPr>
          <w:rFonts w:hint="eastAsia"/>
          <w:noProof/>
          <w:webHidden/>
        </w:rPr>
        <w:fldChar w:fldCharType="end"/>
      </w:r>
    </w:p>
    <w:p w14:paraId="44D6AB5C" w14:textId="2AB9C715"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9.7 盈亏平衡分析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38</w:t>
      </w:r>
      <w:r>
        <w:rPr>
          <w:rFonts w:hint="eastAsia"/>
          <w:noProof/>
          <w:webHidden/>
        </w:rPr>
        <w:fldChar w:fldCharType="end"/>
      </w:r>
    </w:p>
    <w:p w14:paraId="7A78B4B2" w14:textId="7A5A68BD"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lastRenderedPageBreak/>
        <w:t>9.8 敏感性分析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39</w:t>
      </w:r>
      <w:r>
        <w:rPr>
          <w:rFonts w:hint="eastAsia"/>
          <w:noProof/>
          <w:webHidden/>
        </w:rPr>
        <w:fldChar w:fldCharType="end"/>
      </w:r>
    </w:p>
    <w:p w14:paraId="03B90D6C" w14:textId="03FDB801"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9.9 关键财务比率趋势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39</w:t>
      </w:r>
      <w:r>
        <w:rPr>
          <w:rFonts w:hint="eastAsia"/>
          <w:noProof/>
          <w:webHidden/>
        </w:rPr>
        <w:fldChar w:fldCharType="end"/>
      </w:r>
    </w:p>
    <w:p w14:paraId="6D44AC57" w14:textId="107D6967"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9.10 资本需求与融资规划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40</w:t>
      </w:r>
      <w:r>
        <w:rPr>
          <w:rFonts w:hint="eastAsia"/>
          <w:noProof/>
          <w:webHidden/>
        </w:rPr>
        <w:fldChar w:fldCharType="end"/>
      </w:r>
    </w:p>
    <w:p w14:paraId="7E948A13" w14:textId="04108F9B" w:rsidR="00C06855" w:rsidRDefault="00C0685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第十章：风险分析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41</w:t>
      </w:r>
      <w:r>
        <w:rPr>
          <w:rFonts w:hint="eastAsia"/>
          <w:noProof/>
          <w:webHidden/>
        </w:rPr>
        <w:fldChar w:fldCharType="end"/>
      </w:r>
    </w:p>
    <w:p w14:paraId="23820080" w14:textId="671EDA85"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10.1 分析假设条件声明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41</w:t>
      </w:r>
      <w:r>
        <w:rPr>
          <w:rFonts w:hint="eastAsia"/>
          <w:noProof/>
          <w:webHidden/>
        </w:rPr>
        <w:fldChar w:fldCharType="end"/>
      </w:r>
    </w:p>
    <w:p w14:paraId="4D5A033E" w14:textId="38B6D81E"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10.2 财务风险维度分析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41</w:t>
      </w:r>
      <w:r>
        <w:rPr>
          <w:rFonts w:hint="eastAsia"/>
          <w:noProof/>
          <w:webHidden/>
        </w:rPr>
        <w:fldChar w:fldCharType="end"/>
      </w:r>
    </w:p>
    <w:p w14:paraId="113B4C13" w14:textId="2E4ECE33"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10.3 市场风险维度分析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_Toc226459259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42</w:t>
      </w:r>
      <w:r>
        <w:rPr>
          <w:rFonts w:hint="eastAsia"/>
          <w:noProof/>
          <w:webHidden/>
        </w:rPr>
        <w:fldChar w:fldCharType="end"/>
      </w:r>
    </w:p>
    <w:p w14:paraId="2AE2339E" w14:textId="352E4EBD"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10.4 运营风险维度分析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_Toc226459260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42</w:t>
      </w:r>
      <w:r>
        <w:rPr>
          <w:rFonts w:hint="eastAsia"/>
          <w:noProof/>
          <w:webHidden/>
        </w:rPr>
        <w:fldChar w:fldCharType="end"/>
      </w:r>
    </w:p>
    <w:p w14:paraId="42E30F83" w14:textId="3882BAB1"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10.5 技术与合规风险维度分析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_Toc226459261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43</w:t>
      </w:r>
      <w:r>
        <w:rPr>
          <w:rFonts w:hint="eastAsia"/>
          <w:noProof/>
          <w:webHidden/>
        </w:rPr>
        <w:fldChar w:fldCharType="end"/>
      </w:r>
    </w:p>
    <w:p w14:paraId="1BD6E9A3" w14:textId="753D8749"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10.6 风险量化评估矩阵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43</w:t>
      </w:r>
      <w:r>
        <w:rPr>
          <w:rFonts w:hint="eastAsia"/>
          <w:noProof/>
          <w:webHidden/>
        </w:rPr>
        <w:fldChar w:fldCharType="end"/>
      </w:r>
    </w:p>
    <w:p w14:paraId="1ECDCBE9" w14:textId="3374B9F4"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10.7 三情景风险演变路径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44</w:t>
      </w:r>
      <w:r>
        <w:rPr>
          <w:rFonts w:hint="eastAsia"/>
          <w:noProof/>
          <w:webHidden/>
        </w:rPr>
        <w:fldChar w:fldCharType="end"/>
      </w:r>
    </w:p>
    <w:p w14:paraId="58147E3D" w14:textId="6D03181A"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10.8 风险应对策略矩阵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44</w:t>
      </w:r>
      <w:r>
        <w:rPr>
          <w:rFonts w:hint="eastAsia"/>
          <w:noProof/>
          <w:webHidden/>
        </w:rPr>
        <w:fldChar w:fldCharType="end"/>
      </w:r>
    </w:p>
    <w:p w14:paraId="253BC6C6" w14:textId="385EB2A5" w:rsidR="00C06855" w:rsidRDefault="00C0685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4D3D04">
        <w:rPr>
          <w:rFonts w:ascii="黑体" w:eastAsia="黑体" w:hAnsi="黑体" w:hint="eastAsia"/>
          <w:noProof/>
        </w:rPr>
        <w:t>10.9 关键风险指标监控建议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_Toc226459265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45</w:t>
      </w:r>
      <w:r>
        <w:rPr>
          <w:rFonts w:hint="eastAsia"/>
          <w:noProof/>
          <w:webHidden/>
        </w:rPr>
        <w:fldChar w:fldCharType="end"/>
      </w:r>
    </w:p>
    <w:p w14:paraId="5FD37AD1" w14:textId="03FDE265" w:rsidR="00470923" w:rsidRDefault="00C06855">
      <w:pPr>
        <w:ind w:firstLine="0"/>
      </w:pPr>
      <w:r>
        <w:rPr>
          <w:rFonts w:ascii="宋体" w:hAnsi="宋体" w:hint="eastAsia"/>
          <w:sz w:val="21"/>
        </w:rPr>
        <w:fldChar w:fldCharType="end"/>
      </w:r>
      <w:r w:rsidR="00B41790">
        <w:rPr>
          <w:rFonts w:ascii="宋体" w:hAnsi="宋体"/>
          <w:sz w:val="21"/>
        </w:rPr>
        <w:t>}</w:t>
      </w:r>
    </w:p>
    <w:p w14:paraId="4F1B83E9" w14:textId="77777777" w:rsidR="00470923" w:rsidRDefault="00470923">
      <w:pPr>
        <w:sectPr w:rsidR="00470923">
          <w:pgSz w:w="11906" w:h="16838"/>
          <w:pgMar w:top="1440" w:right="1797" w:bottom="1440" w:left="1797" w:header="850" w:footer="992" w:gutter="0"/>
          <w:cols w:space="720"/>
          <w:docGrid w:linePitch="360"/>
        </w:sectPr>
      </w:pPr>
    </w:p>
    <w:p w14:paraId="6DA04F45" w14:textId="77777777" w:rsidR="00470923" w:rsidRDefault="00B41790">
      <w:pPr>
        <w:ind w:firstLine="0"/>
        <w:jc w:val="both"/>
      </w:pPr>
      <w:r>
        <w:rPr>
          <w:rFonts w:ascii="仿宋_GB2312" w:eastAsia="仿宋_GB2312" w:hAnsi="仿宋_GB2312"/>
          <w:b/>
          <w:sz w:val="24"/>
        </w:rPr>
        <w:lastRenderedPageBreak/>
        <w:t>摘要</w:t>
      </w:r>
      <w:r>
        <w:rPr>
          <w:rFonts w:ascii="仿宋_GB2312" w:eastAsia="仿宋_GB2312" w:hAnsi="仿宋_GB2312"/>
          <w:b/>
          <w:sz w:val="24"/>
        </w:rPr>
        <w:t xml:space="preserve"> </w:t>
      </w:r>
      <w:r>
        <w:rPr>
          <w:rFonts w:ascii="仿宋_GB2312" w:eastAsia="仿宋_GB2312" w:hAnsi="仿宋_GB2312"/>
          <w:sz w:val="24"/>
        </w:rPr>
        <w:t>橙类产品在分选流通、品牌经营和区域服务中长期面临三类共性问题：一是分级判断依赖人工经验，同批次果品在不同人员、不同场地、不同渠道之间容易出现口径偏差；二是产地证明多停留在纸面介绍或单次抽检层面，难以沉淀为可复查、可比对、可持续调用的批次档案；三是检测结果与经营动作脱节，上传、分析、复核、留档、展示和报告外发之间缺乏统一系统承接，导致已有数据难以进入分级、验货、采购、品牌说明和复盘管理等真实业务流程。围绕上述问题，本项目研发</w:t>
      </w:r>
      <w:r>
        <w:rPr>
          <w:rFonts w:ascii="仿宋_GB2312" w:eastAsia="仿宋_GB2312" w:hAnsi="仿宋_GB2312"/>
          <w:sz w:val="24"/>
        </w:rPr>
        <w:t>“</w:t>
      </w:r>
      <w:r>
        <w:rPr>
          <w:rFonts w:ascii="仿宋_GB2312" w:eastAsia="仿宋_GB2312" w:hAnsi="仿宋_GB2312"/>
          <w:sz w:val="24"/>
        </w:rPr>
        <w:t>橙源智鉴</w:t>
      </w:r>
      <w:r>
        <w:rPr>
          <w:rFonts w:ascii="仿宋_GB2312" w:eastAsia="仿宋_GB2312" w:hAnsi="仿宋_GB2312"/>
          <w:sz w:val="24"/>
        </w:rPr>
        <w:t>”</w:t>
      </w:r>
      <w:r>
        <w:rPr>
          <w:rFonts w:ascii="仿宋_GB2312" w:eastAsia="仿宋_GB2312" w:hAnsi="仿宋_GB2312"/>
          <w:sz w:val="24"/>
        </w:rPr>
        <w:t>智能分析平台，以高光谱成像、理化标定、多任务建模和可解释分析为技术底座，围绕橙类产品构建了数据文件上传、等级识别、产地溯源、品质分析、异常提示、历史查询和报告输出一体化解决方案。项目当前已完成平台成品开发，形成管理分析界面与移动查询入口，可实现批量上传、样本对比、模型解释、历史管理、采样登记、结果查询、批次回看和标准报告导出，所有结果围绕同一批次数据和同一报告档案协同运行，已经形成</w:t>
      </w:r>
      <w:r>
        <w:rPr>
          <w:rFonts w:ascii="仿宋_GB2312" w:eastAsia="仿宋_GB2312" w:hAnsi="仿宋_GB2312"/>
          <w:sz w:val="24"/>
        </w:rPr>
        <w:t>“</w:t>
      </w:r>
      <w:r>
        <w:rPr>
          <w:rFonts w:ascii="仿宋_GB2312" w:eastAsia="仿宋_GB2312" w:hAnsi="仿宋_GB2312"/>
          <w:sz w:val="24"/>
        </w:rPr>
        <w:t>样本录入</w:t>
      </w:r>
      <w:r>
        <w:rPr>
          <w:rFonts w:ascii="仿宋_GB2312" w:eastAsia="仿宋_GB2312" w:hAnsi="仿宋_GB2312"/>
          <w:sz w:val="24"/>
        </w:rPr>
        <w:t>—</w:t>
      </w:r>
      <w:r>
        <w:rPr>
          <w:rFonts w:ascii="仿宋_GB2312" w:eastAsia="仿宋_GB2312" w:hAnsi="仿宋_GB2312"/>
          <w:sz w:val="24"/>
        </w:rPr>
        <w:t>文件上传</w:t>
      </w:r>
      <w:r>
        <w:rPr>
          <w:rFonts w:ascii="仿宋_GB2312" w:eastAsia="仿宋_GB2312" w:hAnsi="仿宋_GB2312"/>
          <w:sz w:val="24"/>
        </w:rPr>
        <w:t>—</w:t>
      </w:r>
      <w:r>
        <w:rPr>
          <w:rFonts w:ascii="仿宋_GB2312" w:eastAsia="仿宋_GB2312" w:hAnsi="仿宋_GB2312"/>
          <w:sz w:val="24"/>
        </w:rPr>
        <w:t>智能分析</w:t>
      </w:r>
      <w:r>
        <w:rPr>
          <w:rFonts w:ascii="仿宋_GB2312" w:eastAsia="仿宋_GB2312" w:hAnsi="仿宋_GB2312"/>
          <w:sz w:val="24"/>
        </w:rPr>
        <w:t>—</w:t>
      </w:r>
      <w:r>
        <w:rPr>
          <w:rFonts w:ascii="仿宋_GB2312" w:eastAsia="仿宋_GB2312" w:hAnsi="仿宋_GB2312"/>
          <w:sz w:val="24"/>
        </w:rPr>
        <w:t>结果判读</w:t>
      </w:r>
      <w:r>
        <w:rPr>
          <w:rFonts w:ascii="仿宋_GB2312" w:eastAsia="仿宋_GB2312" w:hAnsi="仿宋_GB2312"/>
          <w:sz w:val="24"/>
        </w:rPr>
        <w:t>—</w:t>
      </w:r>
      <w:r>
        <w:rPr>
          <w:rFonts w:ascii="仿宋_GB2312" w:eastAsia="仿宋_GB2312" w:hAnsi="仿宋_GB2312"/>
          <w:sz w:val="24"/>
        </w:rPr>
        <w:t>报告生成</w:t>
      </w:r>
      <w:r>
        <w:rPr>
          <w:rFonts w:ascii="仿宋_GB2312" w:eastAsia="仿宋_GB2312" w:hAnsi="仿宋_GB2312"/>
          <w:sz w:val="24"/>
        </w:rPr>
        <w:t>—</w:t>
      </w:r>
      <w:r>
        <w:rPr>
          <w:rFonts w:ascii="仿宋_GB2312" w:eastAsia="仿宋_GB2312" w:hAnsi="仿宋_GB2312"/>
          <w:sz w:val="24"/>
        </w:rPr>
        <w:t>历史留档</w:t>
      </w:r>
      <w:r>
        <w:rPr>
          <w:rFonts w:ascii="仿宋_GB2312" w:eastAsia="仿宋_GB2312" w:hAnsi="仿宋_GB2312"/>
          <w:sz w:val="24"/>
        </w:rPr>
        <w:t>”</w:t>
      </w:r>
      <w:r>
        <w:rPr>
          <w:rFonts w:ascii="仿宋_GB2312" w:eastAsia="仿宋_GB2312" w:hAnsi="仿宋_GB2312"/>
          <w:sz w:val="24"/>
        </w:rPr>
        <w:t>的完整闭环。系统支持</w:t>
      </w:r>
      <w:r>
        <w:rPr>
          <w:rFonts w:ascii="仿宋_GB2312" w:eastAsia="仿宋_GB2312" w:hAnsi="仿宋_GB2312"/>
          <w:sz w:val="24"/>
        </w:rPr>
        <w:t xml:space="preserve"> HDR</w:t>
      </w:r>
      <w:r>
        <w:rPr>
          <w:rFonts w:ascii="仿宋_GB2312" w:eastAsia="仿宋_GB2312" w:hAnsi="仿宋_GB2312"/>
          <w:sz w:val="24"/>
        </w:rPr>
        <w:t>、</w:t>
      </w:r>
      <w:r>
        <w:rPr>
          <w:rFonts w:ascii="仿宋_GB2312" w:eastAsia="仿宋_GB2312" w:hAnsi="仿宋_GB2312"/>
          <w:sz w:val="24"/>
        </w:rPr>
        <w:t>RAW</w:t>
      </w:r>
      <w:r>
        <w:rPr>
          <w:rFonts w:ascii="仿宋_GB2312" w:eastAsia="仿宋_GB2312" w:hAnsi="仿宋_GB2312"/>
          <w:sz w:val="24"/>
        </w:rPr>
        <w:t>、</w:t>
      </w:r>
      <w:r>
        <w:rPr>
          <w:rFonts w:ascii="仿宋_GB2312" w:eastAsia="仿宋_GB2312" w:hAnsi="仿宋_GB2312"/>
          <w:sz w:val="24"/>
        </w:rPr>
        <w:t xml:space="preserve">CSV </w:t>
      </w:r>
      <w:r>
        <w:rPr>
          <w:rFonts w:ascii="仿宋_GB2312" w:eastAsia="仿宋_GB2312" w:hAnsi="仿宋_GB2312"/>
          <w:sz w:val="24"/>
        </w:rPr>
        <w:t>等多类文件接入，当前单次分析流程约</w:t>
      </w:r>
      <w:r>
        <w:rPr>
          <w:rFonts w:ascii="仿宋_GB2312" w:eastAsia="仿宋_GB2312" w:hAnsi="仿宋_GB2312"/>
          <w:sz w:val="24"/>
        </w:rPr>
        <w:t xml:space="preserve"> 1.2 </w:t>
      </w:r>
      <w:r>
        <w:rPr>
          <w:rFonts w:ascii="仿宋_GB2312" w:eastAsia="仿宋_GB2312" w:hAnsi="仿宋_GB2312"/>
          <w:sz w:val="24"/>
        </w:rPr>
        <w:t>秒，演示场景中产地识别置信度达</w:t>
      </w:r>
      <w:r>
        <w:rPr>
          <w:rFonts w:ascii="仿宋_GB2312" w:eastAsia="仿宋_GB2312" w:hAnsi="仿宋_GB2312"/>
          <w:sz w:val="24"/>
        </w:rPr>
        <w:t xml:space="preserve"> 98.5%</w:t>
      </w:r>
      <w:r>
        <w:rPr>
          <w:rFonts w:ascii="仿宋_GB2312" w:eastAsia="仿宋_GB2312" w:hAnsi="仿宋_GB2312"/>
          <w:sz w:val="24"/>
        </w:rPr>
        <w:t>，</w:t>
      </w:r>
      <w:r>
        <w:rPr>
          <w:rFonts w:ascii="仿宋_GB2312" w:eastAsia="仿宋_GB2312" w:hAnsi="仿宋_GB2312"/>
          <w:sz w:val="24"/>
        </w:rPr>
        <w:t>SSC</w:t>
      </w:r>
      <w:r>
        <w:rPr>
          <w:rFonts w:ascii="仿宋_GB2312" w:eastAsia="仿宋_GB2312" w:hAnsi="仿宋_GB2312"/>
          <w:sz w:val="24"/>
        </w:rPr>
        <w:t xml:space="preserve"> </w:t>
      </w:r>
      <w:r>
        <w:rPr>
          <w:rFonts w:ascii="仿宋_GB2312" w:eastAsia="仿宋_GB2312" w:hAnsi="仿宋_GB2312"/>
          <w:sz w:val="24"/>
        </w:rPr>
        <w:t>预测误差控制在</w:t>
      </w:r>
      <w:r>
        <w:rPr>
          <w:rFonts w:ascii="仿宋_GB2312" w:eastAsia="仿宋_GB2312" w:hAnsi="仿宋_GB2312"/>
          <w:sz w:val="24"/>
        </w:rPr>
        <w:t xml:space="preserve"> ±0.3%</w:t>
      </w:r>
      <w:r>
        <w:rPr>
          <w:rFonts w:ascii="仿宋_GB2312" w:eastAsia="仿宋_GB2312" w:hAnsi="仿宋_GB2312"/>
          <w:sz w:val="24"/>
        </w:rPr>
        <w:t>，并已沉淀</w:t>
      </w:r>
      <w:r>
        <w:rPr>
          <w:rFonts w:ascii="仿宋_GB2312" w:eastAsia="仿宋_GB2312" w:hAnsi="仿宋_GB2312"/>
          <w:sz w:val="24"/>
        </w:rPr>
        <w:t xml:space="preserve"> 10 </w:t>
      </w:r>
      <w:r>
        <w:rPr>
          <w:rFonts w:ascii="仿宋_GB2312" w:eastAsia="仿宋_GB2312" w:hAnsi="仿宋_GB2312"/>
          <w:sz w:val="24"/>
        </w:rPr>
        <w:t>组化验样本、</w:t>
      </w:r>
      <w:r>
        <w:rPr>
          <w:rFonts w:ascii="仿宋_GB2312" w:eastAsia="仿宋_GB2312" w:hAnsi="仿宋_GB2312"/>
          <w:sz w:val="24"/>
        </w:rPr>
        <w:t xml:space="preserve">100 </w:t>
      </w:r>
      <w:r>
        <w:rPr>
          <w:rFonts w:ascii="仿宋_GB2312" w:eastAsia="仿宋_GB2312" w:hAnsi="仿宋_GB2312"/>
          <w:sz w:val="24"/>
        </w:rPr>
        <w:t>个连续波段点位及澄迈福橙、琼中绿橙等区域对比数据，具备向试点场景投放的成品基础。该平台可直接服务于果园与合作社的批次分级、分选中心与渠道方的到货验货、品牌运营方的品质说明与溯源展示、区域服务机构的样本管理与质量复盘，并可进一步扩展为区域品牌果数字化品控平台、果品质量服务平台和区域样本库管理平台。项目将算法结果、平台页面和批次报告统一为同一套交付体系，使橙类品质分析不再停留在实验结果或概念展示层面，而能够直接进入实际经营链条和区域品牌建设过程。</w:t>
      </w:r>
    </w:p>
    <w:p w14:paraId="3A0DEACD" w14:textId="77777777" w:rsidR="00470923" w:rsidRDefault="00B41790">
      <w:pPr>
        <w:ind w:firstLine="0"/>
        <w:jc w:val="both"/>
      </w:pPr>
      <w:r>
        <w:rPr>
          <w:rFonts w:ascii="仿宋_GB2312" w:eastAsia="仿宋_GB2312" w:hAnsi="仿宋_GB2312"/>
          <w:b/>
          <w:sz w:val="24"/>
        </w:rPr>
        <w:t>关键词</w:t>
      </w:r>
      <w:r>
        <w:rPr>
          <w:rFonts w:ascii="仿宋_GB2312" w:eastAsia="仿宋_GB2312" w:hAnsi="仿宋_GB2312"/>
          <w:b/>
          <w:sz w:val="24"/>
        </w:rPr>
        <w:t xml:space="preserve"> </w:t>
      </w:r>
      <w:r>
        <w:rPr>
          <w:rFonts w:ascii="仿宋_GB2312" w:eastAsia="仿宋_GB2312" w:hAnsi="仿宋_GB2312"/>
          <w:sz w:val="24"/>
        </w:rPr>
        <w:t>高光谱成像；橙类品质分级；产地溯源；平台系统；智能分析</w:t>
      </w:r>
    </w:p>
    <w:p w14:paraId="42F58121" w14:textId="77777777" w:rsidR="00470923" w:rsidRDefault="00470923">
      <w:pPr>
        <w:sectPr w:rsidR="00470923">
          <w:pgSz w:w="11906" w:h="16838"/>
          <w:pgMar w:top="1440" w:right="1797" w:bottom="1440" w:left="1797" w:header="850" w:footer="992" w:gutter="0"/>
          <w:cols w:space="720"/>
          <w:docGrid w:linePitch="360"/>
        </w:sectPr>
      </w:pPr>
    </w:p>
    <w:p w14:paraId="5F67B3D7" w14:textId="77777777" w:rsidR="00470923" w:rsidRDefault="00B41790">
      <w:pPr>
        <w:pStyle w:val="1"/>
      </w:pPr>
      <w:bookmarkStart w:id="0" w:name="_Toc226459207"/>
      <w:r>
        <w:rPr>
          <w:rFonts w:ascii="黑体" w:eastAsia="黑体" w:hAnsi="黑体"/>
        </w:rPr>
        <w:lastRenderedPageBreak/>
        <w:t>第一章：项目概述</w:t>
      </w:r>
      <w:bookmarkEnd w:id="0"/>
    </w:p>
    <w:p w14:paraId="286B2BAE" w14:textId="77777777" w:rsidR="00470923" w:rsidRDefault="00B41790">
      <w:pPr>
        <w:pStyle w:val="21"/>
      </w:pPr>
      <w:bookmarkStart w:id="1" w:name="_Toc226459208"/>
      <w:r>
        <w:rPr>
          <w:rFonts w:ascii="黑体" w:eastAsia="黑体" w:hAnsi="黑体"/>
        </w:rPr>
        <w:t xml:space="preserve">1.1 </w:t>
      </w:r>
      <w:r>
        <w:rPr>
          <w:rFonts w:ascii="黑体" w:eastAsia="黑体" w:hAnsi="黑体"/>
        </w:rPr>
        <w:t>项目背景</w:t>
      </w:r>
      <w:bookmarkEnd w:id="1"/>
    </w:p>
    <w:p w14:paraId="32776D41" w14:textId="77777777" w:rsidR="00470923" w:rsidRDefault="00B41790">
      <w:pPr>
        <w:jc w:val="both"/>
      </w:pPr>
      <w:r>
        <w:rPr>
          <w:rFonts w:ascii="宋体" w:hAnsi="宋体"/>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2AA7358D" w14:textId="77777777" w:rsidR="00470923" w:rsidRDefault="00B41790">
      <w:pPr>
        <w:jc w:val="both"/>
      </w:pPr>
      <w:r>
        <w:rPr>
          <w:rFonts w:ascii="宋体" w:hAnsi="宋体"/>
        </w:rPr>
        <w:t>农业农村部</w:t>
      </w:r>
      <w:r>
        <w:rPr>
          <w:rFonts w:ascii="宋体" w:hAnsi="宋体"/>
        </w:rPr>
        <w:t>2024</w:t>
      </w:r>
      <w:r>
        <w:rPr>
          <w:rFonts w:ascii="宋体" w:hAnsi="宋体"/>
        </w:rPr>
        <w:t>年公开资料显示，我国柑橘种植面积约</w:t>
      </w:r>
      <w:r>
        <w:rPr>
          <w:rFonts w:ascii="宋体" w:hAnsi="宋体"/>
        </w:rPr>
        <w:t>4493.72</w:t>
      </w:r>
      <w:r>
        <w:rPr>
          <w:rFonts w:ascii="宋体" w:hAnsi="宋体"/>
        </w:rPr>
        <w:t>万亩、年产量约</w:t>
      </w:r>
      <w:r>
        <w:rPr>
          <w:rFonts w:ascii="宋体" w:hAnsi="宋体"/>
        </w:rPr>
        <w:t>6003.89</w:t>
      </w:r>
      <w:r>
        <w:rPr>
          <w:rFonts w:ascii="宋体" w:hAnsi="宋体"/>
        </w:rPr>
        <w:t>万吨，约占全球总产量</w:t>
      </w:r>
      <w:r>
        <w:rPr>
          <w:rFonts w:ascii="宋体" w:hAnsi="宋体"/>
        </w:rPr>
        <w:t>28%</w:t>
      </w:r>
      <w:r>
        <w:rPr>
          <w:rFonts w:ascii="宋体" w:hAnsi="宋体"/>
        </w:rPr>
        <w:t>；《</w:t>
      </w:r>
      <w:r>
        <w:rPr>
          <w:rFonts w:ascii="宋体" w:hAnsi="宋体"/>
        </w:rPr>
        <w:t>2024</w:t>
      </w:r>
      <w:r>
        <w:rPr>
          <w:rFonts w:ascii="宋体" w:hAnsi="宋体"/>
        </w:rPr>
        <w:t>年</w:t>
      </w:r>
      <w:r>
        <w:rPr>
          <w:rFonts w:ascii="宋体" w:hAnsi="宋体"/>
        </w:rPr>
        <w:t>4</w:t>
      </w:r>
      <w:r>
        <w:rPr>
          <w:rFonts w:ascii="宋体" w:hAnsi="宋体"/>
        </w:rPr>
        <w:t>月农产品供需形势分析月报（水果）》显示，</w:t>
      </w:r>
      <w:r>
        <w:rPr>
          <w:rFonts w:ascii="宋体" w:hAnsi="宋体"/>
        </w:rPr>
        <w:t>2024</w:t>
      </w:r>
      <w:r>
        <w:rPr>
          <w:rFonts w:ascii="宋体" w:hAnsi="宋体"/>
        </w:rPr>
        <w:t>年</w:t>
      </w:r>
      <w:r>
        <w:rPr>
          <w:rFonts w:ascii="宋体" w:hAnsi="宋体"/>
        </w:rPr>
        <w:t>3</w:t>
      </w:r>
      <w:r>
        <w:rPr>
          <w:rFonts w:ascii="宋体" w:hAnsi="宋体"/>
        </w:rPr>
        <w:t>月全国重点监测批发市场柑橘均价为</w:t>
      </w:r>
      <w:r>
        <w:rPr>
          <w:rFonts w:ascii="宋体" w:hAnsi="宋体"/>
        </w:rPr>
        <w:t>7.03</w:t>
      </w:r>
      <w:r>
        <w:rPr>
          <w:rFonts w:ascii="宋体" w:hAnsi="宋体"/>
        </w:rPr>
        <w:t>元</w:t>
      </w:r>
      <w:r>
        <w:rPr>
          <w:rFonts w:ascii="宋体" w:hAnsi="宋体"/>
        </w:rPr>
        <w:t>/</w:t>
      </w:r>
      <w:r>
        <w:rPr>
          <w:rFonts w:ascii="宋体" w:hAnsi="宋体"/>
        </w:rPr>
        <w:t>公斤，同比下降</w:t>
      </w:r>
      <w:r>
        <w:rPr>
          <w:rFonts w:ascii="宋体" w:hAnsi="宋体"/>
        </w:rPr>
        <w:t>12.5%</w:t>
      </w:r>
      <w:r>
        <w:rPr>
          <w:rFonts w:ascii="宋体" w:hAnsi="宋体"/>
        </w:rPr>
        <w:t>。在供给充足、价格承压的市场环境下，品质证明、等级分层和产地可信表达已成为品牌果经营中的常规需求。</w:t>
      </w:r>
    </w:p>
    <w:p w14:paraId="6BBE1B04" w14:textId="77777777" w:rsidR="00470923" w:rsidRDefault="00B41790">
      <w:pPr>
        <w:jc w:val="both"/>
      </w:pPr>
      <w:r>
        <w:rPr>
          <w:rFonts w:ascii="宋体" w:hAnsi="宋体"/>
        </w:rPr>
        <w:t>海南具备较好的应用基础。根据海南省统计局</w:t>
      </w:r>
      <w:r>
        <w:rPr>
          <w:rFonts w:ascii="宋体" w:hAnsi="宋体"/>
        </w:rPr>
        <w:t>2025</w:t>
      </w:r>
      <w:r>
        <w:rPr>
          <w:rFonts w:ascii="宋体" w:hAnsi="宋体"/>
        </w:rPr>
        <w:t>年</w:t>
      </w:r>
      <w:r>
        <w:rPr>
          <w:rFonts w:ascii="宋体" w:hAnsi="宋体"/>
        </w:rPr>
        <w:t>1</w:t>
      </w:r>
      <w:r>
        <w:rPr>
          <w:rFonts w:ascii="宋体" w:hAnsi="宋体"/>
        </w:rPr>
        <w:t>月发布的《海南省</w:t>
      </w:r>
      <w:r>
        <w:rPr>
          <w:rFonts w:ascii="宋体" w:hAnsi="宋体"/>
        </w:rPr>
        <w:t>2024</w:t>
      </w:r>
      <w:r>
        <w:rPr>
          <w:rFonts w:ascii="宋体" w:hAnsi="宋体"/>
        </w:rPr>
        <w:t>年国民经济和社会发展统计公报》，</w:t>
      </w:r>
      <w:r>
        <w:rPr>
          <w:rFonts w:ascii="宋体" w:hAnsi="宋体"/>
        </w:rPr>
        <w:t>2024</w:t>
      </w:r>
      <w:r>
        <w:rPr>
          <w:rFonts w:ascii="宋体" w:hAnsi="宋体"/>
        </w:rPr>
        <w:t>年海南水果总产量</w:t>
      </w:r>
      <w:r>
        <w:rPr>
          <w:rFonts w:ascii="宋体" w:hAnsi="宋体"/>
        </w:rPr>
        <w:t>617.66</w:t>
      </w:r>
      <w:r>
        <w:rPr>
          <w:rFonts w:ascii="宋体" w:hAnsi="宋体"/>
        </w:rPr>
        <w:t>万吨，同比增长</w:t>
      </w:r>
      <w:r>
        <w:rPr>
          <w:rFonts w:ascii="宋体" w:hAnsi="宋体"/>
        </w:rPr>
        <w:t>4.2%</w:t>
      </w:r>
      <w:r>
        <w:rPr>
          <w:rFonts w:ascii="宋体" w:hAnsi="宋体"/>
        </w:rPr>
        <w:t>。澄迈福橙、琼中绿橙等区域品牌果品既需要稳定分级，也需要清晰溯源和标准化对外说明，这为项目应用提供了明确落点。</w:t>
      </w:r>
    </w:p>
    <w:p w14:paraId="771F5C84" w14:textId="77777777" w:rsidR="00470923" w:rsidRDefault="00B41790">
      <w:pPr>
        <w:jc w:val="both"/>
      </w:pPr>
      <w:r>
        <w:rPr>
          <w:rFonts w:ascii="宋体" w:hAnsi="宋体"/>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w:t>
      </w:r>
      <w:r>
        <w:rPr>
          <w:rFonts w:ascii="宋体" w:hAnsi="宋体"/>
        </w:rPr>
        <w:lastRenderedPageBreak/>
        <w:t>复盘和对外说明调用。项目对应的是分级、验货、溯源和品牌表达这一整条实际业务链，而不是某个孤立算法环节。</w:t>
      </w:r>
    </w:p>
    <w:p w14:paraId="092D1BBC" w14:textId="77777777" w:rsidR="00470923" w:rsidRDefault="00B41790">
      <w:pPr>
        <w:pStyle w:val="21"/>
      </w:pPr>
      <w:bookmarkStart w:id="2" w:name="_Toc226459209"/>
      <w:r>
        <w:rPr>
          <w:rFonts w:ascii="黑体" w:eastAsia="黑体" w:hAnsi="黑体"/>
        </w:rPr>
        <w:t xml:space="preserve">1.2 </w:t>
      </w:r>
      <w:r>
        <w:rPr>
          <w:rFonts w:ascii="黑体" w:eastAsia="黑体" w:hAnsi="黑体"/>
        </w:rPr>
        <w:t>政策支持</w:t>
      </w:r>
      <w:bookmarkEnd w:id="2"/>
    </w:p>
    <w:p w14:paraId="228D9E71" w14:textId="77777777" w:rsidR="00470923" w:rsidRDefault="00B41790">
      <w:pPr>
        <w:jc w:val="both"/>
      </w:pPr>
      <w:r>
        <w:rPr>
          <w:rFonts w:ascii="宋体" w:hAnsi="宋体"/>
        </w:rPr>
        <w:t>农业农村部于</w:t>
      </w:r>
      <w:r>
        <w:rPr>
          <w:rFonts w:ascii="宋体" w:hAnsi="宋体"/>
        </w:rPr>
        <w:t>2024</w:t>
      </w:r>
      <w:r>
        <w:rPr>
          <w:rFonts w:ascii="宋体" w:hAnsi="宋体"/>
        </w:rPr>
        <w:t>年</w:t>
      </w:r>
      <w:r>
        <w:rPr>
          <w:rFonts w:ascii="宋体" w:hAnsi="宋体"/>
        </w:rPr>
        <w:t>11</w:t>
      </w:r>
      <w:r>
        <w:rPr>
          <w:rFonts w:ascii="宋体" w:hAnsi="宋体"/>
        </w:rPr>
        <w:t>月印发《全国智慧农业行动计划（</w:t>
      </w:r>
      <w:r>
        <w:rPr>
          <w:rFonts w:ascii="宋体" w:hAnsi="宋体"/>
        </w:rPr>
        <w:t>2024—2028</w:t>
      </w:r>
      <w:r>
        <w:rPr>
          <w:rFonts w:ascii="宋体" w:hAnsi="宋体"/>
        </w:rPr>
        <w:t>年）》，明确提出到</w:t>
      </w:r>
      <w:r>
        <w:rPr>
          <w:rFonts w:ascii="宋体" w:hAnsi="宋体"/>
        </w:rPr>
        <w:t>2028</w:t>
      </w:r>
      <w:r>
        <w:rPr>
          <w:rFonts w:ascii="宋体" w:hAnsi="宋体"/>
        </w:rPr>
        <w:t>年底农业生产信息化率达到</w:t>
      </w:r>
      <w:r>
        <w:rPr>
          <w:rFonts w:ascii="宋体" w:hAnsi="宋体"/>
        </w:rPr>
        <w:t>32%</w:t>
      </w:r>
      <w:r>
        <w:rPr>
          <w:rFonts w:ascii="宋体" w:hAnsi="宋体"/>
        </w:rPr>
        <w:t>以上，重点推动农业全链条数字化、智能化升级。橙源智鉴对应数据采集、智能分析和结果交付环节，平台与报告体系能够直接承接这一应用链路。</w:t>
      </w:r>
    </w:p>
    <w:p w14:paraId="2E040FCC" w14:textId="77777777" w:rsidR="00470923" w:rsidRDefault="00B41790">
      <w:pPr>
        <w:jc w:val="both"/>
      </w:pPr>
      <w:r>
        <w:rPr>
          <w:rFonts w:ascii="宋体" w:hAnsi="宋体"/>
        </w:rPr>
        <w:t>农业农村部《农产品质量安全信息化追溯管理办法（试行）》对追溯主体、信息采集和流向记录提出了明确要求。橙源智鉴将文件、批次、分析结果和历史报告统一纳入同一平台，可用于果品追溯、质量抽检辅助和区域品牌档案管理。</w:t>
      </w:r>
    </w:p>
    <w:p w14:paraId="6CDEC82B" w14:textId="77777777" w:rsidR="00470923" w:rsidRDefault="00B41790">
      <w:pPr>
        <w:jc w:val="both"/>
      </w:pPr>
      <w:r>
        <w:rPr>
          <w:rFonts w:ascii="宋体" w:hAnsi="宋体"/>
        </w:rPr>
        <w:t>海南自由贸易港建设、热带特色高效农业和</w:t>
      </w:r>
      <w:r>
        <w:rPr>
          <w:rFonts w:ascii="宋体" w:hAnsi="宋体"/>
        </w:rPr>
        <w:t>“</w:t>
      </w:r>
      <w:r>
        <w:rPr>
          <w:rFonts w:ascii="宋体" w:hAnsi="宋体"/>
        </w:rPr>
        <w:t>人工智能</w:t>
      </w:r>
      <w:r>
        <w:rPr>
          <w:rFonts w:ascii="宋体" w:hAnsi="宋体"/>
        </w:rPr>
        <w:t>+”</w:t>
      </w:r>
      <w:r>
        <w:rPr>
          <w:rFonts w:ascii="宋体" w:hAnsi="宋体"/>
        </w:rPr>
        <w:t>应用推广，为项目提供了明确落点。项目面向海南特色橙类产品的分选、验货和品牌管理场景开展应用。</w:t>
      </w:r>
    </w:p>
    <w:p w14:paraId="39B20944" w14:textId="77777777" w:rsidR="00470923" w:rsidRDefault="00B41790">
      <w:pPr>
        <w:jc w:val="both"/>
      </w:pPr>
      <w:r>
        <w:rPr>
          <w:rFonts w:ascii="宋体" w:hAnsi="宋体"/>
        </w:rPr>
        <w:t>澄迈福橙、琼中绿橙等区域品牌同时存在等级识别、产地证明和品牌表达需求，适合作为首批应用对象。项目可先围绕海南形成样板案例，再向其他橙类产区推广。</w:t>
      </w:r>
    </w:p>
    <w:p w14:paraId="7E1A420D" w14:textId="77777777" w:rsidR="00470923" w:rsidRDefault="00B41790">
      <w:pPr>
        <w:pStyle w:val="21"/>
      </w:pPr>
      <w:bookmarkStart w:id="3" w:name="_Toc226459210"/>
      <w:r>
        <w:rPr>
          <w:rFonts w:ascii="黑体" w:eastAsia="黑体" w:hAnsi="黑体"/>
        </w:rPr>
        <w:t xml:space="preserve">1.3 </w:t>
      </w:r>
      <w:r>
        <w:rPr>
          <w:rFonts w:ascii="黑体" w:eastAsia="黑体" w:hAnsi="黑体"/>
        </w:rPr>
        <w:t>技术支撑</w:t>
      </w:r>
      <w:bookmarkEnd w:id="3"/>
    </w:p>
    <w:p w14:paraId="5064F072" w14:textId="77777777" w:rsidR="00470923" w:rsidRDefault="00B41790">
      <w:pPr>
        <w:jc w:val="both"/>
      </w:pPr>
      <w:r>
        <w:rPr>
          <w:rFonts w:ascii="宋体" w:hAnsi="宋体"/>
        </w:rPr>
        <w:t>高光谱成像可以同时获取样本的空间信息和连续光谱信息，适合处理糖度、酸度、成熟度和产地差异这类橙类核心任务，是本项目进行无损分析的底层数据来源。</w:t>
      </w:r>
    </w:p>
    <w:p w14:paraId="4B692BD7" w14:textId="77777777" w:rsidR="00470923" w:rsidRDefault="00B41790">
      <w:pPr>
        <w:jc w:val="both"/>
      </w:pPr>
      <w:r>
        <w:rPr>
          <w:rFonts w:ascii="宋体" w:hAnsi="宋体"/>
        </w:rPr>
        <w:lastRenderedPageBreak/>
        <w:t>算法层面采用</w:t>
      </w:r>
      <w:r>
        <w:rPr>
          <w:rFonts w:ascii="宋体" w:hAnsi="宋体"/>
        </w:rPr>
        <w:t>“</w:t>
      </w:r>
      <w:r>
        <w:rPr>
          <w:rFonts w:ascii="宋体" w:hAnsi="宋体"/>
        </w:rPr>
        <w:t>分类</w:t>
      </w:r>
      <w:r>
        <w:rPr>
          <w:rFonts w:ascii="宋体" w:hAnsi="宋体"/>
        </w:rPr>
        <w:t xml:space="preserve"> + </w:t>
      </w:r>
      <w:r>
        <w:rPr>
          <w:rFonts w:ascii="宋体" w:hAnsi="宋体"/>
        </w:rPr>
        <w:t>回归</w:t>
      </w:r>
      <w:r>
        <w:rPr>
          <w:rFonts w:ascii="宋体" w:hAnsi="宋体"/>
        </w:rPr>
        <w:t>”</w:t>
      </w:r>
      <w:r>
        <w:rPr>
          <w:rFonts w:ascii="宋体" w:hAnsi="宋体"/>
        </w:rPr>
        <w:t>双任务路径：分类模型负责产地识别与等级划分，回归模型负责</w:t>
      </w:r>
      <w:r>
        <w:rPr>
          <w:rFonts w:ascii="宋体" w:hAnsi="宋体"/>
        </w:rPr>
        <w:t xml:space="preserve"> SSC</w:t>
      </w:r>
      <w:r>
        <w:rPr>
          <w:rFonts w:ascii="宋体" w:hAnsi="宋体"/>
        </w:rPr>
        <w:t>、</w:t>
      </w:r>
      <w:r>
        <w:rPr>
          <w:rFonts w:ascii="宋体" w:hAnsi="宋体"/>
        </w:rPr>
        <w:t>TA</w:t>
      </w:r>
      <w:r>
        <w:rPr>
          <w:rFonts w:ascii="宋体" w:hAnsi="宋体"/>
        </w:rPr>
        <w:t>、糖酸比和维生素</w:t>
      </w:r>
      <w:r>
        <w:rPr>
          <w:rFonts w:ascii="宋体" w:hAnsi="宋体"/>
        </w:rPr>
        <w:t>C</w:t>
      </w:r>
      <w:r>
        <w:rPr>
          <w:rFonts w:ascii="宋体" w:hAnsi="宋体"/>
        </w:rPr>
        <w:t>等指标预测，再配合异常识别和可解释模块输出可复核结果。</w:t>
      </w:r>
    </w:p>
    <w:p w14:paraId="1CC3BC90" w14:textId="77777777" w:rsidR="00470923" w:rsidRDefault="00B41790">
      <w:pPr>
        <w:jc w:val="both"/>
      </w:pPr>
      <w:r>
        <w:rPr>
          <w:rFonts w:ascii="宋体" w:hAnsi="宋体"/>
        </w:rPr>
        <w:t>当前成品已完成平台开发，包括管理分析界面和移动查询入口。系统支持</w:t>
      </w:r>
      <w:r>
        <w:rPr>
          <w:rFonts w:ascii="宋体" w:hAnsi="宋体"/>
        </w:rPr>
        <w:t xml:space="preserve"> HDR</w:t>
      </w:r>
      <w:r>
        <w:rPr>
          <w:rFonts w:ascii="宋体" w:hAnsi="宋体"/>
        </w:rPr>
        <w:t>、</w:t>
      </w:r>
      <w:r>
        <w:rPr>
          <w:rFonts w:ascii="宋体" w:hAnsi="宋体"/>
        </w:rPr>
        <w:t>RAW</w:t>
      </w:r>
      <w:r>
        <w:rPr>
          <w:rFonts w:ascii="宋体" w:hAnsi="宋体"/>
        </w:rPr>
        <w:t>、</w:t>
      </w:r>
      <w:r>
        <w:rPr>
          <w:rFonts w:ascii="宋体" w:hAnsi="宋体"/>
        </w:rPr>
        <w:t xml:space="preserve">CSV </w:t>
      </w:r>
      <w:r>
        <w:rPr>
          <w:rFonts w:ascii="宋体" w:hAnsi="宋体"/>
        </w:rPr>
        <w:t>三类文件上传，可完成样本对比、模型解释、历史记录、采样登记、结果查询和报告导出，并在分析页展示</w:t>
      </w:r>
      <w:r>
        <w:rPr>
          <w:rFonts w:ascii="宋体" w:hAnsi="宋体"/>
        </w:rPr>
        <w:t xml:space="preserve"> 1.2 </w:t>
      </w:r>
      <w:r>
        <w:rPr>
          <w:rFonts w:ascii="宋体" w:hAnsi="宋体"/>
        </w:rPr>
        <w:t>秒处理流程、</w:t>
      </w:r>
      <w:r>
        <w:rPr>
          <w:rFonts w:ascii="宋体" w:hAnsi="宋体"/>
        </w:rPr>
        <w:t xml:space="preserve">98.5% </w:t>
      </w:r>
      <w:r>
        <w:rPr>
          <w:rFonts w:ascii="宋体" w:hAnsi="宋体"/>
        </w:rPr>
        <w:t>产地识别置信度和</w:t>
      </w:r>
      <w:r>
        <w:rPr>
          <w:rFonts w:ascii="宋体" w:hAnsi="宋体"/>
        </w:rPr>
        <w:t xml:space="preserve"> SSC </w:t>
      </w:r>
      <w:r>
        <w:rPr>
          <w:rFonts w:ascii="宋体" w:hAnsi="宋体"/>
        </w:rPr>
        <w:t>预测误差</w:t>
      </w:r>
      <w:r>
        <w:rPr>
          <w:rFonts w:ascii="宋体" w:hAnsi="宋体"/>
        </w:rPr>
        <w:t xml:space="preserve"> ±0.3% </w:t>
      </w:r>
      <w:r>
        <w:rPr>
          <w:rFonts w:ascii="宋体" w:hAnsi="宋体"/>
        </w:rPr>
        <w:t>的演示结果。</w:t>
      </w:r>
    </w:p>
    <w:p w14:paraId="1C25918B" w14:textId="77777777" w:rsidR="00470923" w:rsidRDefault="00B41790">
      <w:pPr>
        <w:pStyle w:val="21"/>
      </w:pPr>
      <w:bookmarkStart w:id="4" w:name="_Toc226459211"/>
      <w:r>
        <w:rPr>
          <w:rFonts w:ascii="黑体" w:eastAsia="黑体" w:hAnsi="黑体"/>
        </w:rPr>
        <w:t xml:space="preserve">1.4 </w:t>
      </w:r>
      <w:r>
        <w:rPr>
          <w:rFonts w:ascii="黑体" w:eastAsia="黑体" w:hAnsi="黑体"/>
        </w:rPr>
        <w:t>项目基础与阶段目标</w:t>
      </w:r>
      <w:bookmarkEnd w:id="4"/>
    </w:p>
    <w:p w14:paraId="684D41EF" w14:textId="77777777" w:rsidR="00470923" w:rsidRDefault="00B41790">
      <w:pPr>
        <w:jc w:val="both"/>
      </w:pPr>
      <w:r>
        <w:rPr>
          <w:rFonts w:ascii="宋体" w:hAnsi="宋体"/>
        </w:rPr>
        <w:t>项目目前已具备三项基础：一是平台可直接演示完整业务链路；二是数据侧已沉淀</w:t>
      </w:r>
      <w:r>
        <w:rPr>
          <w:rFonts w:ascii="宋体" w:hAnsi="宋体"/>
        </w:rPr>
        <w:t xml:space="preserve"> 10 </w:t>
      </w:r>
      <w:r>
        <w:rPr>
          <w:rFonts w:ascii="宋体" w:hAnsi="宋体"/>
        </w:rPr>
        <w:t>组化验样本、</w:t>
      </w:r>
      <w:r>
        <w:rPr>
          <w:rFonts w:ascii="宋体" w:hAnsi="宋体"/>
        </w:rPr>
        <w:t xml:space="preserve">100 </w:t>
      </w:r>
      <w:r>
        <w:rPr>
          <w:rFonts w:ascii="宋体" w:hAnsi="宋体"/>
        </w:rPr>
        <w:t>个连续波段点位和澄迈福橙、琼中绿橙对比数据；三是报告、历史页和模型页已经把分析结果做成可展示、可追溯、可复盘的成品。下一步重点是继续补强样本规模、标签质量和跨批次稳定性。</w:t>
      </w:r>
    </w:p>
    <w:p w14:paraId="76E74FC1" w14:textId="77777777" w:rsidR="00470923" w:rsidRDefault="00B41790">
      <w:pPr>
        <w:pStyle w:val="a0"/>
        <w:ind w:firstLine="0"/>
        <w:jc w:val="both"/>
      </w:pPr>
      <w:r>
        <w:rPr>
          <w:rFonts w:ascii="仿宋_GB2312" w:eastAsia="仿宋_GB2312" w:hAnsi="仿宋_GB2312"/>
          <w:sz w:val="24"/>
        </w:rPr>
        <w:t>阶段目标一：形成一套能被重复执行的样本采集、编号、理化标注与数据录入模板。</w:t>
      </w:r>
    </w:p>
    <w:p w14:paraId="22EB8877" w14:textId="77777777" w:rsidR="00470923" w:rsidRDefault="00B41790">
      <w:pPr>
        <w:pStyle w:val="a0"/>
        <w:ind w:firstLine="0"/>
        <w:jc w:val="both"/>
      </w:pPr>
      <w:r>
        <w:rPr>
          <w:rFonts w:ascii="仿宋_GB2312" w:eastAsia="仿宋_GB2312" w:hAnsi="仿宋_GB2312"/>
          <w:sz w:val="24"/>
        </w:rPr>
        <w:t>阶段目标二：把等级识别、产地溯源、异常提醒和报告输出稳定集成到平台流程中。</w:t>
      </w:r>
    </w:p>
    <w:p w14:paraId="40DEFFB1" w14:textId="77777777" w:rsidR="00470923" w:rsidRDefault="00B41790">
      <w:pPr>
        <w:pStyle w:val="a0"/>
        <w:ind w:firstLine="0"/>
        <w:jc w:val="both"/>
      </w:pPr>
      <w:r>
        <w:rPr>
          <w:rFonts w:ascii="仿宋_GB2312" w:eastAsia="仿宋_GB2312" w:hAnsi="仿宋_GB2312"/>
          <w:sz w:val="24"/>
        </w:rPr>
        <w:t>阶段目标三：形成批量上传分析、移动端查询、历史档案管理和报告导出的完整产品闭环。</w:t>
      </w:r>
    </w:p>
    <w:p w14:paraId="4604078F" w14:textId="77777777" w:rsidR="00470923" w:rsidRDefault="00B41790">
      <w:pPr>
        <w:pStyle w:val="a0"/>
        <w:ind w:firstLine="0"/>
        <w:jc w:val="both"/>
      </w:pPr>
      <w:r>
        <w:rPr>
          <w:rFonts w:ascii="仿宋_GB2312" w:eastAsia="仿宋_GB2312" w:hAnsi="仿宋_GB2312"/>
          <w:sz w:val="24"/>
        </w:rPr>
        <w:t>阶段目标四：围绕澄迈福橙、琼中绿橙等对象形成可展示、可验证、可复制的应用案例。</w:t>
      </w:r>
    </w:p>
    <w:p w14:paraId="23A2E61F" w14:textId="77777777" w:rsidR="00470923" w:rsidRDefault="00B41790">
      <w:pPr>
        <w:pStyle w:val="a0"/>
        <w:ind w:firstLine="0"/>
        <w:jc w:val="both"/>
      </w:pPr>
      <w:r>
        <w:rPr>
          <w:rFonts w:ascii="仿宋_GB2312" w:eastAsia="仿宋_GB2312" w:hAnsi="仿宋_GB2312"/>
          <w:sz w:val="24"/>
        </w:rPr>
        <w:t>阶段目标五：在试点阶段把分析时长稳定控制在秒级，并形成产地识别准确率</w:t>
      </w:r>
      <w:r>
        <w:rPr>
          <w:rFonts w:ascii="仿宋_GB2312" w:eastAsia="仿宋_GB2312" w:hAnsi="仿宋_GB2312"/>
          <w:sz w:val="24"/>
        </w:rPr>
        <w:t xml:space="preserve"> 95% </w:t>
      </w:r>
      <w:r>
        <w:rPr>
          <w:rFonts w:ascii="仿宋_GB2312" w:eastAsia="仿宋_GB2312" w:hAnsi="仿宋_GB2312"/>
          <w:sz w:val="24"/>
        </w:rPr>
        <w:t>以上、糖度预测误差控制在</w:t>
      </w:r>
      <w:r>
        <w:rPr>
          <w:rFonts w:ascii="仿宋_GB2312" w:eastAsia="仿宋_GB2312" w:hAnsi="仿宋_GB2312"/>
          <w:sz w:val="24"/>
        </w:rPr>
        <w:t xml:space="preserve"> ±0.5 </w:t>
      </w:r>
      <w:r>
        <w:rPr>
          <w:rFonts w:ascii="仿宋_GB2312" w:eastAsia="仿宋_GB2312" w:hAnsi="仿宋_GB2312"/>
          <w:sz w:val="24"/>
        </w:rPr>
        <w:t>以内的目标指标体系。</w:t>
      </w:r>
    </w:p>
    <w:p w14:paraId="3B62FFB0" w14:textId="77777777" w:rsidR="00470923" w:rsidRDefault="00470923">
      <w:pPr>
        <w:sectPr w:rsidR="00470923">
          <w:pgSz w:w="11906" w:h="16838"/>
          <w:pgMar w:top="1440" w:right="1797" w:bottom="1440" w:left="1797" w:header="850" w:footer="992" w:gutter="0"/>
          <w:cols w:space="720"/>
          <w:docGrid w:linePitch="360"/>
        </w:sectPr>
      </w:pPr>
    </w:p>
    <w:p w14:paraId="5FF7E744" w14:textId="77777777" w:rsidR="00470923" w:rsidRDefault="00B41790">
      <w:pPr>
        <w:pStyle w:val="1"/>
      </w:pPr>
      <w:bookmarkStart w:id="5" w:name="_Toc226459212"/>
      <w:r>
        <w:rPr>
          <w:rFonts w:ascii="黑体" w:eastAsia="黑体" w:hAnsi="黑体"/>
        </w:rPr>
        <w:lastRenderedPageBreak/>
        <w:t>第二章：产品效益</w:t>
      </w:r>
      <w:bookmarkEnd w:id="5"/>
    </w:p>
    <w:p w14:paraId="446FFDDC" w14:textId="77777777" w:rsidR="00470923" w:rsidRDefault="00B41790">
      <w:pPr>
        <w:pStyle w:val="21"/>
      </w:pPr>
      <w:bookmarkStart w:id="6" w:name="_Toc226459213"/>
      <w:r>
        <w:rPr>
          <w:rFonts w:ascii="黑体" w:eastAsia="黑体" w:hAnsi="黑体"/>
        </w:rPr>
        <w:t xml:space="preserve">2.1 </w:t>
      </w:r>
      <w:r>
        <w:rPr>
          <w:rFonts w:ascii="黑体" w:eastAsia="黑体" w:hAnsi="黑体"/>
        </w:rPr>
        <w:t>社会效益</w:t>
      </w:r>
      <w:bookmarkEnd w:id="6"/>
    </w:p>
    <w:p w14:paraId="176AB8D1" w14:textId="77777777" w:rsidR="00470923" w:rsidRDefault="00B41790">
      <w:pPr>
        <w:jc w:val="both"/>
      </w:pPr>
      <w:r>
        <w:rPr>
          <w:rFonts w:ascii="宋体" w:hAnsi="宋体"/>
        </w:rPr>
        <w:t>橙源智鉴接入后，采样登记、文件上传、等级识别、产地判断、结果留档和报告输出被压缩进同一条流程。采样人员登记批次，分选中心上传</w:t>
      </w:r>
      <w:r>
        <w:rPr>
          <w:rFonts w:ascii="宋体" w:hAnsi="宋体"/>
        </w:rPr>
        <w:t xml:space="preserve"> HDR</w:t>
      </w:r>
      <w:r>
        <w:rPr>
          <w:rFonts w:ascii="宋体" w:hAnsi="宋体"/>
        </w:rPr>
        <w:t>、</w:t>
      </w:r>
      <w:r>
        <w:rPr>
          <w:rFonts w:ascii="宋体" w:hAnsi="宋体"/>
        </w:rPr>
        <w:t>RAW</w:t>
      </w:r>
      <w:r>
        <w:rPr>
          <w:rFonts w:ascii="宋体" w:hAnsi="宋体"/>
        </w:rPr>
        <w:t>、</w:t>
      </w:r>
      <w:r>
        <w:rPr>
          <w:rFonts w:ascii="宋体" w:hAnsi="宋体"/>
        </w:rPr>
        <w:t xml:space="preserve">CSV </w:t>
      </w:r>
      <w:r>
        <w:rPr>
          <w:rFonts w:ascii="宋体" w:hAnsi="宋体"/>
        </w:rPr>
        <w:t>文件，系统在秒级给出等级结论、产地判断和异常提示，结果同步进入历史档案。原先分散在纸质表单、聊天记录和人工经验里的信息，被固定成可查询、可复核、可导出的批次记录。</w:t>
      </w:r>
    </w:p>
    <w:p w14:paraId="7440DFDF" w14:textId="77777777" w:rsidR="00470923" w:rsidRDefault="00B41790">
      <w:pPr>
        <w:jc w:val="both"/>
      </w:pPr>
      <w:r>
        <w:rPr>
          <w:rFonts w:ascii="宋体" w:hAnsi="宋体"/>
        </w:rPr>
        <w:t>这套记录方式会直接改变基地分级和渠道验货的协同方式。基地负责人可以按批次查看等级结构和问题样本，渠道采购可以调取对应批次的验货结果与报告，品牌方可以直接调用图文化说明材料用于陈列、讲解和售后说明。三方使用同一套数据口径后，口头解释、重复复检和责任扯皮都会明显减少。</w:t>
      </w:r>
    </w:p>
    <w:p w14:paraId="77D965D2" w14:textId="77777777" w:rsidR="00470923" w:rsidRDefault="00B41790">
      <w:pPr>
        <w:jc w:val="both"/>
      </w:pPr>
      <w:r>
        <w:rPr>
          <w:rFonts w:ascii="宋体" w:hAnsi="宋体"/>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6A241436" w14:textId="77777777" w:rsidR="00470923" w:rsidRDefault="00B41790">
      <w:pPr>
        <w:jc w:val="both"/>
      </w:pPr>
      <w:r>
        <w:rPr>
          <w:rFonts w:ascii="宋体" w:hAnsi="宋体"/>
        </w:rPr>
        <w:t>这一过程还会推动果品质量管理方式由</w:t>
      </w:r>
      <w:r>
        <w:rPr>
          <w:rFonts w:ascii="宋体" w:hAnsi="宋体"/>
        </w:rPr>
        <w:t>“</w:t>
      </w:r>
      <w:r>
        <w:rPr>
          <w:rFonts w:ascii="宋体" w:hAnsi="宋体"/>
        </w:rPr>
        <w:t>抽检留痕</w:t>
      </w:r>
      <w:r>
        <w:rPr>
          <w:rFonts w:ascii="宋体" w:hAnsi="宋体"/>
        </w:rPr>
        <w:t>”</w:t>
      </w:r>
      <w:r>
        <w:rPr>
          <w:rFonts w:ascii="宋体" w:hAnsi="宋体"/>
        </w:rPr>
        <w:t>转向</w:t>
      </w:r>
      <w:r>
        <w:rPr>
          <w:rFonts w:ascii="宋体" w:hAnsi="宋体"/>
        </w:rPr>
        <w:t>“</w:t>
      </w:r>
      <w:r>
        <w:rPr>
          <w:rFonts w:ascii="宋体" w:hAnsi="宋体"/>
        </w:rPr>
        <w:t>批次留档</w:t>
      </w:r>
      <w:r>
        <w:rPr>
          <w:rFonts w:ascii="宋体" w:hAnsi="宋体"/>
        </w:rPr>
        <w:t>”</w:t>
      </w:r>
      <w:r>
        <w:rPr>
          <w:rFonts w:ascii="宋体" w:hAnsi="宋体"/>
        </w:rPr>
        <w:t>。每一批货都有来源、有结果、有报告、有回看记录，后续复检、复盘和模型更新都能找到对应样本，区域品牌管理的工作基础也会随之变得更细、更稳。</w:t>
      </w:r>
    </w:p>
    <w:p w14:paraId="05283D41" w14:textId="77777777" w:rsidR="00470923" w:rsidRDefault="00B41790">
      <w:pPr>
        <w:pStyle w:val="21"/>
      </w:pPr>
      <w:bookmarkStart w:id="7" w:name="_Toc226459214"/>
      <w:r>
        <w:rPr>
          <w:rFonts w:ascii="黑体" w:eastAsia="黑体" w:hAnsi="黑体"/>
        </w:rPr>
        <w:lastRenderedPageBreak/>
        <w:t xml:space="preserve">2.2 </w:t>
      </w:r>
      <w:r>
        <w:rPr>
          <w:rFonts w:ascii="黑体" w:eastAsia="黑体" w:hAnsi="黑体"/>
        </w:rPr>
        <w:t>经济效益</w:t>
      </w:r>
      <w:bookmarkEnd w:id="7"/>
    </w:p>
    <w:p w14:paraId="73C28DB9" w14:textId="77777777" w:rsidR="00470923" w:rsidRDefault="00B41790">
      <w:pPr>
        <w:jc w:val="both"/>
      </w:pPr>
      <w:r>
        <w:rPr>
          <w:rFonts w:ascii="宋体" w:hAnsi="宋体"/>
        </w:rPr>
        <w:t>经济效益先出现在分选和验货环节。系统把单批次判断压缩到秒级后，合作社和分选中心可以更快完成分流，减少重复抽检、错分级和出货前反复确认带来的时间损耗。高等级果能够更早匹配礼盒、电商和品牌渠道，普通果可以及时调整销售路径，库存周转和人工安排都会更顺。</w:t>
      </w:r>
    </w:p>
    <w:p w14:paraId="09C3EB5F" w14:textId="77777777" w:rsidR="00470923" w:rsidRDefault="00B41790">
      <w:pPr>
        <w:jc w:val="both"/>
      </w:pPr>
      <w:r>
        <w:rPr>
          <w:rFonts w:ascii="宋体" w:hAnsi="宋体"/>
        </w:rPr>
        <w:t>收益还会体现在交易过程。品牌方拿到的不再只是口头描述，而是带有批次编号、等级区间、产地判断和图表结果的标准报告。报告进入议价、验货和售后环节后，渠道对货品稳定性的判断依据更充分，退货争议和重复沟通成本会下降，优质果的议价空间也更容易守住。</w:t>
      </w:r>
    </w:p>
    <w:p w14:paraId="3C29440C" w14:textId="77777777" w:rsidR="00470923" w:rsidRDefault="00B41790">
      <w:pPr>
        <w:jc w:val="both"/>
      </w:pPr>
      <w:r>
        <w:rPr>
          <w:rFonts w:ascii="宋体" w:hAnsi="宋体"/>
        </w:rPr>
        <w:t>项目当前已经具备三类可收费交付：单批次分析与报告、年度账号服务、区域品牌定制服务。每新增一个合作对象，既能形成当期收入，也会反向沉淀样本库、报告模板和历史案例。收入增长与能力积累同步发生，后续服务边际成本会逐步下降。</w:t>
      </w:r>
    </w:p>
    <w:p w14:paraId="16246477" w14:textId="77777777" w:rsidR="00470923" w:rsidRDefault="00B41790">
      <w:pPr>
        <w:jc w:val="both"/>
      </w:pPr>
      <w:r>
        <w:rPr>
          <w:rFonts w:ascii="宋体" w:hAnsi="宋体"/>
        </w:rPr>
        <w:t>项目进入稳定试点后，经营改进还会反映到供应链安排上。合作社可以根据等级结构决定分选节奏，品牌方可以提前准备不同渠道的包装与宣发口径，渠道方可以依据批次结果安排抽检强度和上架节奏。这种协同一旦形成，单批次收益改善会继续累积为整季经营收益。</w:t>
      </w:r>
    </w:p>
    <w:p w14:paraId="0D2EF67C" w14:textId="77777777" w:rsidR="00470923" w:rsidRDefault="00B41790">
      <w:pPr>
        <w:pStyle w:val="21"/>
      </w:pPr>
      <w:bookmarkStart w:id="8" w:name="_Toc226459215"/>
      <w:r>
        <w:rPr>
          <w:rFonts w:ascii="黑体" w:eastAsia="黑体" w:hAnsi="黑体"/>
        </w:rPr>
        <w:t xml:space="preserve">2.3 </w:t>
      </w:r>
      <w:r>
        <w:rPr>
          <w:rFonts w:ascii="黑体" w:eastAsia="黑体" w:hAnsi="黑体"/>
        </w:rPr>
        <w:t>教育引领</w:t>
      </w:r>
      <w:bookmarkEnd w:id="8"/>
    </w:p>
    <w:p w14:paraId="5DB2B0F0" w14:textId="77777777" w:rsidR="00470923" w:rsidRDefault="00B41790">
      <w:pPr>
        <w:jc w:val="both"/>
      </w:pPr>
      <w:r>
        <w:rPr>
          <w:rFonts w:ascii="宋体" w:hAnsi="宋体"/>
        </w:rPr>
        <w:t>项目对团队的价值，不在于做了多少展示页面，而在于把一套农业智能分析产品真正做了出来。样本怎么采、标签怎么标、结果</w:t>
      </w:r>
      <w:r>
        <w:rPr>
          <w:rFonts w:ascii="宋体" w:hAnsi="宋体"/>
        </w:rPr>
        <w:lastRenderedPageBreak/>
        <w:t>怎么出、报告怎么交付、客户怎么使用，这些问题都要在同一个项目里被解决，团队因此能够完整经历从研发到落地的全过程。</w:t>
      </w:r>
    </w:p>
    <w:p w14:paraId="2B3AC260" w14:textId="77777777" w:rsidR="00470923" w:rsidRDefault="00B41790">
      <w:pPr>
        <w:jc w:val="both"/>
      </w:pPr>
      <w:r>
        <w:rPr>
          <w:rFonts w:ascii="宋体" w:hAnsi="宋体"/>
        </w:rPr>
        <w:t>围绕澄迈福橙、琼中绿橙等区域品牌形成案例后，项目还能为海南本地高校参与热带特色农业数字化建设提供现成样板。它不是停留在论文或课堂实验里的成果，而是已经能进入真实业务场景、接受现场反馈并继续迭代的成品。</w:t>
      </w:r>
    </w:p>
    <w:p w14:paraId="083FB8E4" w14:textId="77777777" w:rsidR="00470923" w:rsidRDefault="00B41790">
      <w:pPr>
        <w:jc w:val="both"/>
      </w:pPr>
      <w:r>
        <w:rPr>
          <w:rFonts w:ascii="宋体" w:hAnsi="宋体"/>
        </w:rPr>
        <w:t>对高校创新项目而言，最有价值的是把技术能力转成可交付成果。橙源智鉴已经把算法结果、历史档案和标准报告统一到同一套产品逻辑中，后续无论是竞赛答辩、试点合作还是校地协同，都有现成成果可以直接使用。</w:t>
      </w:r>
    </w:p>
    <w:p w14:paraId="0FA4B868" w14:textId="77777777" w:rsidR="00470923" w:rsidRDefault="00B41790">
      <w:pPr>
        <w:jc w:val="both"/>
      </w:pPr>
      <w:r>
        <w:rPr>
          <w:rFonts w:ascii="宋体" w:hAnsi="宋体"/>
        </w:rPr>
        <w:t>这种训练真正锻炼的，是把技术做成产品、把产品做进场景的能力。团队成员以后面对科研转化、工程开发或产业合作时，不会只停留在</w:t>
      </w:r>
      <w:r>
        <w:rPr>
          <w:rFonts w:ascii="宋体" w:hAnsi="宋体"/>
        </w:rPr>
        <w:t>“</w:t>
      </w:r>
      <w:r>
        <w:rPr>
          <w:rFonts w:ascii="宋体" w:hAnsi="宋体"/>
        </w:rPr>
        <w:t>模型做出来了</w:t>
      </w:r>
      <w:r>
        <w:rPr>
          <w:rFonts w:ascii="宋体" w:hAnsi="宋体"/>
        </w:rPr>
        <w:t>”</w:t>
      </w:r>
      <w:r>
        <w:rPr>
          <w:rFonts w:ascii="宋体" w:hAnsi="宋体"/>
        </w:rPr>
        <w:t>，而会更清楚交付边界、现场问题和持续迭代应该怎么处理。</w:t>
      </w:r>
    </w:p>
    <w:p w14:paraId="3D431C63" w14:textId="77777777" w:rsidR="00470923" w:rsidRDefault="00470923">
      <w:pPr>
        <w:sectPr w:rsidR="00470923">
          <w:pgSz w:w="11906" w:h="16838"/>
          <w:pgMar w:top="1440" w:right="1797" w:bottom="1440" w:left="1797" w:header="850" w:footer="992" w:gutter="0"/>
          <w:cols w:space="720"/>
          <w:docGrid w:linePitch="360"/>
        </w:sectPr>
      </w:pPr>
    </w:p>
    <w:p w14:paraId="52A4DB0E" w14:textId="77777777" w:rsidR="00470923" w:rsidRDefault="00B41790">
      <w:pPr>
        <w:pStyle w:val="1"/>
      </w:pPr>
      <w:bookmarkStart w:id="9" w:name="_Toc226459216"/>
      <w:r>
        <w:rPr>
          <w:rFonts w:ascii="黑体" w:eastAsia="黑体" w:hAnsi="黑体"/>
        </w:rPr>
        <w:lastRenderedPageBreak/>
        <w:t>第三章：可行性分析</w:t>
      </w:r>
      <w:bookmarkEnd w:id="9"/>
    </w:p>
    <w:p w14:paraId="197480CE" w14:textId="77777777" w:rsidR="00470923" w:rsidRDefault="00B41790">
      <w:pPr>
        <w:pStyle w:val="21"/>
      </w:pPr>
      <w:bookmarkStart w:id="10" w:name="_Toc226459217"/>
      <w:r>
        <w:rPr>
          <w:rFonts w:ascii="黑体" w:eastAsia="黑体" w:hAnsi="黑体"/>
        </w:rPr>
        <w:t xml:space="preserve">3.1 </w:t>
      </w:r>
      <w:r>
        <w:rPr>
          <w:rFonts w:ascii="黑体" w:eastAsia="黑体" w:hAnsi="黑体"/>
        </w:rPr>
        <w:t>市场可行性</w:t>
      </w:r>
      <w:bookmarkEnd w:id="10"/>
    </w:p>
    <w:p w14:paraId="257E14B6" w14:textId="77777777" w:rsidR="00470923" w:rsidRDefault="00B41790">
      <w:pPr>
        <w:jc w:val="both"/>
      </w:pPr>
      <w:r>
        <w:rPr>
          <w:rFonts w:ascii="宋体" w:hAnsi="宋体"/>
        </w:rPr>
        <w:t>橙类经营每年都在重复同一组业务动作：采样、分级、验货、出货、售后复核。只要这些环节持续存在，等级识别、产地判断和批次留档就不是临时需求。果园、合作社、分选中心和品牌方需要的也不是一次展示，而是能在真实经营周期里反复调用的分析工具。</w:t>
      </w:r>
    </w:p>
    <w:p w14:paraId="70ED5498" w14:textId="77777777" w:rsidR="00470923" w:rsidRDefault="00B41790">
      <w:pPr>
        <w:jc w:val="both"/>
      </w:pPr>
      <w:r>
        <w:rPr>
          <w:rFonts w:ascii="宋体" w:hAnsi="宋体"/>
        </w:rPr>
        <w:t>澄迈福橙、琼中绿橙等区域品牌果品很适合作为首发场景。它们既有品牌溢价需求，也有产地证明需求，还需要在礼盒、电商和渠道采购中把批次结果讲清楚。项目用现有平台和报告模板切入这类对象，进入路径比泛泛铺向全部水果更清晰。</w:t>
      </w:r>
    </w:p>
    <w:p w14:paraId="5BD33A30" w14:textId="77777777" w:rsidR="00470923" w:rsidRDefault="00B41790">
      <w:pPr>
        <w:jc w:val="both"/>
      </w:pPr>
      <w:r>
        <w:rPr>
          <w:rFonts w:ascii="宋体" w:hAnsi="宋体"/>
        </w:rPr>
        <w:t>客户的付费逻辑也比较直接。合作社和分选中心为提效和降损付费，品牌方和渠道方为批次报告、产地说明和历史留档付费，区域服务机构为样本库和标准化工具付费。三类需求都能在现有成品里找到对应交付，市场启动阻力相对可控。</w:t>
      </w:r>
    </w:p>
    <w:p w14:paraId="516C1DBA" w14:textId="77777777" w:rsidR="00470923" w:rsidRDefault="00B41790">
      <w:pPr>
        <w:jc w:val="both"/>
      </w:pPr>
      <w:r>
        <w:rPr>
          <w:rFonts w:ascii="宋体" w:hAnsi="宋体"/>
        </w:rPr>
        <w:t>一旦项目在某个产区形成稳定案例，后续复制难度会明显下降。橙类果品的经营链路、验货节点和品牌表达方式具有很强相似性，先做透一个区域、一个品牌、一个季节，再复制到相近对象，比从零教育整个市场更有效。</w:t>
      </w:r>
    </w:p>
    <w:p w14:paraId="3BBD3DB0" w14:textId="77777777" w:rsidR="00470923" w:rsidRDefault="00B41790">
      <w:pPr>
        <w:pStyle w:val="21"/>
      </w:pPr>
      <w:bookmarkStart w:id="11" w:name="_Toc226459218"/>
      <w:r>
        <w:rPr>
          <w:rFonts w:ascii="黑体" w:eastAsia="黑体" w:hAnsi="黑体"/>
        </w:rPr>
        <w:t xml:space="preserve">3.2 </w:t>
      </w:r>
      <w:r>
        <w:rPr>
          <w:rFonts w:ascii="黑体" w:eastAsia="黑体" w:hAnsi="黑体"/>
        </w:rPr>
        <w:t>技术可行性</w:t>
      </w:r>
      <w:bookmarkEnd w:id="11"/>
    </w:p>
    <w:p w14:paraId="65F46FF6" w14:textId="77777777" w:rsidR="00470923" w:rsidRDefault="00B41790">
      <w:pPr>
        <w:jc w:val="both"/>
      </w:pPr>
      <w:r>
        <w:rPr>
          <w:rFonts w:ascii="宋体" w:hAnsi="宋体"/>
        </w:rPr>
        <w:t>项目已经把高光谱文件接入、等级识别、产地溯源、指标估计、异常提示和报告输出连成一条技术链路。高光谱负责提供连续波段信息，分类模型负责产地识别和等级判断，回归模型负责</w:t>
      </w:r>
      <w:r>
        <w:rPr>
          <w:rFonts w:ascii="宋体" w:hAnsi="宋体"/>
        </w:rPr>
        <w:t xml:space="preserve"> SSC</w:t>
      </w:r>
      <w:r>
        <w:rPr>
          <w:rFonts w:ascii="宋体" w:hAnsi="宋体"/>
        </w:rPr>
        <w:t>、</w:t>
      </w:r>
      <w:r>
        <w:rPr>
          <w:rFonts w:ascii="宋体" w:hAnsi="宋体"/>
        </w:rPr>
        <w:t xml:space="preserve">TA </w:t>
      </w:r>
      <w:r>
        <w:rPr>
          <w:rFonts w:ascii="宋体" w:hAnsi="宋体"/>
        </w:rPr>
        <w:lastRenderedPageBreak/>
        <w:t>等指标预测，可解释模块负责说明判断依据，各环节分工清楚，任务衔接顺畅。</w:t>
      </w:r>
    </w:p>
    <w:p w14:paraId="6D782733" w14:textId="77777777" w:rsidR="00470923" w:rsidRDefault="00B41790">
      <w:pPr>
        <w:jc w:val="both"/>
      </w:pPr>
      <w:r>
        <w:rPr>
          <w:rFonts w:ascii="宋体" w:hAnsi="宋体"/>
        </w:rPr>
        <w:t>平台已经完成首页、大屏、分析页、模型页、历史页以及移动端上传、登记、查询和回看功能，能够完整演示</w:t>
      </w:r>
      <w:r>
        <w:rPr>
          <w:rFonts w:ascii="宋体" w:hAnsi="宋体"/>
        </w:rPr>
        <w:t>“</w:t>
      </w:r>
      <w:r>
        <w:rPr>
          <w:rFonts w:ascii="宋体" w:hAnsi="宋体"/>
        </w:rPr>
        <w:t>文件上传</w:t>
      </w:r>
      <w:r>
        <w:rPr>
          <w:rFonts w:ascii="宋体" w:hAnsi="宋体"/>
        </w:rPr>
        <w:t xml:space="preserve"> - </w:t>
      </w:r>
      <w:r>
        <w:rPr>
          <w:rFonts w:ascii="宋体" w:hAnsi="宋体"/>
        </w:rPr>
        <w:t>智能分析</w:t>
      </w:r>
      <w:r>
        <w:rPr>
          <w:rFonts w:ascii="宋体" w:hAnsi="宋体"/>
        </w:rPr>
        <w:t xml:space="preserve"> - </w:t>
      </w:r>
      <w:r>
        <w:rPr>
          <w:rFonts w:ascii="宋体" w:hAnsi="宋体"/>
        </w:rPr>
        <w:t>结果查看</w:t>
      </w:r>
      <w:r>
        <w:rPr>
          <w:rFonts w:ascii="宋体" w:hAnsi="宋体"/>
        </w:rPr>
        <w:t xml:space="preserve"> - </w:t>
      </w:r>
      <w:r>
        <w:rPr>
          <w:rFonts w:ascii="宋体" w:hAnsi="宋体"/>
        </w:rPr>
        <w:t>报告导出</w:t>
      </w:r>
      <w:r>
        <w:rPr>
          <w:rFonts w:ascii="宋体" w:hAnsi="宋体"/>
        </w:rPr>
        <w:t>”</w:t>
      </w:r>
      <w:r>
        <w:rPr>
          <w:rFonts w:ascii="宋体" w:hAnsi="宋体"/>
        </w:rPr>
        <w:t>的业务链路；系统支持</w:t>
      </w:r>
      <w:r>
        <w:rPr>
          <w:rFonts w:ascii="宋体" w:hAnsi="宋体"/>
        </w:rPr>
        <w:t xml:space="preserve"> HDR</w:t>
      </w:r>
      <w:r>
        <w:rPr>
          <w:rFonts w:ascii="宋体" w:hAnsi="宋体"/>
        </w:rPr>
        <w:t>、</w:t>
      </w:r>
      <w:r>
        <w:rPr>
          <w:rFonts w:ascii="宋体" w:hAnsi="宋体"/>
        </w:rPr>
        <w:t>RAW</w:t>
      </w:r>
      <w:r>
        <w:rPr>
          <w:rFonts w:ascii="宋体" w:hAnsi="宋体"/>
        </w:rPr>
        <w:t>、</w:t>
      </w:r>
      <w:r>
        <w:rPr>
          <w:rFonts w:ascii="宋体" w:hAnsi="宋体"/>
        </w:rPr>
        <w:t xml:space="preserve">CSV </w:t>
      </w:r>
      <w:r>
        <w:rPr>
          <w:rFonts w:ascii="宋体" w:hAnsi="宋体"/>
        </w:rPr>
        <w:t>三类文件上传，联动</w:t>
      </w:r>
      <w:r>
        <w:rPr>
          <w:rFonts w:ascii="宋体" w:hAnsi="宋体"/>
        </w:rPr>
        <w:t xml:space="preserve"> 10 </w:t>
      </w:r>
      <w:r>
        <w:rPr>
          <w:rFonts w:ascii="宋体" w:hAnsi="宋体"/>
        </w:rPr>
        <w:t>组化验样本、</w:t>
      </w:r>
      <w:r>
        <w:rPr>
          <w:rFonts w:ascii="宋体" w:hAnsi="宋体"/>
        </w:rPr>
        <w:t xml:space="preserve">100 </w:t>
      </w:r>
      <w:r>
        <w:rPr>
          <w:rFonts w:ascii="宋体" w:hAnsi="宋体"/>
        </w:rPr>
        <w:t>个连续波段点位，并可展示澄迈福橙与琼中绿橙的对比分析。</w:t>
      </w:r>
    </w:p>
    <w:p w14:paraId="3584D2E1" w14:textId="77777777" w:rsidR="00470923" w:rsidRDefault="00B41790">
      <w:pPr>
        <w:jc w:val="both"/>
      </w:pPr>
      <w:r>
        <w:rPr>
          <w:rFonts w:ascii="宋体" w:hAnsi="宋体"/>
        </w:rPr>
        <w:t>现阶段剩余工作集中在样本扩充、季节补样、标签精度提升和跨批次稳定性优化，属于在既有框架上的持续打磨，不需要推翻路线重来。样本规模一旦继续扩大，模型泛化能力、报告稳定性和平台体验都能在现有架构内顺势提升。</w:t>
      </w:r>
    </w:p>
    <w:p w14:paraId="439AC540" w14:textId="77777777" w:rsidR="00470923" w:rsidRDefault="00B41790">
      <w:pPr>
        <w:jc w:val="both"/>
      </w:pPr>
      <w:r>
        <w:rPr>
          <w:rFonts w:ascii="宋体" w:hAnsi="宋体"/>
        </w:rPr>
        <w:t>这意味着项目当前面对的不是</w:t>
      </w:r>
      <w:r>
        <w:rPr>
          <w:rFonts w:ascii="宋体" w:hAnsi="宋体"/>
        </w:rPr>
        <w:t>“</w:t>
      </w:r>
      <w:r>
        <w:rPr>
          <w:rFonts w:ascii="宋体" w:hAnsi="宋体"/>
        </w:rPr>
        <w:t>能不能做出来</w:t>
      </w:r>
      <w:r>
        <w:rPr>
          <w:rFonts w:ascii="宋体" w:hAnsi="宋体"/>
        </w:rPr>
        <w:t>”</w:t>
      </w:r>
      <w:r>
        <w:rPr>
          <w:rFonts w:ascii="宋体" w:hAnsi="宋体"/>
        </w:rPr>
        <w:t>的问题，而是</w:t>
      </w:r>
      <w:r>
        <w:rPr>
          <w:rFonts w:ascii="宋体" w:hAnsi="宋体"/>
        </w:rPr>
        <w:t>“</w:t>
      </w:r>
      <w:r>
        <w:rPr>
          <w:rFonts w:ascii="宋体" w:hAnsi="宋体"/>
        </w:rPr>
        <w:t>把现有成品做得更稳、更广、更能经受试点</w:t>
      </w:r>
      <w:r>
        <w:rPr>
          <w:rFonts w:ascii="宋体" w:hAnsi="宋体"/>
        </w:rPr>
        <w:t>”</w:t>
      </w:r>
      <w:r>
        <w:rPr>
          <w:rFonts w:ascii="宋体" w:hAnsi="宋体"/>
        </w:rPr>
        <w:t>的问题。对于竞赛项目和后续落地来说，这种阶段状态更有说服力。</w:t>
      </w:r>
    </w:p>
    <w:p w14:paraId="238DF4FB" w14:textId="77777777" w:rsidR="00470923" w:rsidRDefault="00B41790">
      <w:pPr>
        <w:pStyle w:val="21"/>
      </w:pPr>
      <w:bookmarkStart w:id="12" w:name="_Toc226459219"/>
      <w:r>
        <w:rPr>
          <w:rFonts w:ascii="黑体" w:eastAsia="黑体" w:hAnsi="黑体"/>
        </w:rPr>
        <w:t xml:space="preserve">3.3 </w:t>
      </w:r>
      <w:r>
        <w:rPr>
          <w:rFonts w:ascii="黑体" w:eastAsia="黑体" w:hAnsi="黑体"/>
        </w:rPr>
        <w:t>经济可行性</w:t>
      </w:r>
      <w:bookmarkEnd w:id="12"/>
    </w:p>
    <w:p w14:paraId="17FBF4A9" w14:textId="77777777" w:rsidR="00470923" w:rsidRDefault="00B41790">
      <w:pPr>
        <w:jc w:val="both"/>
      </w:pPr>
      <w:r>
        <w:rPr>
          <w:rFonts w:ascii="宋体" w:hAnsi="宋体"/>
        </w:rPr>
        <w:t>项目早期投入集中在样本采集、理化标定、模型训练、云服务器和平台维护上，投入项清晰，资金方向也比较集中。现阶段不需要先建设重资产硬件体系，团队可以把有限资源优先投到样本质量、模型表现和产品稳定性上。</w:t>
      </w:r>
    </w:p>
    <w:p w14:paraId="37E5C911" w14:textId="77777777" w:rsidR="00470923" w:rsidRDefault="00B41790">
      <w:pPr>
        <w:jc w:val="both"/>
      </w:pPr>
      <w:r>
        <w:rPr>
          <w:rFonts w:ascii="宋体" w:hAnsi="宋体"/>
        </w:rPr>
        <w:t>收入端已经与交付内容形成对应关系：批次文件分析服务对应分选和验货场景，年度账号服务对应长期使用客户，溯源报告和定制模型服务对应区域品牌和重点合作方。商业化推进顺序可以按照</w:t>
      </w:r>
      <w:r>
        <w:rPr>
          <w:rFonts w:ascii="宋体" w:hAnsi="宋体"/>
        </w:rPr>
        <w:lastRenderedPageBreak/>
        <w:t>分析服务、年度订阅和区域共建依次展开，使现金流和交付能力同步增长。</w:t>
      </w:r>
    </w:p>
    <w:p w14:paraId="055F6A92" w14:textId="77777777" w:rsidR="00470923" w:rsidRDefault="00B41790">
      <w:pPr>
        <w:jc w:val="both"/>
      </w:pPr>
      <w:r>
        <w:rPr>
          <w:rFonts w:ascii="宋体" w:hAnsi="宋体"/>
        </w:rPr>
        <w:t>成本回收节奏也比较容易判断。项目支出主要集中在样本、模型和系统维护三项，固定成本结构相对稳定，只要年度账号客户和批次服务持续增长，前期投入就具备被逐步摊销和消化的基础。项目越早把单次合作转化为持续服务，财务结构就越稳。</w:t>
      </w:r>
    </w:p>
    <w:p w14:paraId="38880AE7" w14:textId="77777777" w:rsidR="00470923" w:rsidRDefault="00B41790">
      <w:pPr>
        <w:pStyle w:val="21"/>
      </w:pPr>
      <w:bookmarkStart w:id="13" w:name="_Toc226459220"/>
      <w:r>
        <w:rPr>
          <w:rFonts w:ascii="黑体" w:eastAsia="黑体" w:hAnsi="黑体"/>
        </w:rPr>
        <w:t xml:space="preserve">3.4 </w:t>
      </w:r>
      <w:r>
        <w:rPr>
          <w:rFonts w:ascii="黑体" w:eastAsia="黑体" w:hAnsi="黑体"/>
        </w:rPr>
        <w:t>运营可行性</w:t>
      </w:r>
      <w:bookmarkEnd w:id="13"/>
    </w:p>
    <w:p w14:paraId="56170BAB" w14:textId="77777777" w:rsidR="00470923" w:rsidRDefault="00B41790">
      <w:pPr>
        <w:jc w:val="both"/>
      </w:pPr>
      <w:r>
        <w:rPr>
          <w:rFonts w:ascii="宋体" w:hAnsi="宋体"/>
        </w:rPr>
        <w:t>运营推进依托现成成品、校内实验条件和已经跑通的人力分工。团队已把样本组织、模型训练、页面呈现、报告输出和项目表达连成一条线，高校实验室、孵化资源和赛事平台能够继续支撑样本补强、研发推进和阶段展示，项目进入场景试点具备现实条件。</w:t>
      </w:r>
    </w:p>
    <w:p w14:paraId="4D279176" w14:textId="77777777" w:rsidR="00470923" w:rsidRDefault="00B41790">
      <w:pPr>
        <w:jc w:val="both"/>
      </w:pPr>
      <w:r>
        <w:rPr>
          <w:rFonts w:ascii="宋体" w:hAnsi="宋体"/>
        </w:rPr>
        <w:t>项目推进路径可以按成品展示、试点验证、标准沉淀和区域复制四个阶段连续展开。现有平台已经具备演示与试用条件，合作方可以直接体验上传、分析、查询和回溯流程，团队不需要再为试点临时拼接工具，而是可以直接围绕现有产品组织样本、安排交付和形成复盘。</w:t>
      </w:r>
    </w:p>
    <w:p w14:paraId="02043CC1" w14:textId="77777777" w:rsidR="00470923" w:rsidRDefault="00B41790">
      <w:pPr>
        <w:jc w:val="both"/>
      </w:pPr>
      <w:r>
        <w:rPr>
          <w:rFonts w:ascii="宋体" w:hAnsi="宋体"/>
        </w:rPr>
        <w:t>运营资源也具备持续补充条件。高校实验平台可以继续提供样本采集和模型验证支持，团队内部已有页面、后端、算法和项目管理分工，外部又有顾问和试点对象逐步接入，因此项目在组织层面具备持续推进的基础。</w:t>
      </w:r>
    </w:p>
    <w:p w14:paraId="779B6644" w14:textId="77777777" w:rsidR="00470923" w:rsidRDefault="00B41790">
      <w:pPr>
        <w:jc w:val="both"/>
      </w:pPr>
      <w:r>
        <w:rPr>
          <w:rFonts w:ascii="宋体" w:hAnsi="宋体"/>
        </w:rPr>
        <w:t>更重要的是，项目完全可以按小范围样板先行的方式推进。先把少量区域对象做透，把文件标准、报告模板和交付节奏稳定下来，</w:t>
      </w:r>
      <w:r>
        <w:rPr>
          <w:rFonts w:ascii="宋体" w:hAnsi="宋体"/>
        </w:rPr>
        <w:lastRenderedPageBreak/>
        <w:t>再逐步扩大服务面，比一开始追求大范围铺开更符合团队当前阶段，也更有利于把试点真正做成可复制经验。</w:t>
      </w:r>
    </w:p>
    <w:p w14:paraId="1FAF3AB7" w14:textId="77777777" w:rsidR="00470923" w:rsidRDefault="00470923">
      <w:pPr>
        <w:sectPr w:rsidR="00470923">
          <w:pgSz w:w="11906" w:h="16838"/>
          <w:pgMar w:top="1440" w:right="1797" w:bottom="1440" w:left="1797" w:header="850" w:footer="992" w:gutter="0"/>
          <w:cols w:space="720"/>
          <w:docGrid w:linePitch="360"/>
        </w:sectPr>
      </w:pPr>
    </w:p>
    <w:p w14:paraId="206C3A33" w14:textId="77777777" w:rsidR="00470923" w:rsidRDefault="00B41790">
      <w:pPr>
        <w:pStyle w:val="1"/>
      </w:pPr>
      <w:bookmarkStart w:id="14" w:name="_Toc226459221"/>
      <w:r>
        <w:rPr>
          <w:rFonts w:ascii="黑体" w:eastAsia="黑体" w:hAnsi="黑体"/>
        </w:rPr>
        <w:lastRenderedPageBreak/>
        <w:t>第四章：市场优势</w:t>
      </w:r>
      <w:bookmarkEnd w:id="14"/>
    </w:p>
    <w:p w14:paraId="73018772" w14:textId="77777777" w:rsidR="00470923" w:rsidRDefault="00B41790">
      <w:pPr>
        <w:pStyle w:val="21"/>
      </w:pPr>
      <w:bookmarkStart w:id="15" w:name="_Toc226459222"/>
      <w:r>
        <w:rPr>
          <w:rFonts w:ascii="黑体" w:eastAsia="黑体" w:hAnsi="黑体"/>
        </w:rPr>
        <w:t xml:space="preserve">4.1 </w:t>
      </w:r>
      <w:r>
        <w:rPr>
          <w:rFonts w:ascii="黑体" w:eastAsia="黑体" w:hAnsi="黑体"/>
        </w:rPr>
        <w:t>检测市场分析</w:t>
      </w:r>
      <w:bookmarkEnd w:id="15"/>
    </w:p>
    <w:p w14:paraId="1CB62736" w14:textId="77777777" w:rsidR="00470923" w:rsidRDefault="00B41790">
      <w:pPr>
        <w:jc w:val="both"/>
      </w:pPr>
      <w:r>
        <w:rPr>
          <w:rFonts w:ascii="宋体" w:hAnsi="宋体"/>
        </w:rPr>
        <w:t>橙类品质检测与产地识别面对的是一个稳定、重复发生的服务市场。农业农村部公开资料显示，我国柑橘种植面积约</w:t>
      </w:r>
      <w:r>
        <w:rPr>
          <w:rFonts w:ascii="宋体" w:hAnsi="宋体"/>
        </w:rPr>
        <w:t>4493.72</w:t>
      </w:r>
      <w:r>
        <w:rPr>
          <w:rFonts w:ascii="宋体" w:hAnsi="宋体"/>
        </w:rPr>
        <w:t>万亩、年产量约</w:t>
      </w:r>
      <w:r>
        <w:rPr>
          <w:rFonts w:ascii="宋体" w:hAnsi="宋体"/>
        </w:rPr>
        <w:t>6003.89</w:t>
      </w:r>
      <w:r>
        <w:rPr>
          <w:rFonts w:ascii="宋体" w:hAnsi="宋体"/>
        </w:rPr>
        <w:t>万吨，约占全球总产量</w:t>
      </w:r>
      <w:r>
        <w:rPr>
          <w:rFonts w:ascii="宋体" w:hAnsi="宋体"/>
        </w:rPr>
        <w:t>28%</w:t>
      </w:r>
      <w:r>
        <w:rPr>
          <w:rFonts w:ascii="宋体" w:hAnsi="宋体"/>
        </w:rPr>
        <w:t>；《</w:t>
      </w:r>
      <w:r>
        <w:rPr>
          <w:rFonts w:ascii="宋体" w:hAnsi="宋体"/>
        </w:rPr>
        <w:t>2024</w:t>
      </w:r>
      <w:r>
        <w:rPr>
          <w:rFonts w:ascii="宋体" w:hAnsi="宋体"/>
        </w:rPr>
        <w:t>年</w:t>
      </w:r>
      <w:r>
        <w:rPr>
          <w:rFonts w:ascii="宋体" w:hAnsi="宋体"/>
        </w:rPr>
        <w:t>4</w:t>
      </w:r>
      <w:r>
        <w:rPr>
          <w:rFonts w:ascii="宋体" w:hAnsi="宋体"/>
        </w:rPr>
        <w:t>月农产品供需形势分析月报（水果）》显示，</w:t>
      </w:r>
      <w:r>
        <w:rPr>
          <w:rFonts w:ascii="宋体" w:hAnsi="宋体"/>
        </w:rPr>
        <w:t>2024</w:t>
      </w:r>
      <w:r>
        <w:rPr>
          <w:rFonts w:ascii="宋体" w:hAnsi="宋体"/>
        </w:rPr>
        <w:t>年</w:t>
      </w:r>
      <w:r>
        <w:rPr>
          <w:rFonts w:ascii="宋体" w:hAnsi="宋体"/>
        </w:rPr>
        <w:t>3</w:t>
      </w:r>
      <w:r>
        <w:rPr>
          <w:rFonts w:ascii="宋体" w:hAnsi="宋体"/>
        </w:rPr>
        <w:t>月全国重点监测批发市场柑橘均价为</w:t>
      </w:r>
      <w:r>
        <w:rPr>
          <w:rFonts w:ascii="宋体" w:hAnsi="宋体"/>
        </w:rPr>
        <w:t>7.03</w:t>
      </w:r>
      <w:r>
        <w:rPr>
          <w:rFonts w:ascii="宋体" w:hAnsi="宋体"/>
        </w:rPr>
        <w:t>元</w:t>
      </w:r>
      <w:r>
        <w:rPr>
          <w:rFonts w:ascii="宋体" w:hAnsi="宋体"/>
        </w:rPr>
        <w:t>/</w:t>
      </w:r>
      <w:r>
        <w:rPr>
          <w:rFonts w:ascii="宋体" w:hAnsi="宋体"/>
        </w:rPr>
        <w:t>公斤，同比下降</w:t>
      </w:r>
      <w:r>
        <w:rPr>
          <w:rFonts w:ascii="宋体" w:hAnsi="宋体"/>
        </w:rPr>
        <w:t>12.5%</w:t>
      </w:r>
      <w:r>
        <w:rPr>
          <w:rFonts w:ascii="宋体" w:hAnsi="宋体"/>
        </w:rPr>
        <w:t>。在供给充足、价格承压的环境下，分级稳定性、品质说明能力和产地表达能力会直接影响渠道稳定性和利润空间。</w:t>
      </w:r>
    </w:p>
    <w:p w14:paraId="130B13C5" w14:textId="77777777" w:rsidR="00470923" w:rsidRDefault="00B41790">
      <w:pPr>
        <w:jc w:val="both"/>
      </w:pPr>
      <w:r>
        <w:rPr>
          <w:rFonts w:ascii="宋体" w:hAnsi="宋体"/>
        </w:rPr>
        <w:t>海南特色水果产业为项目提供了明确落点。根据海南省统计局发布的《海南省</w:t>
      </w:r>
      <w:r>
        <w:rPr>
          <w:rFonts w:ascii="宋体" w:hAnsi="宋体"/>
        </w:rPr>
        <w:t>2024</w:t>
      </w:r>
      <w:r>
        <w:rPr>
          <w:rFonts w:ascii="宋体" w:hAnsi="宋体"/>
        </w:rPr>
        <w:t>年国民经济和社会发展统计公报》，</w:t>
      </w:r>
      <w:r>
        <w:rPr>
          <w:rFonts w:ascii="宋体" w:hAnsi="宋体"/>
        </w:rPr>
        <w:t>2024</w:t>
      </w:r>
      <w:r>
        <w:rPr>
          <w:rFonts w:ascii="宋体" w:hAnsi="宋体"/>
        </w:rPr>
        <w:t>年海南水果总产量达到</w:t>
      </w:r>
      <w:r>
        <w:rPr>
          <w:rFonts w:ascii="宋体" w:hAnsi="宋体"/>
        </w:rPr>
        <w:t>617.66</w:t>
      </w:r>
      <w:r>
        <w:rPr>
          <w:rFonts w:ascii="宋体" w:hAnsi="宋体"/>
        </w:rPr>
        <w:t>万吨，同比增长</w:t>
      </w:r>
      <w:r>
        <w:rPr>
          <w:rFonts w:ascii="宋体" w:hAnsi="宋体"/>
        </w:rPr>
        <w:t>4.2%</w:t>
      </w:r>
      <w:r>
        <w:rPr>
          <w:rFonts w:ascii="宋体" w:hAnsi="宋体"/>
        </w:rPr>
        <w:t>。澄迈福橙、琼中绿橙等区域品牌果品同时存在等级识别、产地证明和品牌表达需求；礼盒果、电商果、商超定制果和节庆促销果等销售形态的增加，也把检测需求推向快速分析、数据沉淀和报告输出。</w:t>
      </w:r>
    </w:p>
    <w:p w14:paraId="2B02152E" w14:textId="77777777" w:rsidR="00470923" w:rsidRDefault="00B41790">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09F34A6C" w14:textId="77777777" w:rsidR="00470923" w:rsidRDefault="00B41790">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557ADA5D" w14:textId="77777777" w:rsidR="00470923" w:rsidRDefault="00B41790">
      <w:pPr>
        <w:pStyle w:val="21"/>
      </w:pPr>
      <w:bookmarkStart w:id="16" w:name="_Toc226459223"/>
      <w:r>
        <w:rPr>
          <w:rFonts w:ascii="黑体" w:eastAsia="黑体" w:hAnsi="黑体"/>
        </w:rPr>
        <w:lastRenderedPageBreak/>
        <w:t xml:space="preserve">4.2 </w:t>
      </w:r>
      <w:r>
        <w:rPr>
          <w:rFonts w:ascii="黑体" w:eastAsia="黑体" w:hAnsi="黑体"/>
        </w:rPr>
        <w:t>行业痛点与需求结构</w:t>
      </w:r>
      <w:bookmarkEnd w:id="16"/>
    </w:p>
    <w:p w14:paraId="65180669" w14:textId="77777777" w:rsidR="00470923" w:rsidRDefault="00B41790">
      <w:pPr>
        <w:jc w:val="both"/>
      </w:pPr>
      <w:r>
        <w:rPr>
          <w:rFonts w:ascii="宋体" w:hAnsi="宋体"/>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65BAE82C" w14:textId="77777777" w:rsidR="00470923" w:rsidRDefault="00B41790">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4E69CDC1" w14:textId="77777777" w:rsidR="00470923" w:rsidRDefault="00B41790">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4C0742EC" w14:textId="77777777" w:rsidR="00470923" w:rsidRDefault="00B41790">
      <w:pPr>
        <w:pStyle w:val="21"/>
      </w:pPr>
      <w:bookmarkStart w:id="17" w:name="_Toc226459224"/>
      <w:r>
        <w:rPr>
          <w:rFonts w:ascii="黑体" w:eastAsia="黑体" w:hAnsi="黑体"/>
        </w:rPr>
        <w:t xml:space="preserve">4.3 </w:t>
      </w:r>
      <w:r>
        <w:rPr>
          <w:rFonts w:ascii="黑体" w:eastAsia="黑体" w:hAnsi="黑体"/>
        </w:rPr>
        <w:t>用户分析</w:t>
      </w:r>
      <w:bookmarkEnd w:id="17"/>
    </w:p>
    <w:p w14:paraId="4D9F4175" w14:textId="77777777" w:rsidR="00470923" w:rsidRDefault="00B41790">
      <w:pPr>
        <w:jc w:val="both"/>
      </w:pPr>
      <w:r>
        <w:rPr>
          <w:rFonts w:ascii="宋体" w:hAnsi="宋体"/>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719F0AA8" w14:textId="77777777" w:rsidR="00470923" w:rsidRDefault="00B41790">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w:t>
      </w:r>
      <w:r>
        <w:rPr>
          <w:rFonts w:ascii="宋体" w:hAnsi="宋体"/>
        </w:rPr>
        <w:lastRenderedPageBreak/>
        <w:t>能依赖更高。项目如果能够把批次结果做成标准化说明材料，这组用户的付费意愿会更强。</w:t>
      </w:r>
    </w:p>
    <w:p w14:paraId="7D68B11C" w14:textId="77777777" w:rsidR="00470923" w:rsidRDefault="00B41790">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345F7689" w14:textId="77777777" w:rsidR="00470923" w:rsidRDefault="00B41790">
      <w:pPr>
        <w:jc w:val="both"/>
      </w:pPr>
      <w:r>
        <w:rPr>
          <w:rFonts w:ascii="宋体" w:hAnsi="宋体"/>
        </w:rPr>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4D5326E2" w14:textId="77777777" w:rsidR="00470923" w:rsidRDefault="00B41790">
      <w:pPr>
        <w:pStyle w:val="21"/>
      </w:pPr>
      <w:bookmarkStart w:id="18" w:name="_Toc226459225"/>
      <w:r>
        <w:rPr>
          <w:rFonts w:ascii="黑体" w:eastAsia="黑体" w:hAnsi="黑体"/>
        </w:rPr>
        <w:t xml:space="preserve">4.4 </w:t>
      </w:r>
      <w:r>
        <w:rPr>
          <w:rFonts w:ascii="黑体" w:eastAsia="黑体" w:hAnsi="黑体"/>
        </w:rPr>
        <w:t>竞争分析</w:t>
      </w:r>
      <w:bookmarkEnd w:id="18"/>
    </w:p>
    <w:p w14:paraId="0A078006" w14:textId="77777777" w:rsidR="00470923" w:rsidRDefault="00B41790">
      <w:pPr>
        <w:jc w:val="both"/>
      </w:pPr>
      <w:r>
        <w:rPr>
          <w:rFonts w:ascii="宋体" w:hAnsi="宋体"/>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5CC72A70" w14:textId="77777777" w:rsidR="00470923" w:rsidRDefault="00B41790">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5FB3F6BC" w14:textId="77777777" w:rsidR="00470923" w:rsidRDefault="00B41790">
      <w:pPr>
        <w:jc w:val="both"/>
      </w:pPr>
      <w:r>
        <w:rPr>
          <w:rFonts w:ascii="宋体" w:hAnsi="宋体"/>
        </w:rPr>
        <w:t>真正能拉开差距的，是样本、报告和历史档案的持续积累。样本越多、报告越多、案例越多，平台后续给出的结果就越稳定，合</w:t>
      </w:r>
      <w:r>
        <w:rPr>
          <w:rFonts w:ascii="宋体" w:hAnsi="宋体"/>
        </w:rPr>
        <w:lastRenderedPageBreak/>
        <w:t>作方对系统的依赖也会越强。相比只解决某个检测动作的单点工具，完整的平台和长期档案更容易形成持续使用关系。</w:t>
      </w:r>
    </w:p>
    <w:p w14:paraId="160D614B" w14:textId="77777777" w:rsidR="00470923" w:rsidRDefault="00470923">
      <w:pPr>
        <w:sectPr w:rsidR="00470923">
          <w:pgSz w:w="11906" w:h="16838"/>
          <w:pgMar w:top="1440" w:right="1797" w:bottom="1440" w:left="1797" w:header="850" w:footer="992" w:gutter="0"/>
          <w:cols w:space="720"/>
          <w:docGrid w:linePitch="360"/>
        </w:sectPr>
      </w:pPr>
    </w:p>
    <w:p w14:paraId="1A5A294E" w14:textId="77777777" w:rsidR="00470923" w:rsidRDefault="00B41790">
      <w:pPr>
        <w:pStyle w:val="1"/>
      </w:pPr>
      <w:bookmarkStart w:id="19" w:name="_Toc226459226"/>
      <w:r>
        <w:rPr>
          <w:rFonts w:ascii="黑体" w:eastAsia="黑体" w:hAnsi="黑体"/>
        </w:rPr>
        <w:lastRenderedPageBreak/>
        <w:t>第五章：技术策略</w:t>
      </w:r>
      <w:bookmarkEnd w:id="19"/>
    </w:p>
    <w:p w14:paraId="0FEF4B83" w14:textId="77777777" w:rsidR="00470923" w:rsidRDefault="00B41790">
      <w:pPr>
        <w:pStyle w:val="21"/>
      </w:pPr>
      <w:bookmarkStart w:id="20" w:name="_Toc226459227"/>
      <w:r>
        <w:rPr>
          <w:rFonts w:ascii="黑体" w:eastAsia="黑体" w:hAnsi="黑体"/>
        </w:rPr>
        <w:t xml:space="preserve">5.1 </w:t>
      </w:r>
      <w:r>
        <w:rPr>
          <w:rFonts w:ascii="黑体" w:eastAsia="黑体" w:hAnsi="黑体"/>
        </w:rPr>
        <w:t>总体技术路线</w:t>
      </w:r>
      <w:bookmarkEnd w:id="20"/>
    </w:p>
    <w:p w14:paraId="6A30A094" w14:textId="77777777" w:rsidR="00470923" w:rsidRDefault="00B41790">
      <w:pPr>
        <w:jc w:val="both"/>
      </w:pPr>
      <w:r>
        <w:rPr>
          <w:rFonts w:ascii="宋体" w:hAnsi="宋体"/>
        </w:rPr>
        <w:t>系统输入侧已明确为高光谱数据文件和标准检测数据文件两类。每个样本需同步关联产地、批次、成熟度、采样时间、糖度（</w:t>
      </w:r>
      <w:r>
        <w:rPr>
          <w:rFonts w:ascii="宋体" w:hAnsi="宋体"/>
        </w:rPr>
        <w:t>SSC</w:t>
      </w:r>
      <w:r>
        <w:rPr>
          <w:rFonts w:ascii="宋体" w:hAnsi="宋体"/>
        </w:rPr>
        <w:t>）、酸度（</w:t>
      </w:r>
      <w:r>
        <w:rPr>
          <w:rFonts w:ascii="宋体" w:hAnsi="宋体"/>
        </w:rPr>
        <w:t>TA</w:t>
      </w:r>
      <w:r>
        <w:rPr>
          <w:rFonts w:ascii="宋体" w:hAnsi="宋体"/>
        </w:rPr>
        <w:t>）、糖酸比、维生素</w:t>
      </w:r>
      <w:r>
        <w:rPr>
          <w:rFonts w:ascii="宋体" w:hAnsi="宋体"/>
        </w:rPr>
        <w:t>C</w:t>
      </w:r>
      <w:r>
        <w:rPr>
          <w:rFonts w:ascii="宋体" w:hAnsi="宋体"/>
        </w:rPr>
        <w:t>等标签，保证上传文件进入系统后能够形成可训练、可查询、可追溯的数据单元。</w:t>
      </w:r>
    </w:p>
    <w:p w14:paraId="668D2C40" w14:textId="77777777" w:rsidR="00470923" w:rsidRDefault="00B41790">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50E76EF6" w14:textId="77777777" w:rsidR="00470923" w:rsidRDefault="00B41790">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5998B9CB" w14:textId="77777777" w:rsidR="00470923" w:rsidRDefault="00B41790">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531C8633" w14:textId="77777777" w:rsidR="00470923" w:rsidRDefault="00B41790">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w:t>
      </w:r>
      <w:r>
        <w:rPr>
          <w:rFonts w:ascii="宋体" w:hAnsi="宋体"/>
        </w:rPr>
        <w:t xml:space="preserve"> 1.2 </w:t>
      </w:r>
      <w:r>
        <w:rPr>
          <w:rFonts w:ascii="宋体" w:hAnsi="宋体"/>
        </w:rPr>
        <w:t>秒分析完成、</w:t>
      </w:r>
      <w:r>
        <w:rPr>
          <w:rFonts w:ascii="宋体" w:hAnsi="宋体"/>
        </w:rPr>
        <w:t xml:space="preserve">98.5% </w:t>
      </w:r>
      <w:r>
        <w:rPr>
          <w:rFonts w:ascii="宋体" w:hAnsi="宋体"/>
        </w:rPr>
        <w:t>产地识别置信度、</w:t>
      </w:r>
      <w:r>
        <w:rPr>
          <w:rFonts w:ascii="宋体" w:hAnsi="宋体"/>
        </w:rPr>
        <w:t xml:space="preserve">SSC </w:t>
      </w:r>
      <w:r>
        <w:rPr>
          <w:rFonts w:ascii="宋体" w:hAnsi="宋体"/>
        </w:rPr>
        <w:t>预测误差</w:t>
      </w:r>
      <w:r>
        <w:rPr>
          <w:rFonts w:ascii="宋体" w:hAnsi="宋体"/>
        </w:rPr>
        <w:t xml:space="preserve"> ±0.3% </w:t>
      </w:r>
      <w:r>
        <w:rPr>
          <w:rFonts w:ascii="宋体" w:hAnsi="宋体"/>
        </w:rPr>
        <w:t>等结果卡片，并输出面向业务动作的自然语言报告。</w:t>
      </w:r>
    </w:p>
    <w:p w14:paraId="08552A1F" w14:textId="77777777" w:rsidR="00470923" w:rsidRDefault="00B41790">
      <w:pPr>
        <w:jc w:val="both"/>
      </w:pPr>
      <w:r>
        <w:rPr>
          <w:rFonts w:ascii="宋体" w:hAnsi="宋体"/>
        </w:rPr>
        <w:lastRenderedPageBreak/>
        <w:t>报告生成模块将等级结论、产地结果、关键指标区间、样本曲线和历史记录整合为标准化输出，使技术结果能够直接进入基地分级、渠道验货、品牌说明和项目汇报等使用场景。</w:t>
      </w:r>
    </w:p>
    <w:p w14:paraId="463DA7B3" w14:textId="77777777" w:rsidR="00470923" w:rsidRDefault="00B41790">
      <w:pPr>
        <w:pStyle w:val="21"/>
      </w:pPr>
      <w:bookmarkStart w:id="21" w:name="_Toc226459228"/>
      <w:r>
        <w:rPr>
          <w:rFonts w:ascii="黑体" w:eastAsia="黑体" w:hAnsi="黑体"/>
        </w:rPr>
        <w:t xml:space="preserve">5.2 </w:t>
      </w:r>
      <w:r>
        <w:rPr>
          <w:rFonts w:ascii="黑体" w:eastAsia="黑体" w:hAnsi="黑体"/>
        </w:rPr>
        <w:t>实验设计与标准化流程</w:t>
      </w:r>
      <w:bookmarkEnd w:id="21"/>
    </w:p>
    <w:p w14:paraId="46575FF5" w14:textId="77777777" w:rsidR="00470923" w:rsidRDefault="00B41790">
      <w:pPr>
        <w:jc w:val="both"/>
      </w:pPr>
      <w:r>
        <w:rPr>
          <w:rFonts w:ascii="宋体" w:hAnsi="宋体"/>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2109235B" w14:textId="77777777" w:rsidR="00470923" w:rsidRDefault="00B41790">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769E1C5E" w14:textId="77777777" w:rsidR="00470923" w:rsidRDefault="00B41790">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2AB338D6" w14:textId="77777777" w:rsidR="00470923" w:rsidRDefault="00B41790">
      <w:pPr>
        <w:pStyle w:val="21"/>
      </w:pPr>
      <w:bookmarkStart w:id="22" w:name="_Toc226459229"/>
      <w:r>
        <w:rPr>
          <w:rFonts w:ascii="黑体" w:eastAsia="黑体" w:hAnsi="黑体"/>
        </w:rPr>
        <w:t xml:space="preserve">5.3 </w:t>
      </w:r>
      <w:r>
        <w:rPr>
          <w:rFonts w:ascii="黑体" w:eastAsia="黑体" w:hAnsi="黑体"/>
        </w:rPr>
        <w:t>核心算法与模型策略</w:t>
      </w:r>
      <w:bookmarkEnd w:id="22"/>
    </w:p>
    <w:p w14:paraId="389838CB" w14:textId="77777777" w:rsidR="00470923" w:rsidRDefault="00B41790">
      <w:pPr>
        <w:jc w:val="both"/>
      </w:pPr>
      <w:r>
        <w:rPr>
          <w:rFonts w:ascii="宋体" w:hAnsi="宋体"/>
        </w:rPr>
        <w:t>当前项目已经形成模型对比思路，团队围绕</w:t>
      </w:r>
      <w:r>
        <w:rPr>
          <w:rFonts w:ascii="宋体" w:hAnsi="宋体"/>
        </w:rPr>
        <w:t xml:space="preserve"> 1D-CNN</w:t>
      </w:r>
      <w:r>
        <w:rPr>
          <w:rFonts w:ascii="宋体" w:hAnsi="宋体"/>
        </w:rPr>
        <w:t>、</w:t>
      </w:r>
      <w:r>
        <w:rPr>
          <w:rFonts w:ascii="宋体" w:hAnsi="宋体"/>
        </w:rPr>
        <w:t>SVM</w:t>
      </w:r>
      <w:r>
        <w:rPr>
          <w:rFonts w:ascii="宋体" w:hAnsi="宋体"/>
        </w:rPr>
        <w:t>、</w:t>
      </w:r>
      <w:r>
        <w:rPr>
          <w:rFonts w:ascii="宋体" w:hAnsi="宋体"/>
        </w:rPr>
        <w:t>PLS-DA</w:t>
      </w:r>
      <w:r>
        <w:rPr>
          <w:rFonts w:ascii="宋体" w:hAnsi="宋体"/>
        </w:rPr>
        <w:t>、随机森林等分类路径建立了展示框架。产地识别任务既涉及传统小样本模型的稳定性，也涉及深度模型在复杂特征提取上的</w:t>
      </w:r>
      <w:r>
        <w:rPr>
          <w:rFonts w:ascii="宋体" w:hAnsi="宋体"/>
        </w:rPr>
        <w:lastRenderedPageBreak/>
        <w:t>能力，因此可先以可解释性较强的基线模型建立参照，再逐步引入</w:t>
      </w:r>
      <w:r>
        <w:rPr>
          <w:rFonts w:ascii="宋体" w:hAnsi="宋体"/>
        </w:rPr>
        <w:t xml:space="preserve"> 1D-CNN </w:t>
      </w:r>
      <w:r>
        <w:rPr>
          <w:rFonts w:ascii="宋体" w:hAnsi="宋体"/>
        </w:rPr>
        <w:t>等模型提升分类能力。当前系统已能够将</w:t>
      </w:r>
      <w:r>
        <w:rPr>
          <w:rFonts w:ascii="宋体" w:hAnsi="宋体"/>
        </w:rPr>
        <w:t>“</w:t>
      </w:r>
      <w:r>
        <w:rPr>
          <w:rFonts w:ascii="宋体" w:hAnsi="宋体"/>
        </w:rPr>
        <w:t>产地置信度</w:t>
      </w:r>
      <w:r>
        <w:rPr>
          <w:rFonts w:ascii="宋体" w:hAnsi="宋体"/>
        </w:rPr>
        <w:t xml:space="preserve"> 98.5%”</w:t>
      </w:r>
      <w:r>
        <w:rPr>
          <w:rFonts w:ascii="宋体" w:hAnsi="宋体"/>
        </w:rPr>
        <w:t>等结论与页面、报告和样本曲线联动呈现。</w:t>
      </w:r>
    </w:p>
    <w:p w14:paraId="42C78F6C" w14:textId="77777777" w:rsidR="00470923" w:rsidRDefault="00B41790">
      <w:pPr>
        <w:jc w:val="both"/>
      </w:pPr>
      <w:r>
        <w:rPr>
          <w:rFonts w:ascii="宋体" w:hAnsi="宋体"/>
        </w:rPr>
        <w:t>在品质预测方面，项目现有系统已经围绕</w:t>
      </w:r>
      <w:r>
        <w:rPr>
          <w:rFonts w:ascii="宋体" w:hAnsi="宋体"/>
        </w:rPr>
        <w:t xml:space="preserve"> 1D-CNN-Reg</w:t>
      </w:r>
      <w:r>
        <w:rPr>
          <w:rFonts w:ascii="宋体" w:hAnsi="宋体"/>
        </w:rPr>
        <w:t>、</w:t>
      </w:r>
      <w:r>
        <w:rPr>
          <w:rFonts w:ascii="宋体" w:hAnsi="宋体"/>
        </w:rPr>
        <w:t>PLSR</w:t>
      </w:r>
      <w:r>
        <w:rPr>
          <w:rFonts w:ascii="宋体" w:hAnsi="宋体"/>
        </w:rPr>
        <w:t>、</w:t>
      </w:r>
      <w:r>
        <w:rPr>
          <w:rFonts w:ascii="宋体" w:hAnsi="宋体"/>
        </w:rPr>
        <w:t>SVR</w:t>
      </w:r>
      <w:r>
        <w:rPr>
          <w:rFonts w:ascii="宋体" w:hAnsi="宋体"/>
        </w:rPr>
        <w:t>、</w:t>
      </w:r>
      <w:r>
        <w:rPr>
          <w:rFonts w:ascii="宋体" w:hAnsi="宋体"/>
        </w:rPr>
        <w:t xml:space="preserve">XGBoost </w:t>
      </w:r>
      <w:r>
        <w:rPr>
          <w:rFonts w:ascii="宋体" w:hAnsi="宋体"/>
        </w:rPr>
        <w:t>等回归路线构建了展示模块，这与橙类品质预测的任务特征较为契合。糖度、酸度、糖酸比、维生素</w:t>
      </w:r>
      <w:r>
        <w:rPr>
          <w:rFonts w:ascii="宋体" w:hAnsi="宋体"/>
        </w:rPr>
        <w:t>C</w:t>
      </w:r>
      <w:r>
        <w:rPr>
          <w:rFonts w:ascii="宋体" w:hAnsi="宋体"/>
        </w:rPr>
        <w:t>等指标既有一定线性关联，也可能包含非线性结构，因此更适合采用</w:t>
      </w:r>
      <w:r>
        <w:rPr>
          <w:rFonts w:ascii="宋体" w:hAnsi="宋体"/>
        </w:rPr>
        <w:t>“</w:t>
      </w:r>
      <w:r>
        <w:rPr>
          <w:rFonts w:ascii="宋体" w:hAnsi="宋体"/>
        </w:rPr>
        <w:t>传统回归模型做基线</w:t>
      </w:r>
      <w:r>
        <w:rPr>
          <w:rFonts w:ascii="宋体" w:hAnsi="宋体"/>
        </w:rPr>
        <w:t xml:space="preserve"> + </w:t>
      </w:r>
      <w:r>
        <w:rPr>
          <w:rFonts w:ascii="宋体" w:hAnsi="宋体"/>
        </w:rPr>
        <w:t>非线性模型做增强</w:t>
      </w:r>
      <w:r>
        <w:rPr>
          <w:rFonts w:ascii="宋体" w:hAnsi="宋体"/>
        </w:rPr>
        <w:t>”</w:t>
      </w:r>
      <w:r>
        <w:rPr>
          <w:rFonts w:ascii="宋体" w:hAnsi="宋体"/>
        </w:rPr>
        <w:t>的策略，逐步比较不同指标在不同模型上的适配度。当前页面演示中已可输出</w:t>
      </w:r>
      <w:r>
        <w:rPr>
          <w:rFonts w:ascii="宋体" w:hAnsi="宋体"/>
        </w:rPr>
        <w:t xml:space="preserve"> SSC </w:t>
      </w:r>
      <w:r>
        <w:rPr>
          <w:rFonts w:ascii="宋体" w:hAnsi="宋体"/>
        </w:rPr>
        <w:t>数值、</w:t>
      </w:r>
      <w:r>
        <w:rPr>
          <w:rFonts w:ascii="宋体" w:hAnsi="宋体"/>
        </w:rPr>
        <w:t xml:space="preserve">TA </w:t>
      </w:r>
      <w:r>
        <w:rPr>
          <w:rFonts w:ascii="宋体" w:hAnsi="宋体"/>
        </w:rPr>
        <w:t>数值、糖酸比和维生素</w:t>
      </w:r>
      <w:r>
        <w:rPr>
          <w:rFonts w:ascii="宋体" w:hAnsi="宋体"/>
        </w:rPr>
        <w:t xml:space="preserve"> C </w:t>
      </w:r>
      <w:r>
        <w:rPr>
          <w:rFonts w:ascii="宋体" w:hAnsi="宋体"/>
        </w:rPr>
        <w:t>结果，并展示</w:t>
      </w:r>
      <w:r>
        <w:rPr>
          <w:rFonts w:ascii="宋体" w:hAnsi="宋体"/>
        </w:rPr>
        <w:t xml:space="preserve"> SSC </w:t>
      </w:r>
      <w:r>
        <w:rPr>
          <w:rFonts w:ascii="宋体" w:hAnsi="宋体"/>
        </w:rPr>
        <w:t>预测误差</w:t>
      </w:r>
      <w:r>
        <w:rPr>
          <w:rFonts w:ascii="宋体" w:hAnsi="宋体"/>
        </w:rPr>
        <w:t xml:space="preserve"> ±0.3% </w:t>
      </w:r>
      <w:r>
        <w:rPr>
          <w:rFonts w:ascii="宋体" w:hAnsi="宋体"/>
        </w:rPr>
        <w:t>的表现口径，为后续试点指标固化提供基础。</w:t>
      </w:r>
    </w:p>
    <w:p w14:paraId="7CD60D9A" w14:textId="77777777" w:rsidR="00470923" w:rsidRDefault="00B41790">
      <w:pPr>
        <w:jc w:val="both"/>
      </w:pPr>
      <w:r>
        <w:rPr>
          <w:rFonts w:ascii="宋体" w:hAnsi="宋体"/>
        </w:rPr>
        <w:t>考虑到品牌果品场景对可信表达的要求较高，项目需要同步输出判断依据。当前系统已经加入特征重要性与可解释</w:t>
      </w:r>
      <w:r>
        <w:rPr>
          <w:rFonts w:ascii="宋体" w:hAnsi="宋体"/>
        </w:rPr>
        <w:t xml:space="preserve"> AI </w:t>
      </w:r>
      <w:r>
        <w:rPr>
          <w:rFonts w:ascii="宋体" w:hAnsi="宋体"/>
        </w:rPr>
        <w:t>展示模块，后续可围绕关键波段贡献、典型样本对比和异常样本提示继续完善解释层，用于支撑报告模板和试点沟通材料。</w:t>
      </w:r>
    </w:p>
    <w:p w14:paraId="3AD4D850" w14:textId="77777777" w:rsidR="00470923" w:rsidRDefault="00B41790">
      <w:pPr>
        <w:pStyle w:val="21"/>
      </w:pPr>
      <w:bookmarkStart w:id="23" w:name="_Toc226459230"/>
      <w:r>
        <w:rPr>
          <w:rFonts w:ascii="黑体" w:eastAsia="黑体" w:hAnsi="黑体"/>
        </w:rPr>
        <w:t xml:space="preserve">5.4 </w:t>
      </w:r>
      <w:r>
        <w:rPr>
          <w:rFonts w:ascii="黑体" w:eastAsia="黑体" w:hAnsi="黑体"/>
        </w:rPr>
        <w:t>光谱机理与特征指纹</w:t>
      </w:r>
      <w:bookmarkEnd w:id="23"/>
    </w:p>
    <w:p w14:paraId="127B4936" w14:textId="77777777" w:rsidR="00470923" w:rsidRDefault="00B41790">
      <w:pPr>
        <w:jc w:val="both"/>
      </w:pPr>
      <w:r>
        <w:rPr>
          <w:rFonts w:ascii="宋体" w:hAnsi="宋体"/>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1EB44F6C" w14:textId="77777777" w:rsidR="00470923" w:rsidRDefault="00B41790">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w:t>
      </w:r>
      <w:r>
        <w:rPr>
          <w:rFonts w:ascii="宋体" w:hAnsi="宋体"/>
        </w:rPr>
        <w:lastRenderedPageBreak/>
        <w:t>把原本难以直接观察的内部品质线索，以非破坏方式转化为建模输入。这正是项目能同时承接产地识别和品质预测双任务的技术基础。</w:t>
      </w:r>
    </w:p>
    <w:p w14:paraId="06579B8F" w14:textId="77777777" w:rsidR="00470923" w:rsidRDefault="00B41790">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69F76EB3" w14:textId="77777777" w:rsidR="00470923" w:rsidRDefault="00470923">
      <w:pPr>
        <w:sectPr w:rsidR="00470923">
          <w:pgSz w:w="11906" w:h="16838"/>
          <w:pgMar w:top="1440" w:right="1797" w:bottom="1440" w:left="1797" w:header="850" w:footer="992" w:gutter="0"/>
          <w:cols w:space="720"/>
          <w:docGrid w:linePitch="360"/>
        </w:sectPr>
      </w:pPr>
    </w:p>
    <w:p w14:paraId="545EBA3E" w14:textId="77777777" w:rsidR="00470923" w:rsidRDefault="00B41790">
      <w:pPr>
        <w:pStyle w:val="1"/>
      </w:pPr>
      <w:bookmarkStart w:id="24" w:name="_Toc226459231"/>
      <w:r>
        <w:rPr>
          <w:rFonts w:ascii="黑体" w:eastAsia="黑体" w:hAnsi="黑体"/>
        </w:rPr>
        <w:lastRenderedPageBreak/>
        <w:t>第六章：产品策略</w:t>
      </w:r>
      <w:bookmarkEnd w:id="24"/>
    </w:p>
    <w:p w14:paraId="511BC7F8" w14:textId="77777777" w:rsidR="00470923" w:rsidRDefault="00B41790">
      <w:pPr>
        <w:pStyle w:val="21"/>
      </w:pPr>
      <w:bookmarkStart w:id="25" w:name="_Toc226459232"/>
      <w:r>
        <w:rPr>
          <w:rFonts w:ascii="黑体" w:eastAsia="黑体" w:hAnsi="黑体"/>
        </w:rPr>
        <w:t xml:space="preserve">6.1 </w:t>
      </w:r>
      <w:r>
        <w:rPr>
          <w:rFonts w:ascii="黑体" w:eastAsia="黑体" w:hAnsi="黑体"/>
        </w:rPr>
        <w:t>产品定位与交付形态</w:t>
      </w:r>
      <w:bookmarkEnd w:id="25"/>
    </w:p>
    <w:p w14:paraId="31D36111" w14:textId="77777777" w:rsidR="00470923" w:rsidRDefault="00B41790">
      <w:pPr>
        <w:jc w:val="both"/>
      </w:pPr>
      <w:r>
        <w:rPr>
          <w:rFonts w:ascii="宋体" w:hAnsi="宋体"/>
        </w:rPr>
        <w:t>橙源智鉴已经形成平台系统与标准报告配套交付的成品形态。平台同时覆盖批量分析、数据可视化、模型解释、历史管理、移动上传、采样登记、结果查询和历史回看，围绕</w:t>
      </w:r>
      <w:r>
        <w:rPr>
          <w:rFonts w:ascii="宋体" w:hAnsi="宋体"/>
        </w:rPr>
        <w:t>“</w:t>
      </w:r>
      <w:r>
        <w:rPr>
          <w:rFonts w:ascii="宋体" w:hAnsi="宋体"/>
        </w:rPr>
        <w:t>样本录入</w:t>
      </w:r>
      <w:r>
        <w:rPr>
          <w:rFonts w:ascii="宋体" w:hAnsi="宋体"/>
        </w:rPr>
        <w:t xml:space="preserve"> - </w:t>
      </w:r>
      <w:r>
        <w:rPr>
          <w:rFonts w:ascii="宋体" w:hAnsi="宋体"/>
        </w:rPr>
        <w:t>模型推理</w:t>
      </w:r>
      <w:r>
        <w:rPr>
          <w:rFonts w:ascii="宋体" w:hAnsi="宋体"/>
        </w:rPr>
        <w:t xml:space="preserve"> - </w:t>
      </w:r>
      <w:r>
        <w:rPr>
          <w:rFonts w:ascii="宋体" w:hAnsi="宋体"/>
        </w:rPr>
        <w:t>结果解释</w:t>
      </w:r>
      <w:r>
        <w:rPr>
          <w:rFonts w:ascii="宋体" w:hAnsi="宋体"/>
        </w:rPr>
        <w:t xml:space="preserve"> - </w:t>
      </w:r>
      <w:r>
        <w:rPr>
          <w:rFonts w:ascii="宋体" w:hAnsi="宋体"/>
        </w:rPr>
        <w:t>历史沉淀</w:t>
      </w:r>
      <w:r>
        <w:rPr>
          <w:rFonts w:ascii="宋体" w:hAnsi="宋体"/>
        </w:rPr>
        <w:t xml:space="preserve"> - </w:t>
      </w:r>
      <w:r>
        <w:rPr>
          <w:rFonts w:ascii="宋体" w:hAnsi="宋体"/>
        </w:rPr>
        <w:t>报告输出</w:t>
      </w:r>
      <w:r>
        <w:rPr>
          <w:rFonts w:ascii="宋体" w:hAnsi="宋体"/>
        </w:rPr>
        <w:t>”</w:t>
      </w:r>
      <w:r>
        <w:rPr>
          <w:rFonts w:ascii="宋体" w:hAnsi="宋体"/>
        </w:rPr>
        <w:t>形成完整闭环。</w:t>
      </w:r>
    </w:p>
    <w:p w14:paraId="153F9934" w14:textId="77777777" w:rsidR="00470923" w:rsidRDefault="00B41790">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43E51311" w14:textId="77777777" w:rsidR="00470923" w:rsidRDefault="00B41790">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46194F56" w14:textId="77777777" w:rsidR="00470923" w:rsidRDefault="00B41790">
      <w:pPr>
        <w:pStyle w:val="21"/>
      </w:pPr>
      <w:bookmarkStart w:id="26" w:name="_Toc226459233"/>
      <w:r>
        <w:rPr>
          <w:rFonts w:ascii="黑体" w:eastAsia="黑体" w:hAnsi="黑体"/>
        </w:rPr>
        <w:t xml:space="preserve">6.2 </w:t>
      </w:r>
      <w:r>
        <w:rPr>
          <w:rFonts w:ascii="黑体" w:eastAsia="黑体" w:hAnsi="黑体"/>
        </w:rPr>
        <w:t>产品分层与收费思路</w:t>
      </w:r>
      <w:bookmarkEnd w:id="26"/>
    </w:p>
    <w:p w14:paraId="5405801D" w14:textId="77777777" w:rsidR="00470923" w:rsidRDefault="00B41790">
      <w:pPr>
        <w:jc w:val="both"/>
      </w:pPr>
      <w:r>
        <w:rPr>
          <w:rFonts w:ascii="宋体" w:hAnsi="宋体"/>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w:t>
      </w:r>
      <w:r>
        <w:rPr>
          <w:rFonts w:ascii="宋体" w:hAnsi="宋体"/>
        </w:rPr>
        <w:t>“</w:t>
      </w:r>
      <w:r>
        <w:rPr>
          <w:rFonts w:ascii="宋体" w:hAnsi="宋体"/>
        </w:rPr>
        <w:t>分析服务费</w:t>
      </w:r>
      <w:r>
        <w:rPr>
          <w:rFonts w:ascii="宋体" w:hAnsi="宋体"/>
        </w:rPr>
        <w:t xml:space="preserve"> + </w:t>
      </w:r>
      <w:r>
        <w:rPr>
          <w:rFonts w:ascii="宋体" w:hAnsi="宋体"/>
        </w:rPr>
        <w:t>数据整理费</w:t>
      </w:r>
      <w:r>
        <w:rPr>
          <w:rFonts w:ascii="宋体" w:hAnsi="宋体"/>
        </w:rPr>
        <w:t xml:space="preserve"> + </w:t>
      </w:r>
      <w:r>
        <w:rPr>
          <w:rFonts w:ascii="宋体" w:hAnsi="宋体"/>
        </w:rPr>
        <w:t>报告输出费</w:t>
      </w:r>
      <w:r>
        <w:rPr>
          <w:rFonts w:ascii="宋体" w:hAnsi="宋体"/>
        </w:rPr>
        <w:t>”</w:t>
      </w:r>
      <w:r>
        <w:rPr>
          <w:rFonts w:ascii="宋体" w:hAnsi="宋体"/>
        </w:rPr>
        <w:t>的组合方式收费。</w:t>
      </w:r>
    </w:p>
    <w:p w14:paraId="7210CB9F" w14:textId="77777777" w:rsidR="00470923" w:rsidRDefault="00B41790">
      <w:pPr>
        <w:jc w:val="both"/>
      </w:pPr>
      <w:r>
        <w:rPr>
          <w:rFonts w:ascii="宋体" w:hAnsi="宋体"/>
        </w:rPr>
        <w:t>当样本积累、案例沉淀和平台稳定性继续提高后，项目可进入平台订阅与定制阶段。该阶段可提供企业账号体系、历史样本管理、定制模型、专属报告模板和差异化使用权限，形成年度服务费、专项服务费和定制开发费等收入结构。</w:t>
      </w:r>
    </w:p>
    <w:p w14:paraId="096092F8" w14:textId="77777777" w:rsidR="00470923" w:rsidRDefault="00B41790">
      <w:pPr>
        <w:jc w:val="both"/>
      </w:pPr>
      <w:r>
        <w:rPr>
          <w:rFonts w:ascii="宋体" w:hAnsi="宋体"/>
        </w:rPr>
        <w:lastRenderedPageBreak/>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58F2DF7A" w14:textId="77777777" w:rsidR="00470923" w:rsidRDefault="00B41790">
      <w:pPr>
        <w:pStyle w:val="21"/>
      </w:pPr>
      <w:bookmarkStart w:id="27" w:name="_Toc226459234"/>
      <w:r>
        <w:rPr>
          <w:rFonts w:ascii="黑体" w:eastAsia="黑体" w:hAnsi="黑体"/>
        </w:rPr>
        <w:t xml:space="preserve">6.3 </w:t>
      </w:r>
      <w:r>
        <w:rPr>
          <w:rFonts w:ascii="黑体" w:eastAsia="黑体" w:hAnsi="黑体"/>
        </w:rPr>
        <w:t>实施与交付策略</w:t>
      </w:r>
      <w:bookmarkEnd w:id="27"/>
    </w:p>
    <w:p w14:paraId="78742BAD" w14:textId="77777777" w:rsidR="00470923" w:rsidRDefault="00B41790">
      <w:pPr>
        <w:jc w:val="both"/>
      </w:pPr>
      <w:r>
        <w:rPr>
          <w:rFonts w:ascii="宋体" w:hAnsi="宋体"/>
        </w:rPr>
        <w:t>实施与交付可按</w:t>
      </w:r>
      <w:r>
        <w:rPr>
          <w:rFonts w:ascii="宋体" w:hAnsi="宋体"/>
        </w:rPr>
        <w:t>“</w:t>
      </w:r>
      <w:r>
        <w:rPr>
          <w:rFonts w:ascii="宋体" w:hAnsi="宋体"/>
        </w:rPr>
        <w:t>试点前准备</w:t>
      </w:r>
      <w:r>
        <w:rPr>
          <w:rFonts w:ascii="宋体" w:hAnsi="宋体"/>
        </w:rPr>
        <w:t xml:space="preserve"> - </w:t>
      </w:r>
      <w:r>
        <w:rPr>
          <w:rFonts w:ascii="宋体" w:hAnsi="宋体"/>
        </w:rPr>
        <w:t>现场部署</w:t>
      </w:r>
      <w:r>
        <w:rPr>
          <w:rFonts w:ascii="宋体" w:hAnsi="宋体"/>
        </w:rPr>
        <w:t xml:space="preserve"> - </w:t>
      </w:r>
      <w:r>
        <w:rPr>
          <w:rFonts w:ascii="宋体" w:hAnsi="宋体"/>
        </w:rPr>
        <w:t>复盘迭代</w:t>
      </w:r>
      <w:r>
        <w:rPr>
          <w:rFonts w:ascii="宋体" w:hAnsi="宋体"/>
        </w:rPr>
        <w:t>”</w:t>
      </w:r>
      <w:r>
        <w:rPr>
          <w:rFonts w:ascii="宋体" w:hAnsi="宋体"/>
        </w:rPr>
        <w:t>的顺序推进。试点前应明确样本范围、交付目标、文件格式、采样流程、理化标签、输出形式和复盘方式，形成写清样本清单、采样时间、数据口径、上传方式、展示方式、交付时间点和责任边界的试点说明书。</w:t>
      </w:r>
    </w:p>
    <w:p w14:paraId="1BBC7C51" w14:textId="77777777" w:rsidR="00470923" w:rsidRDefault="00B41790">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28F9FBA1" w14:textId="77777777" w:rsidR="00470923" w:rsidRDefault="00B41790">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19371EEA" w14:textId="77777777" w:rsidR="00470923" w:rsidRDefault="00B41790">
      <w:pPr>
        <w:pStyle w:val="21"/>
      </w:pPr>
      <w:bookmarkStart w:id="28" w:name="_Toc226459235"/>
      <w:r>
        <w:rPr>
          <w:rFonts w:ascii="黑体" w:eastAsia="黑体" w:hAnsi="黑体"/>
        </w:rPr>
        <w:t xml:space="preserve">6.4 </w:t>
      </w:r>
      <w:r>
        <w:rPr>
          <w:rFonts w:ascii="黑体" w:eastAsia="黑体" w:hAnsi="黑体"/>
        </w:rPr>
        <w:t>推广与销售模式</w:t>
      </w:r>
      <w:bookmarkEnd w:id="28"/>
    </w:p>
    <w:p w14:paraId="72A9BF29" w14:textId="77777777" w:rsidR="00470923" w:rsidRDefault="00B41790">
      <w:pPr>
        <w:jc w:val="both"/>
      </w:pPr>
      <w:r>
        <w:rPr>
          <w:rFonts w:ascii="宋体" w:hAnsi="宋体"/>
        </w:rPr>
        <w:t>推广与销售工作以标杆场景建设为主。澄迈福橙、琼中绿橙等对象兼具区域品牌属性和案例展示价值，适合作为项目早期推广的主要突破口。</w:t>
      </w:r>
    </w:p>
    <w:p w14:paraId="75178506" w14:textId="77777777" w:rsidR="00470923" w:rsidRDefault="00B41790">
      <w:pPr>
        <w:jc w:val="both"/>
      </w:pPr>
      <w:r>
        <w:rPr>
          <w:rFonts w:ascii="宋体" w:hAnsi="宋体"/>
        </w:rPr>
        <w:lastRenderedPageBreak/>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22571E35" w14:textId="77777777" w:rsidR="00470923" w:rsidRDefault="00B41790">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032EA7CE" w14:textId="77777777" w:rsidR="00470923" w:rsidRDefault="00470923">
      <w:pPr>
        <w:sectPr w:rsidR="00470923">
          <w:pgSz w:w="11906" w:h="16838"/>
          <w:pgMar w:top="1440" w:right="1797" w:bottom="1440" w:left="1797" w:header="850" w:footer="992" w:gutter="0"/>
          <w:cols w:space="720"/>
          <w:docGrid w:linePitch="360"/>
        </w:sectPr>
      </w:pPr>
    </w:p>
    <w:p w14:paraId="2FE8476E" w14:textId="77777777" w:rsidR="00470923" w:rsidRDefault="00B41790">
      <w:pPr>
        <w:pStyle w:val="1"/>
      </w:pPr>
      <w:bookmarkStart w:id="29" w:name="_Toc226459236"/>
      <w:r>
        <w:rPr>
          <w:rFonts w:ascii="黑体" w:eastAsia="黑体" w:hAnsi="黑体"/>
        </w:rPr>
        <w:lastRenderedPageBreak/>
        <w:t>第七章：运营策略</w:t>
      </w:r>
      <w:bookmarkEnd w:id="29"/>
    </w:p>
    <w:p w14:paraId="7D090646" w14:textId="77777777" w:rsidR="00470923" w:rsidRDefault="00B41790">
      <w:pPr>
        <w:pStyle w:val="21"/>
      </w:pPr>
      <w:bookmarkStart w:id="30" w:name="_Toc226459237"/>
      <w:r>
        <w:rPr>
          <w:rFonts w:ascii="黑体" w:eastAsia="黑体" w:hAnsi="黑体"/>
        </w:rPr>
        <w:t xml:space="preserve">7.1 </w:t>
      </w:r>
      <w:r>
        <w:rPr>
          <w:rFonts w:ascii="黑体" w:eastAsia="黑体" w:hAnsi="黑体"/>
        </w:rPr>
        <w:t>运营定位与目标</w:t>
      </w:r>
      <w:bookmarkEnd w:id="30"/>
    </w:p>
    <w:p w14:paraId="5E42AEED" w14:textId="77777777" w:rsidR="00470923" w:rsidRDefault="00B41790">
      <w:pPr>
        <w:jc w:val="both"/>
      </w:pPr>
      <w:r>
        <w:rPr>
          <w:rFonts w:ascii="宋体" w:hAnsi="宋体"/>
        </w:rPr>
        <w:t>项目运营以澄迈福橙、琼中绿橙等代表性对象的样板建设为主。重点产区的样本库、批次分析和结果表达稳定后，再向其他橙类场景扩展，可控制文件标准和样本标准不统一带来的风险。</w:t>
      </w:r>
    </w:p>
    <w:p w14:paraId="3F3DB1E9" w14:textId="77777777" w:rsidR="00470923" w:rsidRDefault="00B41790">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3CDEFC21" w14:textId="77777777" w:rsidR="00470923" w:rsidRDefault="00B41790">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517B5893" w14:textId="77777777" w:rsidR="00470923" w:rsidRDefault="00B41790">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0401F066" w14:textId="77777777" w:rsidR="00470923" w:rsidRDefault="00B41790">
      <w:pPr>
        <w:pStyle w:val="21"/>
      </w:pPr>
      <w:bookmarkStart w:id="31" w:name="_Toc226459238"/>
      <w:r>
        <w:rPr>
          <w:rFonts w:ascii="黑体" w:eastAsia="黑体" w:hAnsi="黑体"/>
        </w:rPr>
        <w:t xml:space="preserve">7.2 </w:t>
      </w:r>
      <w:r>
        <w:rPr>
          <w:rFonts w:ascii="黑体" w:eastAsia="黑体" w:hAnsi="黑体"/>
        </w:rPr>
        <w:t>阶段运营安排</w:t>
      </w:r>
      <w:bookmarkEnd w:id="31"/>
    </w:p>
    <w:p w14:paraId="5970293B" w14:textId="77777777" w:rsidR="00470923" w:rsidRDefault="00B41790">
      <w:pPr>
        <w:jc w:val="both"/>
      </w:pPr>
      <w:r>
        <w:rPr>
          <w:rFonts w:ascii="宋体" w:hAnsi="宋体"/>
        </w:rPr>
        <w:t>项目按样本补强、场景验证、区域复制三个阶段推进。第一阶段重点是样本补强与系统完善，完成产区样本补录、文件清洗和平台稳定运行，形成统一的样本编号规则、字段口径和报告模板；第</w:t>
      </w:r>
      <w:r>
        <w:rPr>
          <w:rFonts w:ascii="宋体" w:hAnsi="宋体"/>
        </w:rPr>
        <w:lastRenderedPageBreak/>
        <w:t>二阶段围绕基地分级、渠道验货和品牌说明三类场景开展批次验证，通过合作社、品牌方和渠道方的实际使用形成样板案例。</w:t>
      </w:r>
    </w:p>
    <w:p w14:paraId="3EEAB4C5" w14:textId="77777777" w:rsidR="00470923" w:rsidRDefault="00B41790">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4D25B877" w14:textId="77777777" w:rsidR="00470923" w:rsidRDefault="00B41790">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w:t>
      </w:r>
      <w:r>
        <w:rPr>
          <w:rFonts w:ascii="宋体" w:hAnsi="宋体"/>
        </w:rPr>
        <w:t>“</w:t>
      </w:r>
      <w:r>
        <w:rPr>
          <w:rFonts w:ascii="宋体" w:hAnsi="宋体"/>
        </w:rPr>
        <w:t>做了很多事但难以复盘</w:t>
      </w:r>
      <w:r>
        <w:rPr>
          <w:rFonts w:ascii="宋体" w:hAnsi="宋体"/>
        </w:rPr>
        <w:t>”</w:t>
      </w:r>
      <w:r>
        <w:rPr>
          <w:rFonts w:ascii="宋体" w:hAnsi="宋体"/>
        </w:rPr>
        <w:t>的运营问题。</w:t>
      </w:r>
    </w:p>
    <w:p w14:paraId="3B229156" w14:textId="77777777" w:rsidR="00470923" w:rsidRDefault="00B41790">
      <w:pPr>
        <w:pStyle w:val="21"/>
      </w:pPr>
      <w:bookmarkStart w:id="32" w:name="_Toc226459239"/>
      <w:r>
        <w:rPr>
          <w:rFonts w:ascii="黑体" w:eastAsia="黑体" w:hAnsi="黑体"/>
        </w:rPr>
        <w:t xml:space="preserve">7.3 </w:t>
      </w:r>
      <w:r>
        <w:rPr>
          <w:rFonts w:ascii="黑体" w:eastAsia="黑体" w:hAnsi="黑体"/>
        </w:rPr>
        <w:t>核心运营模块</w:t>
      </w:r>
      <w:bookmarkEnd w:id="32"/>
    </w:p>
    <w:p w14:paraId="382E5D7E" w14:textId="77777777" w:rsidR="00470923" w:rsidRDefault="00B41790">
      <w:pPr>
        <w:jc w:val="both"/>
      </w:pPr>
      <w:r>
        <w:rPr>
          <w:rFonts w:ascii="宋体" w:hAnsi="宋体"/>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65C58F07" w14:textId="77777777" w:rsidR="00470923" w:rsidRDefault="00B41790">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670CDABB" w14:textId="77777777" w:rsidR="00470923" w:rsidRDefault="00B41790">
      <w:pPr>
        <w:jc w:val="both"/>
      </w:pPr>
      <w:r>
        <w:rPr>
          <w:rFonts w:ascii="宋体" w:hAnsi="宋体"/>
        </w:rPr>
        <w:lastRenderedPageBreak/>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733013F1" w14:textId="77777777" w:rsidR="00470923" w:rsidRDefault="00B41790">
      <w:pPr>
        <w:jc w:val="both"/>
      </w:pPr>
      <w:r>
        <w:rPr>
          <w:rFonts w:ascii="宋体" w:hAnsi="宋体"/>
        </w:rPr>
        <w:t>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w:t>
      </w:r>
      <w:r>
        <w:rPr>
          <w:rFonts w:ascii="宋体" w:hAnsi="宋体"/>
        </w:rPr>
        <w:t xml:space="preserve"> </w:t>
      </w:r>
    </w:p>
    <w:p w14:paraId="167A06DB" w14:textId="77777777" w:rsidR="00470923" w:rsidRDefault="00470923">
      <w:pPr>
        <w:sectPr w:rsidR="00470923">
          <w:pgSz w:w="11906" w:h="16838"/>
          <w:pgMar w:top="1440" w:right="1797" w:bottom="1440" w:left="1797" w:header="850" w:footer="992" w:gutter="0"/>
          <w:cols w:space="720"/>
          <w:docGrid w:linePitch="360"/>
        </w:sectPr>
      </w:pPr>
    </w:p>
    <w:p w14:paraId="6265AE3D" w14:textId="77777777" w:rsidR="00470923" w:rsidRDefault="00B41790">
      <w:pPr>
        <w:pStyle w:val="1"/>
      </w:pPr>
      <w:bookmarkStart w:id="33" w:name="_Toc226459240"/>
      <w:r>
        <w:rPr>
          <w:rFonts w:ascii="黑体" w:eastAsia="黑体" w:hAnsi="黑体"/>
        </w:rPr>
        <w:lastRenderedPageBreak/>
        <w:t>第八章：团队介绍</w:t>
      </w:r>
      <w:bookmarkEnd w:id="33"/>
    </w:p>
    <w:p w14:paraId="71DA3A37" w14:textId="77777777" w:rsidR="00470923" w:rsidRDefault="00B41790">
      <w:pPr>
        <w:pStyle w:val="21"/>
      </w:pPr>
      <w:bookmarkStart w:id="34" w:name="_Toc226459241"/>
      <w:r>
        <w:rPr>
          <w:rFonts w:ascii="黑体" w:eastAsia="黑体" w:hAnsi="黑体"/>
        </w:rPr>
        <w:t xml:space="preserve">8.1 </w:t>
      </w:r>
      <w:r>
        <w:rPr>
          <w:rFonts w:ascii="黑体" w:eastAsia="黑体" w:hAnsi="黑体"/>
        </w:rPr>
        <w:t>团队组织架构</w:t>
      </w:r>
      <w:bookmarkEnd w:id="34"/>
    </w:p>
    <w:p w14:paraId="5BF84AF0" w14:textId="77777777" w:rsidR="00470923" w:rsidRDefault="00B41790">
      <w:pPr>
        <w:jc w:val="both"/>
      </w:pPr>
      <w:r>
        <w:rPr>
          <w:rFonts w:ascii="宋体" w:hAnsi="宋体"/>
        </w:rPr>
        <w:t>团队组织不是按比赛分工临时拼接出来的，而是围绕</w:t>
      </w:r>
      <w:r>
        <w:rPr>
          <w:rFonts w:ascii="宋体" w:hAnsi="宋体"/>
        </w:rPr>
        <w:t>“</w:t>
      </w:r>
      <w:r>
        <w:rPr>
          <w:rFonts w:ascii="宋体" w:hAnsi="宋体"/>
        </w:rPr>
        <w:t>样本组织</w:t>
      </w:r>
      <w:r>
        <w:rPr>
          <w:rFonts w:ascii="宋体" w:hAnsi="宋体"/>
        </w:rPr>
        <w:t>—</w:t>
      </w:r>
      <w:r>
        <w:rPr>
          <w:rFonts w:ascii="宋体" w:hAnsi="宋体"/>
        </w:rPr>
        <w:t>模型训练</w:t>
      </w:r>
      <w:r>
        <w:rPr>
          <w:rFonts w:ascii="宋体" w:hAnsi="宋体"/>
        </w:rPr>
        <w:t>—</w:t>
      </w:r>
      <w:r>
        <w:rPr>
          <w:rFonts w:ascii="宋体" w:hAnsi="宋体"/>
        </w:rPr>
        <w:t>系统开发</w:t>
      </w:r>
      <w:r>
        <w:rPr>
          <w:rFonts w:ascii="宋体" w:hAnsi="宋体"/>
        </w:rPr>
        <w:t>—</w:t>
      </w:r>
      <w:r>
        <w:rPr>
          <w:rFonts w:ascii="宋体" w:hAnsi="宋体"/>
        </w:rPr>
        <w:t>试点交付</w:t>
      </w:r>
      <w:r>
        <w:rPr>
          <w:rFonts w:ascii="宋体" w:hAnsi="宋体"/>
        </w:rPr>
        <w:t>—</w:t>
      </w:r>
      <w:r>
        <w:rPr>
          <w:rFonts w:ascii="宋体" w:hAnsi="宋体"/>
        </w:rPr>
        <w:t>合作转化</w:t>
      </w:r>
      <w:r>
        <w:rPr>
          <w:rFonts w:ascii="宋体" w:hAnsi="宋体"/>
        </w:rPr>
        <w:t>”</w:t>
      </w:r>
      <w:r>
        <w:rPr>
          <w:rFonts w:ascii="宋体" w:hAnsi="宋体"/>
        </w:rPr>
        <w:t>这条主线搭建。技术、市场、财务和行政四条线分别对应产品成型、场景进入、成本控制和项目推进，彼此之间按同一批次数据、同一交付节点和同一阶段目标协同工作。</w:t>
      </w:r>
    </w:p>
    <w:p w14:paraId="5F5FB5DF" w14:textId="77777777" w:rsidR="00470923" w:rsidRDefault="00B41790">
      <w:pPr>
        <w:jc w:val="both"/>
      </w:pPr>
      <w:r>
        <w:rPr>
          <w:rFonts w:ascii="仿宋_GB2312" w:eastAsia="仿宋_GB2312" w:hAnsi="仿宋_GB2312"/>
          <w:sz w:val="24"/>
        </w:rPr>
        <w:t>技术部</w:t>
      </w:r>
    </w:p>
    <w:p w14:paraId="75D1204C" w14:textId="77777777" w:rsidR="00470923" w:rsidRDefault="00B41790">
      <w:pPr>
        <w:jc w:val="both"/>
      </w:pPr>
      <w:r>
        <w:rPr>
          <w:rFonts w:ascii="宋体" w:hAnsi="宋体"/>
        </w:rPr>
        <w:t>技术部负责数据文件解析、模型训练、系统部署与版本维护，直接承担样本字段设计、算法调优、接口开发、异常排查和上线测试等核心工作。团队技术成员具备</w:t>
      </w:r>
      <w:r>
        <w:rPr>
          <w:rFonts w:ascii="宋体" w:hAnsi="宋体"/>
        </w:rPr>
        <w:t xml:space="preserve"> Python</w:t>
      </w:r>
      <w:r>
        <w:rPr>
          <w:rFonts w:ascii="宋体" w:hAnsi="宋体"/>
        </w:rPr>
        <w:t>、</w:t>
      </w:r>
      <w:r>
        <w:rPr>
          <w:rFonts w:ascii="宋体" w:hAnsi="宋体"/>
        </w:rPr>
        <w:t>Java</w:t>
      </w:r>
      <w:r>
        <w:rPr>
          <w:rFonts w:ascii="宋体" w:hAnsi="宋体"/>
        </w:rPr>
        <w:t>、</w:t>
      </w:r>
      <w:r>
        <w:rPr>
          <w:rFonts w:ascii="宋体" w:hAnsi="宋体"/>
        </w:rPr>
        <w:t>C++</w:t>
      </w:r>
      <w:r>
        <w:rPr>
          <w:rFonts w:ascii="宋体" w:hAnsi="宋体"/>
        </w:rPr>
        <w:t>、前后端开发、模型部署和高光谱数据处理能力，能够在同一项目内完成样本处理、算法实现和页面接入。</w:t>
      </w:r>
    </w:p>
    <w:p w14:paraId="72D10036" w14:textId="77777777" w:rsidR="00470923" w:rsidRDefault="00B41790">
      <w:pPr>
        <w:jc w:val="both"/>
      </w:pPr>
      <w:r>
        <w:rPr>
          <w:rFonts w:ascii="仿宋_GB2312" w:eastAsia="仿宋_GB2312" w:hAnsi="仿宋_GB2312"/>
          <w:sz w:val="24"/>
        </w:rPr>
        <w:t>市场营销部</w:t>
      </w:r>
    </w:p>
    <w:p w14:paraId="57021A84" w14:textId="77777777" w:rsidR="00470923" w:rsidRDefault="00B41790">
      <w:pPr>
        <w:jc w:val="both"/>
      </w:pPr>
      <w:r>
        <w:rPr>
          <w:rFonts w:ascii="宋体" w:hAnsi="宋体"/>
        </w:rPr>
        <w:t>市场营销部负责产区调研、用户需求访谈、竞品分析、试点对接和合作转化，重点围绕果园、合作社、品牌方和渠道方整理真实业务痛点，把分析结果、批次报告和平台页面转化为可被客户理解和使用的服务方案。该部门不仅承担对外沟通，也负责把试点反馈重新带回产品和运营环节。</w:t>
      </w:r>
    </w:p>
    <w:p w14:paraId="06C02062" w14:textId="77777777" w:rsidR="00470923" w:rsidRDefault="00B41790">
      <w:pPr>
        <w:jc w:val="both"/>
      </w:pPr>
      <w:r>
        <w:rPr>
          <w:rFonts w:ascii="仿宋_GB2312" w:eastAsia="仿宋_GB2312" w:hAnsi="仿宋_GB2312"/>
          <w:sz w:val="24"/>
        </w:rPr>
        <w:t>财务部</w:t>
      </w:r>
    </w:p>
    <w:p w14:paraId="13A70EB2" w14:textId="77777777" w:rsidR="00470923" w:rsidRDefault="00B41790">
      <w:pPr>
        <w:jc w:val="both"/>
      </w:pPr>
      <w:r>
        <w:rPr>
          <w:rFonts w:ascii="宋体" w:hAnsi="宋体"/>
        </w:rPr>
        <w:t>财务部负责收入模型测算、预算控制、成本复盘、合作报价与资金统筹，重点保障样本采集、服务器、差旅实施和知识产权支出处于可控区间，同时围绕批次分析、年度账号和区域定制三类业务</w:t>
      </w:r>
      <w:r>
        <w:rPr>
          <w:rFonts w:ascii="宋体" w:hAnsi="宋体"/>
        </w:rPr>
        <w:lastRenderedPageBreak/>
        <w:t>建立对应报价与回款安排，使项目扩张节奏与资金承受能力保持一致。</w:t>
      </w:r>
    </w:p>
    <w:p w14:paraId="0AEB73E5" w14:textId="77777777" w:rsidR="00470923" w:rsidRDefault="00B41790">
      <w:pPr>
        <w:jc w:val="both"/>
      </w:pPr>
      <w:r>
        <w:rPr>
          <w:rFonts w:ascii="仿宋_GB2312" w:eastAsia="仿宋_GB2312" w:hAnsi="仿宋_GB2312"/>
          <w:sz w:val="24"/>
        </w:rPr>
        <w:t>行政部</w:t>
      </w:r>
    </w:p>
    <w:p w14:paraId="05C9D8A2" w14:textId="77777777" w:rsidR="00470923" w:rsidRDefault="00B41790">
      <w:pPr>
        <w:jc w:val="both"/>
      </w:pPr>
      <w:r>
        <w:rPr>
          <w:rFonts w:ascii="宋体" w:hAnsi="宋体"/>
        </w:rPr>
        <w:t>行政部负责进度排期、资料归档、赛事申报、校内外资源协调和合作文书管理，保障样本、模型、产品、财务和合作信息形成统一台账。对团队而言，行政线承担的是项目秩序维护工作，确保每一轮试点、每一次汇报和每一版成果都有清晰记录、有据可查。</w:t>
      </w:r>
    </w:p>
    <w:p w14:paraId="2B887A6C" w14:textId="77777777" w:rsidR="00470923" w:rsidRDefault="00B41790">
      <w:pPr>
        <w:pStyle w:val="21"/>
      </w:pPr>
      <w:bookmarkStart w:id="35" w:name="_Toc226459242"/>
      <w:r>
        <w:rPr>
          <w:rFonts w:ascii="黑体" w:eastAsia="黑体" w:hAnsi="黑体"/>
        </w:rPr>
        <w:t xml:space="preserve">8.2 </w:t>
      </w:r>
      <w:r>
        <w:rPr>
          <w:rFonts w:ascii="黑体" w:eastAsia="黑体" w:hAnsi="黑体"/>
        </w:rPr>
        <w:t>专家顾问团队</w:t>
      </w:r>
      <w:bookmarkEnd w:id="35"/>
    </w:p>
    <w:p w14:paraId="2DCD4439" w14:textId="77777777" w:rsidR="00470923" w:rsidRDefault="00B41790">
      <w:pPr>
        <w:jc w:val="both"/>
      </w:pPr>
      <w:r>
        <w:rPr>
          <w:rFonts w:ascii="宋体" w:hAnsi="宋体"/>
        </w:rPr>
        <w:t>团队聘请人工智能、深度学习和经济管理领域的三位教师担任顾问，分别在算法路线、模型优化、商业落地与供应链场景方面提供专业指导，为项目研发和推广提供学术与实践支撑。</w:t>
      </w:r>
    </w:p>
    <w:p w14:paraId="36BF0105" w14:textId="77777777" w:rsidR="00470923" w:rsidRDefault="00B41790">
      <w:pPr>
        <w:jc w:val="both"/>
      </w:pPr>
      <w:r>
        <w:rPr>
          <w:rFonts w:ascii="仿宋_GB2312" w:eastAsia="仿宋_GB2312" w:hAnsi="仿宋_GB2312"/>
          <w:sz w:val="24"/>
        </w:rPr>
        <w:t>刘波副教授：算法建模顾问</w:t>
      </w:r>
    </w:p>
    <w:p w14:paraId="5896ED23" w14:textId="77777777" w:rsidR="00470923" w:rsidRDefault="00B41790">
      <w:pPr>
        <w:jc w:val="both"/>
      </w:pPr>
      <w:r>
        <w:rPr>
          <w:rFonts w:ascii="宋体" w:hAnsi="宋体"/>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宋体" w:hAnsi="宋体"/>
        </w:rPr>
        <w:t xml:space="preserve"> Expert Systems with Applications</w:t>
      </w:r>
      <w:r>
        <w:rPr>
          <w:rFonts w:ascii="宋体" w:hAnsi="宋体"/>
        </w:rPr>
        <w:t>、</w:t>
      </w:r>
      <w:r>
        <w:rPr>
          <w:rFonts w:ascii="宋体" w:hAnsi="宋体"/>
        </w:rPr>
        <w:t>Chaos</w:t>
      </w:r>
      <w:r>
        <w:rPr>
          <w:rFonts w:ascii="宋体" w:hAnsi="宋体"/>
        </w:rPr>
        <w:t>、《物理学报》等国内外权威</w:t>
      </w:r>
      <w:r>
        <w:rPr>
          <w:rFonts w:ascii="宋体" w:hAnsi="宋体"/>
        </w:rPr>
        <w:t>SCI</w:t>
      </w:r>
      <w:r>
        <w:rPr>
          <w:rFonts w:ascii="宋体" w:hAnsi="宋体"/>
        </w:rPr>
        <w:t>期刊发表学术论文</w:t>
      </w:r>
      <w:r>
        <w:rPr>
          <w:rFonts w:ascii="宋体" w:hAnsi="宋体"/>
        </w:rPr>
        <w:t>7</w:t>
      </w:r>
      <w:r>
        <w:rPr>
          <w:rFonts w:ascii="宋体" w:hAnsi="宋体"/>
        </w:rPr>
        <w:t>篇，申请国家发明专利</w:t>
      </w:r>
      <w:r>
        <w:rPr>
          <w:rFonts w:ascii="宋体" w:hAnsi="宋体"/>
        </w:rPr>
        <w:t>8</w:t>
      </w:r>
      <w:r>
        <w:rPr>
          <w:rFonts w:ascii="宋体" w:hAnsi="宋体"/>
        </w:rPr>
        <w:t>项。主持或参与海南省教育厅高校科研项目、科技部脑科学重大项目等多项省部级及以上课题，现担任中国自动化学会计算社会与社会智能专委会委员，并受聘为多家</w:t>
      </w:r>
      <w:r>
        <w:rPr>
          <w:rFonts w:ascii="宋体" w:hAnsi="宋体"/>
        </w:rPr>
        <w:t>SCI</w:t>
      </w:r>
      <w:r>
        <w:rPr>
          <w:rFonts w:ascii="宋体" w:hAnsi="宋体"/>
        </w:rPr>
        <w:t>期刊独立审稿人。</w:t>
      </w:r>
    </w:p>
    <w:p w14:paraId="31144D21" w14:textId="77777777" w:rsidR="00470923" w:rsidRDefault="00B41790">
      <w:pPr>
        <w:jc w:val="both"/>
      </w:pPr>
      <w:r>
        <w:rPr>
          <w:rFonts w:ascii="宋体" w:hAnsi="宋体"/>
        </w:rPr>
        <w:lastRenderedPageBreak/>
        <w:t>顾问职责：刘波老师主要指导高光谱数据建模、复杂样本抗干扰处理和特征波段筛选，并协助团队对接实验条件和算法研究资源，提升等级识别与产地溯源模型的稳定性。</w:t>
      </w:r>
    </w:p>
    <w:p w14:paraId="72DFB6AA" w14:textId="77777777" w:rsidR="00470923" w:rsidRDefault="00B41790">
      <w:pPr>
        <w:jc w:val="both"/>
      </w:pPr>
      <w:r>
        <w:rPr>
          <w:rFonts w:ascii="仿宋_GB2312" w:eastAsia="仿宋_GB2312" w:hAnsi="仿宋_GB2312"/>
          <w:sz w:val="24"/>
        </w:rPr>
        <w:t>龙海侠教授：深度学习顾问</w:t>
      </w:r>
    </w:p>
    <w:p w14:paraId="0B6F8322" w14:textId="77777777" w:rsidR="00470923" w:rsidRDefault="00B41790">
      <w:pPr>
        <w:jc w:val="both"/>
      </w:pPr>
      <w:r>
        <w:rPr>
          <w:rFonts w:ascii="宋体" w:hAnsi="宋体"/>
        </w:rPr>
        <w:t>龙海侠教授现任海南师范大学计算机科学与技术学科教授、博士生导师，系海南省南海名家、高层次拔尖人才，同时担任国家自然科学基金函评专家。其研究方向聚焦人工智能（机器学习</w:t>
      </w:r>
      <w:r>
        <w:rPr>
          <w:rFonts w:ascii="宋体" w:hAnsi="宋体"/>
        </w:rPr>
        <w:t>/</w:t>
      </w:r>
      <w:r>
        <w:rPr>
          <w:rFonts w:ascii="宋体" w:hAnsi="宋体"/>
        </w:rPr>
        <w:t>深度学习）与网络空间安全两大核心领域，主持国家自然科学基金项目</w:t>
      </w:r>
      <w:r>
        <w:rPr>
          <w:rFonts w:ascii="宋体" w:hAnsi="宋体"/>
        </w:rPr>
        <w:t>2</w:t>
      </w:r>
      <w:r>
        <w:rPr>
          <w:rFonts w:ascii="宋体" w:hAnsi="宋体"/>
        </w:rPr>
        <w:t>项、海南省自然科学基金项目</w:t>
      </w:r>
      <w:r>
        <w:rPr>
          <w:rFonts w:ascii="宋体" w:hAnsi="宋体"/>
        </w:rPr>
        <w:t>4</w:t>
      </w:r>
      <w:r>
        <w:rPr>
          <w:rFonts w:ascii="宋体" w:hAnsi="宋体"/>
        </w:rPr>
        <w:t>项，以第一作者或通讯作者发表高水平学术论文</w:t>
      </w:r>
      <w:r>
        <w:rPr>
          <w:rFonts w:ascii="宋体" w:hAnsi="宋体"/>
        </w:rPr>
        <w:t>60</w:t>
      </w:r>
      <w:r>
        <w:rPr>
          <w:rFonts w:ascii="宋体" w:hAnsi="宋体"/>
        </w:rPr>
        <w:t>余篇，出版学术专著</w:t>
      </w:r>
      <w:r>
        <w:rPr>
          <w:rFonts w:ascii="宋体" w:hAnsi="宋体"/>
        </w:rPr>
        <w:t>3</w:t>
      </w:r>
      <w:r>
        <w:rPr>
          <w:rFonts w:ascii="宋体" w:hAnsi="宋体"/>
        </w:rPr>
        <w:t>部，获授权专利</w:t>
      </w:r>
      <w:r>
        <w:rPr>
          <w:rFonts w:ascii="宋体" w:hAnsi="宋体"/>
        </w:rPr>
        <w:t>11</w:t>
      </w:r>
      <w:r>
        <w:rPr>
          <w:rFonts w:ascii="宋体" w:hAnsi="宋体"/>
        </w:rPr>
        <w:t>项，拥有丰富的人工智能领域科研积累与产业化落地经验，在业界享有较高学术声誉。</w:t>
      </w:r>
    </w:p>
    <w:p w14:paraId="50066E11" w14:textId="77777777" w:rsidR="00470923" w:rsidRDefault="00B41790">
      <w:pPr>
        <w:jc w:val="both"/>
      </w:pPr>
      <w:r>
        <w:rPr>
          <w:rFonts w:ascii="宋体" w:hAnsi="宋体"/>
        </w:rPr>
        <w:t>顾问职责：龙海侠教授主要指导深度学习模型架构、训练策略、产业化转化与知识产权布局，帮助团队提升模型精度、工程化能力和后续落地水平。</w:t>
      </w:r>
    </w:p>
    <w:p w14:paraId="21B95D4A" w14:textId="77777777" w:rsidR="00470923" w:rsidRDefault="00B41790">
      <w:pPr>
        <w:jc w:val="both"/>
      </w:pPr>
      <w:r>
        <w:rPr>
          <w:rFonts w:ascii="仿宋_GB2312" w:eastAsia="仿宋_GB2312" w:hAnsi="仿宋_GB2312"/>
          <w:sz w:val="24"/>
        </w:rPr>
        <w:t>程明雄副教授：商业与供应链顾问</w:t>
      </w:r>
    </w:p>
    <w:p w14:paraId="5F3CB4ED" w14:textId="77777777" w:rsidR="00470923" w:rsidRDefault="00B41790">
      <w:pPr>
        <w:jc w:val="both"/>
      </w:pPr>
      <w:r>
        <w:rPr>
          <w:rFonts w:ascii="宋体" w:hAnsi="宋体"/>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宋体" w:hAnsi="宋体"/>
        </w:rPr>
        <w:t>2020</w:t>
      </w:r>
      <w:r>
        <w:rPr>
          <w:rFonts w:ascii="宋体" w:hAnsi="宋体"/>
        </w:rPr>
        <w:t>年入选海南省现代物流业专家库，在海南省产业经济与物流领域具有较高的实践影响力。</w:t>
      </w:r>
    </w:p>
    <w:p w14:paraId="36F5C828" w14:textId="77777777" w:rsidR="00470923" w:rsidRDefault="00B41790">
      <w:pPr>
        <w:jc w:val="both"/>
      </w:pPr>
      <w:r>
        <w:rPr>
          <w:rFonts w:ascii="宋体" w:hAnsi="宋体"/>
        </w:rPr>
        <w:lastRenderedPageBreak/>
        <w:t>顾问职责：程明雄副教授主要指导项目的市场布局、供应链协同、区域合作和财务分析，帮助团队把产品能力与海南本地产业需求进行对接。</w:t>
      </w:r>
    </w:p>
    <w:p w14:paraId="0E0C7B21" w14:textId="77777777" w:rsidR="00470923" w:rsidRDefault="00B41790">
      <w:pPr>
        <w:pStyle w:val="21"/>
      </w:pPr>
      <w:bookmarkStart w:id="36" w:name="_Toc226459243"/>
      <w:r>
        <w:rPr>
          <w:rFonts w:ascii="黑体" w:eastAsia="黑体" w:hAnsi="黑体"/>
        </w:rPr>
        <w:t xml:space="preserve">8.3 </w:t>
      </w:r>
      <w:r>
        <w:rPr>
          <w:rFonts w:ascii="黑体" w:eastAsia="黑体" w:hAnsi="黑体"/>
        </w:rPr>
        <w:t>核心团队成员介绍</w:t>
      </w:r>
      <w:bookmarkEnd w:id="36"/>
    </w:p>
    <w:p w14:paraId="0FDC573D" w14:textId="77777777" w:rsidR="00470923" w:rsidRDefault="00B41790">
      <w:pPr>
        <w:jc w:val="both"/>
      </w:pPr>
      <w:r>
        <w:rPr>
          <w:rFonts w:ascii="宋体" w:hAnsi="宋体"/>
        </w:rPr>
        <w:t>团队核心成员覆盖算法研发、后端服务、前端产品、平台集成和项目管理，分工直接对应</w:t>
      </w:r>
      <w:r>
        <w:rPr>
          <w:rFonts w:ascii="宋体" w:hAnsi="宋体"/>
        </w:rPr>
        <w:t>“</w:t>
      </w:r>
      <w:r>
        <w:rPr>
          <w:rFonts w:ascii="宋体" w:hAnsi="宋体"/>
        </w:rPr>
        <w:t>文件上传</w:t>
      </w:r>
      <w:r>
        <w:rPr>
          <w:rFonts w:ascii="宋体" w:hAnsi="宋体"/>
        </w:rPr>
        <w:t xml:space="preserve"> - </w:t>
      </w:r>
      <w:r>
        <w:rPr>
          <w:rFonts w:ascii="宋体" w:hAnsi="宋体"/>
        </w:rPr>
        <w:t>智能分析</w:t>
      </w:r>
      <w:r>
        <w:rPr>
          <w:rFonts w:ascii="宋体" w:hAnsi="宋体"/>
        </w:rPr>
        <w:t xml:space="preserve"> - </w:t>
      </w:r>
      <w:r>
        <w:rPr>
          <w:rFonts w:ascii="宋体" w:hAnsi="宋体"/>
        </w:rPr>
        <w:t>报告输出</w:t>
      </w:r>
      <w:r>
        <w:rPr>
          <w:rFonts w:ascii="宋体" w:hAnsi="宋体"/>
        </w:rPr>
        <w:t xml:space="preserve"> - </w:t>
      </w:r>
      <w:r>
        <w:rPr>
          <w:rFonts w:ascii="宋体" w:hAnsi="宋体"/>
        </w:rPr>
        <w:t>历史管理</w:t>
      </w:r>
      <w:r>
        <w:rPr>
          <w:rFonts w:ascii="宋体" w:hAnsi="宋体"/>
        </w:rPr>
        <w:t>”</w:t>
      </w:r>
      <w:r>
        <w:rPr>
          <w:rFonts w:ascii="宋体" w:hAnsi="宋体"/>
        </w:rPr>
        <w:t>这条产品链路。</w:t>
      </w:r>
    </w:p>
    <w:p w14:paraId="130B861F" w14:textId="77777777" w:rsidR="00470923" w:rsidRDefault="00B41790">
      <w:pPr>
        <w:jc w:val="both"/>
      </w:pPr>
      <w:r>
        <w:rPr>
          <w:rFonts w:ascii="仿宋_GB2312" w:eastAsia="仿宋_GB2312" w:hAnsi="仿宋_GB2312"/>
          <w:sz w:val="24"/>
        </w:rPr>
        <w:t>彭斯逸：项目负责人</w:t>
      </w:r>
    </w:p>
    <w:p w14:paraId="3C250743" w14:textId="77777777" w:rsidR="00470923" w:rsidRDefault="00B41790">
      <w:pPr>
        <w:jc w:val="both"/>
      </w:pPr>
      <w:r>
        <w:rPr>
          <w:rFonts w:ascii="宋体" w:hAnsi="宋体"/>
        </w:rPr>
        <w:t>彭斯逸负责项目总体路线设计、成员协调、外部合作对接和核心算法方案把控，重点负责样本体系搭建、等级识别逻辑设计和产地溯源模型路线规划。</w:t>
      </w:r>
    </w:p>
    <w:p w14:paraId="7394716D" w14:textId="77777777" w:rsidR="00470923" w:rsidRDefault="00B41790">
      <w:pPr>
        <w:jc w:val="both"/>
      </w:pPr>
      <w:r>
        <w:rPr>
          <w:rFonts w:ascii="宋体" w:hAnsi="宋体"/>
        </w:rPr>
        <w:t>其职责覆盖目标拆解、技术路线协调、结果边界把控和对外表达统一，是团队的总负责人。</w:t>
      </w:r>
    </w:p>
    <w:p w14:paraId="20D04581" w14:textId="77777777" w:rsidR="00470923" w:rsidRDefault="00B41790">
      <w:pPr>
        <w:jc w:val="both"/>
      </w:pPr>
      <w:r>
        <w:rPr>
          <w:rFonts w:ascii="仿宋_GB2312" w:eastAsia="仿宋_GB2312" w:hAnsi="仿宋_GB2312"/>
          <w:sz w:val="24"/>
        </w:rPr>
        <w:t>唐天赐：算法与后端开发</w:t>
      </w:r>
    </w:p>
    <w:p w14:paraId="710736B5" w14:textId="77777777" w:rsidR="00470923" w:rsidRDefault="00B41790">
      <w:pPr>
        <w:jc w:val="both"/>
      </w:pPr>
      <w:r>
        <w:rPr>
          <w:rFonts w:ascii="宋体" w:hAnsi="宋体"/>
        </w:rPr>
        <w:t>唐天赐负责数据处理、特征提取、后端接口和分析服务开发，承担文件上传后的任务调度、结果存储、模型调用与报告生成等关键链路。</w:t>
      </w:r>
    </w:p>
    <w:p w14:paraId="3CCABD95" w14:textId="77777777" w:rsidR="00470923" w:rsidRDefault="00B41790">
      <w:pPr>
        <w:jc w:val="both"/>
      </w:pPr>
      <w:r>
        <w:rPr>
          <w:rFonts w:ascii="宋体" w:hAnsi="宋体"/>
        </w:rPr>
        <w:t>他重点保障高光谱数据进入分析服务后的稳定处理，并负责将算法结果转化为平台可直接调用的数据接口。</w:t>
      </w:r>
    </w:p>
    <w:p w14:paraId="48D7D279" w14:textId="77777777" w:rsidR="00470923" w:rsidRDefault="00B41790">
      <w:pPr>
        <w:jc w:val="both"/>
      </w:pPr>
      <w:r>
        <w:rPr>
          <w:rFonts w:ascii="仿宋_GB2312" w:eastAsia="仿宋_GB2312" w:hAnsi="仿宋_GB2312"/>
          <w:sz w:val="24"/>
        </w:rPr>
        <w:t>艾舜杰：平台集成与前端开发</w:t>
      </w:r>
    </w:p>
    <w:p w14:paraId="1AB24187" w14:textId="77777777" w:rsidR="00470923" w:rsidRDefault="00B41790">
      <w:pPr>
        <w:jc w:val="both"/>
      </w:pPr>
      <w:r>
        <w:rPr>
          <w:rFonts w:ascii="宋体" w:hAnsi="宋体"/>
        </w:rPr>
        <w:t>艾舜杰负责平台页面实现和交互逻辑开发，承担分析页、历史页、可视化页和移动端查询流程的产品落地。</w:t>
      </w:r>
    </w:p>
    <w:p w14:paraId="43889C27" w14:textId="77777777" w:rsidR="00470923" w:rsidRDefault="00B41790">
      <w:pPr>
        <w:jc w:val="both"/>
      </w:pPr>
      <w:r>
        <w:rPr>
          <w:rFonts w:ascii="宋体" w:hAnsi="宋体"/>
        </w:rPr>
        <w:lastRenderedPageBreak/>
        <w:t>他重点处理页面展示、结果回看和交互体验，保证文件上传、结果展示、历史查询和报告下载在产品层面形成闭环。</w:t>
      </w:r>
    </w:p>
    <w:p w14:paraId="6ADB6247" w14:textId="77777777" w:rsidR="00470923" w:rsidRDefault="00B41790">
      <w:pPr>
        <w:pStyle w:val="21"/>
      </w:pPr>
      <w:bookmarkStart w:id="37" w:name="_Toc226459244"/>
      <w:r>
        <w:rPr>
          <w:rFonts w:ascii="黑体" w:eastAsia="黑体" w:hAnsi="黑体"/>
        </w:rPr>
        <w:t xml:space="preserve">8.4 </w:t>
      </w:r>
      <w:r>
        <w:rPr>
          <w:rFonts w:ascii="黑体" w:eastAsia="黑体" w:hAnsi="黑体"/>
        </w:rPr>
        <w:t>团队核心优势</w:t>
      </w:r>
      <w:bookmarkEnd w:id="37"/>
    </w:p>
    <w:p w14:paraId="7D561D06" w14:textId="77777777" w:rsidR="00470923" w:rsidRDefault="00B41790">
      <w:pPr>
        <w:jc w:val="both"/>
      </w:pPr>
      <w:r>
        <w:rPr>
          <w:rFonts w:ascii="仿宋_GB2312" w:eastAsia="仿宋_GB2312" w:hAnsi="仿宋_GB2312"/>
          <w:sz w:val="24"/>
        </w:rPr>
        <w:t>链路完整，能够把算法做成成品</w:t>
      </w:r>
    </w:p>
    <w:p w14:paraId="6BA46A49" w14:textId="77777777" w:rsidR="00470923" w:rsidRDefault="00B41790">
      <w:pPr>
        <w:jc w:val="both"/>
      </w:pPr>
      <w:r>
        <w:rPr>
          <w:rFonts w:ascii="宋体" w:hAnsi="宋体"/>
        </w:rPr>
        <w:t>团队成员覆盖人工智能算法、全栈开发、高光谱数据处理、市场运营、财务管理和行政统筹，既能完成样本与模型工作，也能完成平台、报告和对外交付，不依赖外包拼装核心模块。橙源智鉴能够形成现有成品，依靠的正是这种从数据到产品的完整能力。</w:t>
      </w:r>
    </w:p>
    <w:p w14:paraId="1D8E5D25" w14:textId="77777777" w:rsidR="00470923" w:rsidRDefault="00B41790">
      <w:pPr>
        <w:jc w:val="both"/>
      </w:pPr>
      <w:r>
        <w:rPr>
          <w:rFonts w:ascii="仿宋_GB2312" w:eastAsia="仿宋_GB2312" w:hAnsi="仿宋_GB2312"/>
          <w:sz w:val="24"/>
        </w:rPr>
        <w:t>资源稳定，技术与产业两端都能接上</w:t>
      </w:r>
    </w:p>
    <w:p w14:paraId="79981A32" w14:textId="77777777" w:rsidR="00470923" w:rsidRDefault="00B41790">
      <w:pPr>
        <w:jc w:val="both"/>
      </w:pPr>
      <w:r>
        <w:rPr>
          <w:rFonts w:ascii="宋体" w:hAnsi="宋体"/>
        </w:rPr>
        <w:t>团队依托海南师范大学信息科学技术学院、经济与管理学院的师资和实验条件，同时得到顾问团队在算法建模、深度学习、商业落地与供应链管理方面的持续指导。校内实验资源解决研发与验证问题，顾问资源帮助项目把技术结果对接到产业场景和经营问题上。</w:t>
      </w:r>
    </w:p>
    <w:p w14:paraId="5B31F47C" w14:textId="77777777" w:rsidR="00470923" w:rsidRDefault="00B41790">
      <w:pPr>
        <w:jc w:val="both"/>
      </w:pPr>
      <w:r>
        <w:rPr>
          <w:rFonts w:ascii="仿宋_GB2312" w:eastAsia="仿宋_GB2312" w:hAnsi="仿宋_GB2312"/>
          <w:sz w:val="24"/>
        </w:rPr>
        <w:t>交付意识强，能把页面、结果和文本统一起来</w:t>
      </w:r>
    </w:p>
    <w:p w14:paraId="267D30DC" w14:textId="77777777" w:rsidR="00470923" w:rsidRDefault="00B41790">
      <w:pPr>
        <w:jc w:val="both"/>
      </w:pPr>
      <w:r>
        <w:rPr>
          <w:rFonts w:ascii="宋体" w:hAnsi="宋体"/>
        </w:rPr>
        <w:t>团队不是只会做模型或只会做展示，而是能够把模型结果同步写进平台页面、历史档案、标准报告和竞赛文本中。项目计划书、演示表达和产品呈现使用的是同一套逻辑，这使项目对外呈现更完整，试点落地也更顺畅。</w:t>
      </w:r>
    </w:p>
    <w:p w14:paraId="2BC82C68" w14:textId="77777777" w:rsidR="00470923" w:rsidRDefault="00B41790">
      <w:pPr>
        <w:jc w:val="both"/>
      </w:pPr>
      <w:r>
        <w:rPr>
          <w:rFonts w:ascii="仿宋_GB2312" w:eastAsia="仿宋_GB2312" w:hAnsi="仿宋_GB2312"/>
          <w:sz w:val="24"/>
        </w:rPr>
        <w:t>在地理解深，切入对象和推进顺序都更清楚</w:t>
      </w:r>
    </w:p>
    <w:p w14:paraId="395C6C5F" w14:textId="77777777" w:rsidR="00470923" w:rsidRDefault="00B41790">
      <w:pPr>
        <w:jc w:val="both"/>
      </w:pPr>
      <w:r>
        <w:rPr>
          <w:rFonts w:ascii="宋体" w:hAnsi="宋体"/>
        </w:rPr>
        <w:t>团队长期在海南学习和实践，对本地特色水果产业、区域品牌果品和校地合作资源有直接理解，能够围绕澄迈福橙、琼中绿橙等代表性对象制定更贴近实际的样本方案、试点路径和合作节奏。先做样板、再做复制的推进思路，与团队对本地场景的理解高度一致。</w:t>
      </w:r>
    </w:p>
    <w:p w14:paraId="29B64324" w14:textId="77777777" w:rsidR="00470923" w:rsidRDefault="00B41790">
      <w:pPr>
        <w:pStyle w:val="1"/>
      </w:pPr>
      <w:bookmarkStart w:id="38" w:name="_Toc226459245"/>
      <w:r>
        <w:rPr>
          <w:rFonts w:ascii="黑体" w:eastAsia="黑体" w:hAnsi="黑体"/>
        </w:rPr>
        <w:lastRenderedPageBreak/>
        <w:t>第九章：财务预测</w:t>
      </w:r>
      <w:bookmarkEnd w:id="38"/>
    </w:p>
    <w:p w14:paraId="503A929F" w14:textId="77777777" w:rsidR="00470923" w:rsidRDefault="00B41790">
      <w:pPr>
        <w:pStyle w:val="21"/>
      </w:pPr>
      <w:bookmarkStart w:id="39" w:name="_Toc226459246"/>
      <w:r>
        <w:rPr>
          <w:rFonts w:ascii="黑体" w:eastAsia="黑体" w:hAnsi="黑体"/>
        </w:rPr>
        <w:t xml:space="preserve">9.1 </w:t>
      </w:r>
      <w:r>
        <w:rPr>
          <w:rFonts w:ascii="黑体" w:eastAsia="黑体" w:hAnsi="黑体"/>
        </w:rPr>
        <w:t>财务假设前提</w:t>
      </w:r>
      <w:bookmarkEnd w:id="39"/>
    </w:p>
    <w:p w14:paraId="7217AFBB" w14:textId="77777777" w:rsidR="00470923" w:rsidRDefault="00B41790">
      <w:pPr>
        <w:jc w:val="both"/>
      </w:pPr>
      <w:r>
        <w:rPr>
          <w:rFonts w:ascii="宋体" w:hAnsi="宋体"/>
        </w:rPr>
        <w:t>本章财务测算按照轻资产数字化服务模式进行，默认项目已完成平台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11BD8E33" w14:textId="77777777" w:rsidR="00470923" w:rsidRDefault="00B41790">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3004F858" w14:textId="77777777" w:rsidR="00470923" w:rsidRDefault="00B41790">
      <w:pPr>
        <w:jc w:val="both"/>
      </w:pPr>
      <w:r>
        <w:rPr>
          <w:rFonts w:ascii="宋体" w:hAnsi="宋体"/>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w:t>
      </w:r>
      <w:r>
        <w:rPr>
          <w:rFonts w:ascii="宋体" w:hAnsi="宋体"/>
        </w:rPr>
        <w:t>“</w:t>
      </w:r>
      <w:r>
        <w:rPr>
          <w:rFonts w:ascii="宋体" w:hAnsi="宋体"/>
        </w:rPr>
        <w:t>已有成品、已有样本、逐步放量</w:t>
      </w:r>
      <w:r>
        <w:rPr>
          <w:rFonts w:ascii="宋体" w:hAnsi="宋体"/>
        </w:rPr>
        <w:t>”</w:t>
      </w:r>
      <w:r>
        <w:rPr>
          <w:rFonts w:ascii="宋体" w:hAnsi="宋体"/>
        </w:rPr>
        <w:t>的稳健假设为基础。</w:t>
      </w:r>
      <w:r>
        <w:rPr>
          <w:rFonts w:ascii="宋体" w:hAnsi="宋体"/>
        </w:rPr>
        <w:t xml:space="preserve"> </w:t>
      </w:r>
    </w:p>
    <w:p w14:paraId="49B81C30" w14:textId="77777777" w:rsidR="00470923" w:rsidRDefault="00B41790">
      <w:pPr>
        <w:pStyle w:val="21"/>
      </w:pPr>
      <w:bookmarkStart w:id="40" w:name="_Toc226459247"/>
      <w:r>
        <w:rPr>
          <w:rFonts w:ascii="黑体" w:eastAsia="黑体" w:hAnsi="黑体"/>
        </w:rPr>
        <w:t xml:space="preserve">9.2 </w:t>
      </w:r>
      <w:r>
        <w:rPr>
          <w:rFonts w:ascii="黑体" w:eastAsia="黑体" w:hAnsi="黑体"/>
        </w:rPr>
        <w:t>三情景核心假设对比</w:t>
      </w:r>
      <w:bookmarkEnd w:id="40"/>
    </w:p>
    <w:p w14:paraId="371E3D92" w14:textId="77777777" w:rsidR="00470923" w:rsidRDefault="00B41790">
      <w:pPr>
        <w:jc w:val="both"/>
      </w:pPr>
      <w:r>
        <w:rPr>
          <w:rFonts w:ascii="宋体" w:hAnsi="宋体"/>
        </w:rPr>
        <w:t>乐观、中性和保守三种情景之间，真正拉开差距的变量有五个：有效客户数、年度账号转化率、续费率、定制服务数量和区域共建</w:t>
      </w:r>
      <w:r>
        <w:rPr>
          <w:rFonts w:ascii="宋体" w:hAnsi="宋体"/>
        </w:rPr>
        <w:lastRenderedPageBreak/>
        <w:t>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1E2CE59B" w14:textId="77777777" w:rsidR="00470923" w:rsidRDefault="00B41790">
      <w:pPr>
        <w:jc w:val="both"/>
      </w:pPr>
      <w:r>
        <w:rPr>
          <w:rFonts w:ascii="宋体" w:hAnsi="宋体"/>
        </w:rPr>
        <w:t>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w:t>
      </w:r>
      <w:r>
        <w:rPr>
          <w:rFonts w:ascii="宋体" w:hAnsi="宋体"/>
        </w:rPr>
        <w:t xml:space="preserve"> </w:t>
      </w:r>
    </w:p>
    <w:p w14:paraId="3B711D70" w14:textId="77777777" w:rsidR="00470923" w:rsidRDefault="00B41790">
      <w:pPr>
        <w:pStyle w:val="21"/>
      </w:pPr>
      <w:bookmarkStart w:id="41" w:name="_Toc226459248"/>
      <w:r>
        <w:rPr>
          <w:rFonts w:ascii="黑体" w:eastAsia="黑体" w:hAnsi="黑体"/>
        </w:rPr>
        <w:t xml:space="preserve">9.3 </w:t>
      </w:r>
      <w:r>
        <w:rPr>
          <w:rFonts w:ascii="黑体" w:eastAsia="黑体" w:hAnsi="黑体"/>
        </w:rPr>
        <w:t>五年损益预测</w:t>
      </w:r>
      <w:bookmarkEnd w:id="41"/>
    </w:p>
    <w:p w14:paraId="7D831904" w14:textId="77777777" w:rsidR="00470923" w:rsidRDefault="00B41790">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2963ABA9" w14:textId="77777777" w:rsidR="00470923" w:rsidRDefault="00B41790">
      <w:pPr>
        <w:jc w:val="both"/>
      </w:pPr>
      <w:r>
        <w:rPr>
          <w:rFonts w:ascii="宋体" w:hAnsi="宋体"/>
        </w:rPr>
        <w:t>盈利拐点主要取决于两项因素：一是年度账号客户是否达到稳定规模，二是批次分析服务能否持续导入续费客户。结合当前产品结构和服务模式判断，项目形成</w:t>
      </w:r>
      <w:r>
        <w:rPr>
          <w:rFonts w:ascii="宋体" w:hAnsi="宋体"/>
        </w:rPr>
        <w:t xml:space="preserve"> 12 </w:t>
      </w:r>
      <w:r>
        <w:rPr>
          <w:rFonts w:ascii="宋体" w:hAnsi="宋体"/>
        </w:rPr>
        <w:t>至</w:t>
      </w:r>
      <w:r>
        <w:rPr>
          <w:rFonts w:ascii="宋体" w:hAnsi="宋体"/>
        </w:rPr>
        <w:t xml:space="preserve"> 15 </w:t>
      </w:r>
      <w:r>
        <w:rPr>
          <w:rFonts w:ascii="宋体" w:hAnsi="宋体"/>
        </w:rPr>
        <w:t>家稳定年度客户，或形成</w:t>
      </w:r>
      <w:r>
        <w:rPr>
          <w:rFonts w:ascii="宋体" w:hAnsi="宋体"/>
        </w:rPr>
        <w:t xml:space="preserve"> 8 </w:t>
      </w:r>
      <w:r>
        <w:rPr>
          <w:rFonts w:ascii="宋体" w:hAnsi="宋体"/>
        </w:rPr>
        <w:t>家年度客户叠加持续批次分析订单后，即可基本跨越低利润阶</w:t>
      </w:r>
      <w:r>
        <w:rPr>
          <w:rFonts w:ascii="宋体" w:hAnsi="宋体"/>
        </w:rPr>
        <w:lastRenderedPageBreak/>
        <w:t>段，进入较稳的盈利区间。该判断建立在多客户、多批次、多场景持续使用的基础之上。</w:t>
      </w:r>
    </w:p>
    <w:p w14:paraId="6FBD39F3" w14:textId="77777777" w:rsidR="00470923" w:rsidRDefault="00B41790">
      <w:pPr>
        <w:jc w:val="both"/>
      </w:pPr>
      <w:r>
        <w:rPr>
          <w:rFonts w:ascii="宋体" w:hAnsi="宋体"/>
        </w:rPr>
        <w:t>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w:t>
      </w:r>
      <w:r>
        <w:rPr>
          <w:rFonts w:ascii="宋体" w:hAnsi="宋体"/>
        </w:rPr>
        <w:t xml:space="preserve"> </w:t>
      </w:r>
    </w:p>
    <w:p w14:paraId="49650B06" w14:textId="77777777" w:rsidR="00470923" w:rsidRDefault="00B41790">
      <w:pPr>
        <w:pStyle w:val="21"/>
      </w:pPr>
      <w:bookmarkStart w:id="42" w:name="_Toc226459249"/>
      <w:r>
        <w:rPr>
          <w:rFonts w:ascii="黑体" w:eastAsia="黑体" w:hAnsi="黑体"/>
        </w:rPr>
        <w:t xml:space="preserve">9.4 </w:t>
      </w:r>
      <w:r>
        <w:rPr>
          <w:rFonts w:ascii="黑体" w:eastAsia="黑体" w:hAnsi="黑体"/>
        </w:rPr>
        <w:t>五年现金流量预测</w:t>
      </w:r>
      <w:bookmarkEnd w:id="42"/>
    </w:p>
    <w:p w14:paraId="4464C6D0" w14:textId="77777777" w:rsidR="00470923" w:rsidRDefault="00B41790">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692BE709" w14:textId="77777777" w:rsidR="00470923" w:rsidRDefault="00B41790">
      <w:pPr>
        <w:jc w:val="both"/>
      </w:pPr>
      <w:r>
        <w:rPr>
          <w:rFonts w:ascii="宋体" w:hAnsi="宋体"/>
        </w:rPr>
        <w:t>现金流压力通常集中在样本集中采集期、模型集中训练期和试点密集交付期。上述阶段往往伴随服务器、标定、差旅和现场支持等支出上升，而收入确认和客户回款无法完全同步。为保证系统稳定运行，项目应预留</w:t>
      </w:r>
      <w:r>
        <w:rPr>
          <w:rFonts w:ascii="宋体" w:hAnsi="宋体"/>
        </w:rPr>
        <w:t xml:space="preserve"> 6 </w:t>
      </w:r>
      <w:r>
        <w:rPr>
          <w:rFonts w:ascii="宋体" w:hAnsi="宋体"/>
        </w:rPr>
        <w:t>至</w:t>
      </w:r>
      <w:r>
        <w:rPr>
          <w:rFonts w:ascii="宋体" w:hAnsi="宋体"/>
        </w:rPr>
        <w:t xml:space="preserve"> 9 </w:t>
      </w:r>
      <w:r>
        <w:rPr>
          <w:rFonts w:ascii="宋体" w:hAnsi="宋体"/>
        </w:rPr>
        <w:t>个月的资金安全垫，优先覆盖服务器、样本标定、人员补贴和现场实施等核心支出，并通过提高预付款比例、优化结算节点和缩短验收周期降低现金流波动。</w:t>
      </w:r>
      <w:r>
        <w:rPr>
          <w:rFonts w:ascii="宋体" w:hAnsi="宋体"/>
        </w:rPr>
        <w:t xml:space="preserve"> </w:t>
      </w:r>
    </w:p>
    <w:p w14:paraId="544B3D6D" w14:textId="77777777" w:rsidR="00470923" w:rsidRDefault="00B41790">
      <w:pPr>
        <w:pStyle w:val="21"/>
      </w:pPr>
      <w:bookmarkStart w:id="43" w:name="_Toc226459250"/>
      <w:r>
        <w:rPr>
          <w:rFonts w:ascii="黑体" w:eastAsia="黑体" w:hAnsi="黑体"/>
        </w:rPr>
        <w:t xml:space="preserve">9.5 </w:t>
      </w:r>
      <w:r>
        <w:rPr>
          <w:rFonts w:ascii="黑体" w:eastAsia="黑体" w:hAnsi="黑体"/>
        </w:rPr>
        <w:t>资产负债结构判断</w:t>
      </w:r>
      <w:bookmarkEnd w:id="43"/>
    </w:p>
    <w:p w14:paraId="658073C9" w14:textId="77777777" w:rsidR="00470923" w:rsidRDefault="00B41790">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w:t>
      </w:r>
      <w:r>
        <w:rPr>
          <w:rFonts w:ascii="宋体" w:hAnsi="宋体"/>
        </w:rPr>
        <w:lastRenderedPageBreak/>
        <w:t>继续影响客户续费与案例扩展，因此样本库和历史档案是项目最需要持续做厚的资产。</w:t>
      </w:r>
    </w:p>
    <w:p w14:paraId="0BE6C329" w14:textId="77777777" w:rsidR="00470923" w:rsidRDefault="00B41790">
      <w:pPr>
        <w:jc w:val="both"/>
      </w:pPr>
      <w:r>
        <w:rPr>
          <w:rFonts w:ascii="宋体" w:hAnsi="宋体"/>
        </w:rPr>
        <w:t>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w:t>
      </w:r>
      <w:r>
        <w:rPr>
          <w:rFonts w:ascii="宋体" w:hAnsi="宋体"/>
        </w:rPr>
        <w:t xml:space="preserve"> </w:t>
      </w:r>
    </w:p>
    <w:p w14:paraId="2ED9A6E8" w14:textId="77777777" w:rsidR="00470923" w:rsidRDefault="00B41790">
      <w:pPr>
        <w:pStyle w:val="21"/>
      </w:pPr>
      <w:bookmarkStart w:id="44" w:name="_Toc226459251"/>
      <w:r>
        <w:rPr>
          <w:rFonts w:ascii="黑体" w:eastAsia="黑体" w:hAnsi="黑体"/>
        </w:rPr>
        <w:t xml:space="preserve">9.6 </w:t>
      </w:r>
      <w:r>
        <w:rPr>
          <w:rFonts w:ascii="黑体" w:eastAsia="黑体" w:hAnsi="黑体"/>
        </w:rPr>
        <w:t>三情景营收与盈利对比</w:t>
      </w:r>
      <w:bookmarkEnd w:id="44"/>
    </w:p>
    <w:p w14:paraId="6EE4CFCB" w14:textId="77777777" w:rsidR="00470923" w:rsidRDefault="00B41790">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5B04A3D1" w14:textId="77777777" w:rsidR="00470923" w:rsidRDefault="00B41790">
      <w:pPr>
        <w:jc w:val="both"/>
      </w:pPr>
      <w:r>
        <w:rPr>
          <w:rFonts w:ascii="宋体" w:hAnsi="宋体"/>
        </w:rPr>
        <w:t>项目具备明显的平台型特征。平台和模型能力一旦成熟，新增客户不需要同比例增加研发支出，边际服务成本相对可控。后续营收结构越偏向长期账号、持续报告和区域共建，项目利润表现就越稳定。</w:t>
      </w:r>
      <w:r>
        <w:rPr>
          <w:rFonts w:ascii="宋体" w:hAnsi="宋体"/>
        </w:rPr>
        <w:t xml:space="preserve"> </w:t>
      </w:r>
    </w:p>
    <w:p w14:paraId="5C0D798B" w14:textId="77777777" w:rsidR="00470923" w:rsidRDefault="00B41790">
      <w:pPr>
        <w:pStyle w:val="21"/>
      </w:pPr>
      <w:bookmarkStart w:id="45" w:name="_Toc226459252"/>
      <w:r>
        <w:rPr>
          <w:rFonts w:ascii="黑体" w:eastAsia="黑体" w:hAnsi="黑体"/>
        </w:rPr>
        <w:t xml:space="preserve">9.7 </w:t>
      </w:r>
      <w:r>
        <w:rPr>
          <w:rFonts w:ascii="黑体" w:eastAsia="黑体" w:hAnsi="黑体"/>
        </w:rPr>
        <w:t>盈亏平衡分析</w:t>
      </w:r>
      <w:bookmarkEnd w:id="45"/>
    </w:p>
    <w:p w14:paraId="0BFCA390" w14:textId="77777777" w:rsidR="00470923" w:rsidRDefault="00B41790">
      <w:pPr>
        <w:jc w:val="both"/>
      </w:pPr>
      <w:r>
        <w:rPr>
          <w:rFonts w:ascii="宋体" w:hAnsi="宋体"/>
        </w:rPr>
        <w:t>盈亏平衡点可按</w:t>
      </w:r>
      <w:r>
        <w:rPr>
          <w:rFonts w:ascii="宋体" w:hAnsi="宋体"/>
        </w:rPr>
        <w:t>“</w:t>
      </w:r>
      <w:r>
        <w:rPr>
          <w:rFonts w:ascii="宋体" w:hAnsi="宋体"/>
        </w:rPr>
        <w:t>固定成本</w:t>
      </w:r>
      <w:r>
        <w:rPr>
          <w:rFonts w:ascii="宋体" w:hAnsi="宋体"/>
        </w:rPr>
        <w:t xml:space="preserve"> / </w:t>
      </w:r>
      <w:r>
        <w:rPr>
          <w:rFonts w:ascii="宋体" w:hAnsi="宋体"/>
        </w:rPr>
        <w:t>单客户年贡献</w:t>
      </w:r>
      <w:r>
        <w:rPr>
          <w:rFonts w:ascii="宋体" w:hAnsi="宋体"/>
        </w:rPr>
        <w:t>”</w:t>
      </w:r>
      <w:r>
        <w:rPr>
          <w:rFonts w:ascii="宋体" w:hAnsi="宋体"/>
        </w:rPr>
        <w:t>进行测算。项目固定成本主要包括系统维护、云服务、样本更新、质量复核和基础管理支出；单客户年贡献则由年度账号服务、批次分析服务和附加报告服务共同构成。按当前收入结构估计，项目达到</w:t>
      </w:r>
      <w:r>
        <w:rPr>
          <w:rFonts w:ascii="宋体" w:hAnsi="宋体"/>
        </w:rPr>
        <w:t xml:space="preserve"> 12 </w:t>
      </w:r>
      <w:r>
        <w:rPr>
          <w:rFonts w:ascii="宋体" w:hAnsi="宋体"/>
        </w:rPr>
        <w:t>至</w:t>
      </w:r>
      <w:r>
        <w:rPr>
          <w:rFonts w:ascii="宋体" w:hAnsi="宋体"/>
        </w:rPr>
        <w:t xml:space="preserve"> 15 </w:t>
      </w:r>
      <w:r>
        <w:rPr>
          <w:rFonts w:ascii="宋体" w:hAnsi="宋体"/>
        </w:rPr>
        <w:t>家</w:t>
      </w:r>
      <w:r>
        <w:rPr>
          <w:rFonts w:ascii="宋体" w:hAnsi="宋体"/>
        </w:rPr>
        <w:lastRenderedPageBreak/>
        <w:t>稳定年度客户，或形成</w:t>
      </w:r>
      <w:r>
        <w:rPr>
          <w:rFonts w:ascii="宋体" w:hAnsi="宋体"/>
        </w:rPr>
        <w:t xml:space="preserve"> 8 </w:t>
      </w:r>
      <w:r>
        <w:rPr>
          <w:rFonts w:ascii="宋体" w:hAnsi="宋体"/>
        </w:rPr>
        <w:t>家年度客户叠加持续批次分析订单时，即可基本覆盖固定成本。</w:t>
      </w:r>
    </w:p>
    <w:p w14:paraId="761B8B86" w14:textId="77777777" w:rsidR="00470923" w:rsidRDefault="00B41790">
      <w:pPr>
        <w:jc w:val="both"/>
      </w:pPr>
      <w:r>
        <w:rPr>
          <w:rFonts w:ascii="宋体" w:hAnsi="宋体"/>
        </w:rPr>
        <w:t>越过平衡点后，增长重点不应继续停留在单次分析量扩张，而应转向提高续费率、扩大品牌方使用深度和增加区域共建项目。只有客户价值在同一套产品体系内持续放大，项目财务表现才会保持稳定改善。</w:t>
      </w:r>
      <w:r>
        <w:rPr>
          <w:rFonts w:ascii="宋体" w:hAnsi="宋体"/>
        </w:rPr>
        <w:t xml:space="preserve"> </w:t>
      </w:r>
    </w:p>
    <w:p w14:paraId="19C48712" w14:textId="77777777" w:rsidR="00470923" w:rsidRDefault="00B41790">
      <w:pPr>
        <w:pStyle w:val="21"/>
      </w:pPr>
      <w:bookmarkStart w:id="46" w:name="_Toc226459253"/>
      <w:r>
        <w:rPr>
          <w:rFonts w:ascii="黑体" w:eastAsia="黑体" w:hAnsi="黑体"/>
        </w:rPr>
        <w:t xml:space="preserve">9.8 </w:t>
      </w:r>
      <w:r>
        <w:rPr>
          <w:rFonts w:ascii="黑体" w:eastAsia="黑体" w:hAnsi="黑体"/>
        </w:rPr>
        <w:t>敏感性分析</w:t>
      </w:r>
      <w:bookmarkEnd w:id="46"/>
    </w:p>
    <w:p w14:paraId="237E8CE4" w14:textId="77777777" w:rsidR="00470923" w:rsidRDefault="00B41790">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48EFC804" w14:textId="77777777" w:rsidR="00470923" w:rsidRDefault="00B41790">
      <w:pPr>
        <w:jc w:val="both"/>
      </w:pPr>
      <w:r>
        <w:rPr>
          <w:rFonts w:ascii="宋体" w:hAnsi="宋体"/>
        </w:rPr>
        <w:t>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w:t>
      </w:r>
      <w:r>
        <w:rPr>
          <w:rFonts w:ascii="宋体" w:hAnsi="宋体"/>
        </w:rPr>
        <w:t xml:space="preserve"> </w:t>
      </w:r>
    </w:p>
    <w:p w14:paraId="31D91C58" w14:textId="77777777" w:rsidR="00470923" w:rsidRDefault="00B41790">
      <w:pPr>
        <w:pStyle w:val="21"/>
      </w:pPr>
      <w:bookmarkStart w:id="47" w:name="_Toc226459254"/>
      <w:r>
        <w:rPr>
          <w:rFonts w:ascii="黑体" w:eastAsia="黑体" w:hAnsi="黑体"/>
        </w:rPr>
        <w:t xml:space="preserve">9.9 </w:t>
      </w:r>
      <w:r>
        <w:rPr>
          <w:rFonts w:ascii="黑体" w:eastAsia="黑体" w:hAnsi="黑体"/>
        </w:rPr>
        <w:t>关键财务比率趋势</w:t>
      </w:r>
      <w:bookmarkEnd w:id="47"/>
    </w:p>
    <w:p w14:paraId="71211C1B" w14:textId="77777777" w:rsidR="00470923" w:rsidRDefault="00B41790">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1E40243B" w14:textId="77777777" w:rsidR="00470923" w:rsidRDefault="00B41790">
      <w:pPr>
        <w:jc w:val="both"/>
      </w:pPr>
      <w:r>
        <w:rPr>
          <w:rFonts w:ascii="宋体" w:hAnsi="宋体"/>
        </w:rPr>
        <w:lastRenderedPageBreak/>
        <w:t>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w:t>
      </w:r>
      <w:r>
        <w:rPr>
          <w:rFonts w:ascii="宋体" w:hAnsi="宋体"/>
        </w:rPr>
        <w:t xml:space="preserve"> </w:t>
      </w:r>
    </w:p>
    <w:p w14:paraId="1DBABEFB" w14:textId="77777777" w:rsidR="00470923" w:rsidRDefault="00B41790">
      <w:pPr>
        <w:pStyle w:val="21"/>
      </w:pPr>
      <w:bookmarkStart w:id="48" w:name="_Toc226459255"/>
      <w:r>
        <w:rPr>
          <w:rFonts w:ascii="黑体" w:eastAsia="黑体" w:hAnsi="黑体"/>
        </w:rPr>
        <w:t xml:space="preserve">9.10 </w:t>
      </w:r>
      <w:r>
        <w:rPr>
          <w:rFonts w:ascii="黑体" w:eastAsia="黑体" w:hAnsi="黑体"/>
        </w:rPr>
        <w:t>资本需求与融资规划</w:t>
      </w:r>
      <w:bookmarkEnd w:id="48"/>
    </w:p>
    <w:p w14:paraId="203D6AF8" w14:textId="77777777" w:rsidR="00470923" w:rsidRDefault="00B41790">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6F3D6004" w14:textId="77777777" w:rsidR="00470923" w:rsidRDefault="00B41790">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209974F0" w14:textId="77777777" w:rsidR="00470923" w:rsidRDefault="00B41790">
      <w:pPr>
        <w:jc w:val="both"/>
      </w:pPr>
      <w:r>
        <w:rPr>
          <w:rFonts w:ascii="宋体" w:hAnsi="宋体"/>
        </w:rPr>
        <w:t>长期来看，项目更适合通过</w:t>
      </w:r>
      <w:r>
        <w:rPr>
          <w:rFonts w:ascii="宋体" w:hAnsi="宋体"/>
        </w:rPr>
        <w:t>“</w:t>
      </w:r>
      <w:r>
        <w:rPr>
          <w:rFonts w:ascii="宋体" w:hAnsi="宋体"/>
        </w:rPr>
        <w:t>订单回款</w:t>
      </w:r>
      <w:r>
        <w:rPr>
          <w:rFonts w:ascii="宋体" w:hAnsi="宋体"/>
        </w:rPr>
        <w:t xml:space="preserve"> + </w:t>
      </w:r>
      <w:r>
        <w:rPr>
          <w:rFonts w:ascii="宋体" w:hAnsi="宋体"/>
        </w:rPr>
        <w:t>阶段性融资</w:t>
      </w:r>
      <w:r>
        <w:rPr>
          <w:rFonts w:ascii="宋体" w:hAnsi="宋体"/>
        </w:rPr>
        <w:t xml:space="preserve"> + </w:t>
      </w:r>
      <w:r>
        <w:rPr>
          <w:rFonts w:ascii="宋体" w:hAnsi="宋体"/>
        </w:rPr>
        <w:t>项目经费</w:t>
      </w:r>
      <w:r>
        <w:rPr>
          <w:rFonts w:ascii="宋体" w:hAnsi="宋体"/>
        </w:rPr>
        <w:t>”</w:t>
      </w:r>
      <w:r>
        <w:rPr>
          <w:rFonts w:ascii="宋体" w:hAnsi="宋体"/>
        </w:rPr>
        <w:t>组合方式形成资本支持结构，以保证资金使用效率与项目主线保持一致。模型、报告、样本和客户结构形成稳定基础后，资本投入才会真正转化为可持续增长。</w:t>
      </w:r>
      <w:r>
        <w:rPr>
          <w:rFonts w:ascii="宋体" w:hAnsi="宋体"/>
        </w:rPr>
        <w:t xml:space="preserve"> </w:t>
      </w:r>
    </w:p>
    <w:p w14:paraId="3A27DBDA" w14:textId="77777777" w:rsidR="00470923" w:rsidRDefault="00B41790">
      <w:pPr>
        <w:jc w:val="both"/>
      </w:pPr>
      <w:r>
        <w:rPr>
          <w:rFonts w:ascii="宋体" w:hAnsi="宋体"/>
        </w:rPr>
        <w:t>按照这一节奏推进，融资不是为了弥补一个尚未完成的空壳项目，而是为了把已经成型的网站、小程序、样本库和试点案例继续放大。资本进入后的第一落点，应当始终围绕样本、算法、交付和客户四条主线展开。</w:t>
      </w:r>
    </w:p>
    <w:p w14:paraId="262A0AAC" w14:textId="77777777" w:rsidR="00470923" w:rsidRDefault="00B41790">
      <w:pPr>
        <w:pStyle w:val="1"/>
      </w:pPr>
      <w:bookmarkStart w:id="49" w:name="_Toc226459256"/>
      <w:r>
        <w:rPr>
          <w:rFonts w:ascii="黑体" w:eastAsia="黑体" w:hAnsi="黑体"/>
        </w:rPr>
        <w:lastRenderedPageBreak/>
        <w:t>第十章：风险分析</w:t>
      </w:r>
      <w:bookmarkEnd w:id="49"/>
    </w:p>
    <w:p w14:paraId="35E81F1C" w14:textId="77777777" w:rsidR="00470923" w:rsidRDefault="00B41790">
      <w:pPr>
        <w:pStyle w:val="21"/>
      </w:pPr>
      <w:bookmarkStart w:id="50" w:name="_Toc226459257"/>
      <w:r>
        <w:rPr>
          <w:rFonts w:ascii="黑体" w:eastAsia="黑体" w:hAnsi="黑体"/>
        </w:rPr>
        <w:t xml:space="preserve">10.1 </w:t>
      </w:r>
      <w:r>
        <w:rPr>
          <w:rFonts w:ascii="黑体" w:eastAsia="黑体" w:hAnsi="黑体"/>
        </w:rPr>
        <w:t>分析假设条件声明</w:t>
      </w:r>
      <w:bookmarkEnd w:id="50"/>
    </w:p>
    <w:p w14:paraId="24FE389C" w14:textId="77777777" w:rsidR="00470923" w:rsidRDefault="00B41790">
      <w:pPr>
        <w:jc w:val="both"/>
      </w:pPr>
      <w:r>
        <w:rPr>
          <w:rFonts w:ascii="宋体" w:hAnsi="宋体"/>
        </w:rPr>
        <w:t>本章风险分析建立在项目已经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47CE7E6E" w14:textId="77777777" w:rsidR="00470923" w:rsidRDefault="00B41790">
      <w:pPr>
        <w:jc w:val="both"/>
      </w:pPr>
      <w:r>
        <w:rPr>
          <w:rFonts w:ascii="宋体" w:hAnsi="宋体"/>
        </w:rPr>
        <w:t>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w:t>
      </w:r>
      <w:r>
        <w:rPr>
          <w:rFonts w:ascii="宋体" w:hAnsi="宋体"/>
        </w:rPr>
        <w:t xml:space="preserve"> </w:t>
      </w:r>
    </w:p>
    <w:p w14:paraId="57D51FEB" w14:textId="77777777" w:rsidR="00470923" w:rsidRDefault="00B41790">
      <w:pPr>
        <w:pStyle w:val="21"/>
      </w:pPr>
      <w:bookmarkStart w:id="51" w:name="_Toc226459258"/>
      <w:r>
        <w:rPr>
          <w:rFonts w:ascii="黑体" w:eastAsia="黑体" w:hAnsi="黑体"/>
        </w:rPr>
        <w:t xml:space="preserve">10.2 </w:t>
      </w:r>
      <w:r>
        <w:rPr>
          <w:rFonts w:ascii="黑体" w:eastAsia="黑体" w:hAnsi="黑体"/>
        </w:rPr>
        <w:t>财务风险维度分析</w:t>
      </w:r>
      <w:bookmarkEnd w:id="51"/>
    </w:p>
    <w:p w14:paraId="26367209" w14:textId="77777777" w:rsidR="00470923" w:rsidRDefault="00B41790">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11C179D2" w14:textId="77777777" w:rsidR="00470923" w:rsidRDefault="00B41790">
      <w:pPr>
        <w:jc w:val="both"/>
      </w:pPr>
      <w:r>
        <w:rPr>
          <w:rFonts w:ascii="宋体" w:hAnsi="宋体"/>
        </w:rPr>
        <w:t>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w:t>
      </w:r>
      <w:r>
        <w:rPr>
          <w:rFonts w:ascii="宋体" w:hAnsi="宋体"/>
        </w:rPr>
        <w:t xml:space="preserve"> </w:t>
      </w:r>
    </w:p>
    <w:p w14:paraId="466B29C2" w14:textId="77777777" w:rsidR="00470923" w:rsidRDefault="00B41790">
      <w:pPr>
        <w:pStyle w:val="21"/>
      </w:pPr>
      <w:bookmarkStart w:id="52" w:name="_Toc226459259"/>
      <w:r>
        <w:rPr>
          <w:rFonts w:ascii="黑体" w:eastAsia="黑体" w:hAnsi="黑体"/>
        </w:rPr>
        <w:lastRenderedPageBreak/>
        <w:t xml:space="preserve">10.3 </w:t>
      </w:r>
      <w:r>
        <w:rPr>
          <w:rFonts w:ascii="黑体" w:eastAsia="黑体" w:hAnsi="黑体"/>
        </w:rPr>
        <w:t>市场风险维度分析</w:t>
      </w:r>
      <w:bookmarkEnd w:id="52"/>
    </w:p>
    <w:p w14:paraId="182DC15C" w14:textId="77777777" w:rsidR="00470923" w:rsidRDefault="00B41790">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2E5F9DA5" w14:textId="77777777" w:rsidR="00470923" w:rsidRDefault="00B41790">
      <w:pPr>
        <w:jc w:val="both"/>
      </w:pPr>
      <w:r>
        <w:rPr>
          <w:rFonts w:ascii="宋体" w:hAnsi="宋体"/>
        </w:rPr>
        <w:t>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w:t>
      </w:r>
      <w:r>
        <w:rPr>
          <w:rFonts w:ascii="宋体" w:hAnsi="宋体"/>
        </w:rPr>
        <w:t xml:space="preserve"> </w:t>
      </w:r>
    </w:p>
    <w:p w14:paraId="252F97C3" w14:textId="77777777" w:rsidR="00470923" w:rsidRDefault="00B41790">
      <w:pPr>
        <w:pStyle w:val="21"/>
      </w:pPr>
      <w:bookmarkStart w:id="53" w:name="_Toc226459260"/>
      <w:r>
        <w:rPr>
          <w:rFonts w:ascii="黑体" w:eastAsia="黑体" w:hAnsi="黑体"/>
        </w:rPr>
        <w:t xml:space="preserve">10.4 </w:t>
      </w:r>
      <w:r>
        <w:rPr>
          <w:rFonts w:ascii="黑体" w:eastAsia="黑体" w:hAnsi="黑体"/>
        </w:rPr>
        <w:t>运营风险维度分析</w:t>
      </w:r>
      <w:bookmarkEnd w:id="53"/>
    </w:p>
    <w:p w14:paraId="2DDDDEFF" w14:textId="77777777" w:rsidR="00470923" w:rsidRDefault="00B41790">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33C0973B" w14:textId="77777777" w:rsidR="00470923" w:rsidRDefault="00B41790">
      <w:pPr>
        <w:jc w:val="both"/>
      </w:pPr>
      <w:r>
        <w:rPr>
          <w:rFonts w:ascii="宋体" w:hAnsi="宋体"/>
        </w:rPr>
        <w:t>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w:t>
      </w:r>
      <w:r>
        <w:rPr>
          <w:rFonts w:ascii="宋体" w:hAnsi="宋体"/>
        </w:rPr>
        <w:t xml:space="preserve"> </w:t>
      </w:r>
    </w:p>
    <w:p w14:paraId="7E768DEB" w14:textId="77777777" w:rsidR="00470923" w:rsidRDefault="00B41790">
      <w:pPr>
        <w:pStyle w:val="21"/>
      </w:pPr>
      <w:bookmarkStart w:id="54" w:name="_Toc226459261"/>
      <w:r>
        <w:rPr>
          <w:rFonts w:ascii="黑体" w:eastAsia="黑体" w:hAnsi="黑体"/>
        </w:rPr>
        <w:lastRenderedPageBreak/>
        <w:t xml:space="preserve">10.5 </w:t>
      </w:r>
      <w:r>
        <w:rPr>
          <w:rFonts w:ascii="黑体" w:eastAsia="黑体" w:hAnsi="黑体"/>
        </w:rPr>
        <w:t>技术与合规风险维度分析</w:t>
      </w:r>
      <w:bookmarkEnd w:id="54"/>
    </w:p>
    <w:p w14:paraId="252F6842" w14:textId="77777777" w:rsidR="00470923" w:rsidRDefault="00B41790">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26BF776E" w14:textId="77777777" w:rsidR="00470923" w:rsidRDefault="00B41790">
      <w:pPr>
        <w:jc w:val="both"/>
      </w:pPr>
      <w:r>
        <w:rPr>
          <w:rFonts w:ascii="宋体" w:hAnsi="宋体"/>
        </w:rPr>
        <w:t>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w:t>
      </w:r>
      <w:r>
        <w:rPr>
          <w:rFonts w:ascii="宋体" w:hAnsi="宋体"/>
        </w:rPr>
        <w:t xml:space="preserve"> </w:t>
      </w:r>
    </w:p>
    <w:p w14:paraId="1A558D6E" w14:textId="77777777" w:rsidR="00470923" w:rsidRDefault="00B41790">
      <w:pPr>
        <w:pStyle w:val="21"/>
      </w:pPr>
      <w:bookmarkStart w:id="55" w:name="_Toc226459262"/>
      <w:r>
        <w:rPr>
          <w:rFonts w:ascii="黑体" w:eastAsia="黑体" w:hAnsi="黑体"/>
        </w:rPr>
        <w:t xml:space="preserve">10.6 </w:t>
      </w:r>
      <w:r>
        <w:rPr>
          <w:rFonts w:ascii="黑体" w:eastAsia="黑体" w:hAnsi="黑体"/>
        </w:rPr>
        <w:t>风险量化评估矩阵</w:t>
      </w:r>
      <w:bookmarkEnd w:id="55"/>
    </w:p>
    <w:p w14:paraId="5F1F7FF6" w14:textId="77777777" w:rsidR="00470923" w:rsidRDefault="00B41790">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567CF9C0" w14:textId="77777777" w:rsidR="00470923" w:rsidRDefault="00B41790">
      <w:pPr>
        <w:jc w:val="both"/>
      </w:pPr>
      <w:r>
        <w:rPr>
          <w:rFonts w:ascii="宋体" w:hAnsi="宋体"/>
        </w:rPr>
        <w:t>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w:t>
      </w:r>
      <w:r>
        <w:rPr>
          <w:rFonts w:ascii="宋体" w:hAnsi="宋体"/>
        </w:rPr>
        <w:t xml:space="preserve"> </w:t>
      </w:r>
    </w:p>
    <w:p w14:paraId="13861E7C" w14:textId="77777777" w:rsidR="00470923" w:rsidRDefault="00B41790">
      <w:pPr>
        <w:pStyle w:val="21"/>
      </w:pPr>
      <w:bookmarkStart w:id="56" w:name="_Toc226459263"/>
      <w:r>
        <w:rPr>
          <w:rFonts w:ascii="黑体" w:eastAsia="黑体" w:hAnsi="黑体"/>
        </w:rPr>
        <w:lastRenderedPageBreak/>
        <w:t xml:space="preserve">10.7 </w:t>
      </w:r>
      <w:r>
        <w:rPr>
          <w:rFonts w:ascii="黑体" w:eastAsia="黑体" w:hAnsi="黑体"/>
        </w:rPr>
        <w:t>三情景风险演变路径</w:t>
      </w:r>
      <w:bookmarkEnd w:id="56"/>
    </w:p>
    <w:p w14:paraId="1B4C2575" w14:textId="77777777" w:rsidR="00470923" w:rsidRDefault="00B41790">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5345CC00" w14:textId="77777777" w:rsidR="00470923" w:rsidRDefault="00B41790">
      <w:pPr>
        <w:jc w:val="both"/>
      </w:pPr>
      <w:r>
        <w:rPr>
          <w:rFonts w:ascii="宋体" w:hAnsi="宋体"/>
        </w:rPr>
        <w:t>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w:t>
      </w:r>
      <w:r>
        <w:rPr>
          <w:rFonts w:ascii="宋体" w:hAnsi="宋体"/>
        </w:rPr>
        <w:t xml:space="preserve"> </w:t>
      </w:r>
    </w:p>
    <w:p w14:paraId="37AFF551" w14:textId="77777777" w:rsidR="00470923" w:rsidRDefault="00B41790">
      <w:pPr>
        <w:pStyle w:val="21"/>
      </w:pPr>
      <w:bookmarkStart w:id="57" w:name="_Toc226459264"/>
      <w:r>
        <w:rPr>
          <w:rFonts w:ascii="黑体" w:eastAsia="黑体" w:hAnsi="黑体"/>
        </w:rPr>
        <w:t xml:space="preserve">10.8 </w:t>
      </w:r>
      <w:r>
        <w:rPr>
          <w:rFonts w:ascii="黑体" w:eastAsia="黑体" w:hAnsi="黑体"/>
        </w:rPr>
        <w:t>风险应对策略矩阵</w:t>
      </w:r>
      <w:bookmarkEnd w:id="57"/>
    </w:p>
    <w:p w14:paraId="7462EBAE" w14:textId="77777777" w:rsidR="00470923" w:rsidRDefault="00B41790">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11F86873" w14:textId="77777777" w:rsidR="00470923" w:rsidRDefault="00B41790">
      <w:pPr>
        <w:jc w:val="both"/>
      </w:pPr>
      <w:r>
        <w:rPr>
          <w:rFonts w:ascii="宋体" w:hAnsi="宋体"/>
        </w:rPr>
        <w:t>转移与预案类措施主要用于数据授权、保密协议、服务器备份、关键岗位交接和异常情况处置等环节，目的在于防止单点问题演变为系统性风险。当前阶段更有效的做法，是把样本、系统、合同和交付流程中的关键节点固化成标准动作。</w:t>
      </w:r>
      <w:r>
        <w:rPr>
          <w:rFonts w:ascii="宋体" w:hAnsi="宋体"/>
        </w:rPr>
        <w:t xml:space="preserve"> </w:t>
      </w:r>
    </w:p>
    <w:p w14:paraId="01CBCF89" w14:textId="77777777" w:rsidR="00470923" w:rsidRDefault="00B41790">
      <w:pPr>
        <w:pStyle w:val="21"/>
      </w:pPr>
      <w:bookmarkStart w:id="58" w:name="_Toc226459265"/>
      <w:r>
        <w:rPr>
          <w:rFonts w:ascii="黑体" w:eastAsia="黑体" w:hAnsi="黑体"/>
        </w:rPr>
        <w:lastRenderedPageBreak/>
        <w:t xml:space="preserve">10.9 </w:t>
      </w:r>
      <w:r>
        <w:rPr>
          <w:rFonts w:ascii="黑体" w:eastAsia="黑体" w:hAnsi="黑体"/>
        </w:rPr>
        <w:t>关键风险指标监控建议</w:t>
      </w:r>
      <w:bookmarkEnd w:id="58"/>
    </w:p>
    <w:p w14:paraId="02E56063" w14:textId="77777777" w:rsidR="00470923" w:rsidRDefault="00B41790">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34AF707D" w14:textId="77777777" w:rsidR="00470923" w:rsidRDefault="00B41790">
      <w:pPr>
        <w:jc w:val="both"/>
      </w:pPr>
      <w:r>
        <w:rPr>
          <w:rFonts w:ascii="宋体" w:hAnsi="宋体"/>
        </w:rPr>
        <w:t>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w:t>
      </w:r>
      <w:r>
        <w:rPr>
          <w:rFonts w:ascii="宋体" w:hAnsi="宋体"/>
        </w:rPr>
        <w:t xml:space="preserve"> </w:t>
      </w:r>
    </w:p>
    <w:sectPr w:rsidR="00470923" w:rsidSect="00034616">
      <w:pgSz w:w="11906" w:h="16838"/>
      <w:pgMar w:top="1440" w:right="1797" w:bottom="1440" w:left="179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C27617" w14:textId="77777777" w:rsidR="00B41790" w:rsidRDefault="00B41790">
      <w:pPr>
        <w:spacing w:after="0" w:line="240" w:lineRule="auto"/>
      </w:pPr>
      <w:r>
        <w:separator/>
      </w:r>
    </w:p>
  </w:endnote>
  <w:endnote w:type="continuationSeparator" w:id="0">
    <w:p w14:paraId="4DCDBA21" w14:textId="77777777" w:rsidR="00B41790" w:rsidRDefault="00B4179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仿宋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66107E" w14:textId="77777777" w:rsidR="00470923" w:rsidRDefault="00B41790">
    <w:pPr>
      <w:pStyle w:val="a7"/>
      <w:spacing w:after="160" w:line="360" w:lineRule="auto"/>
      <w:ind w:firstLine="0"/>
      <w:jc w:val="center"/>
    </w:pPr>
    <w:r>
      <w:rPr>
        <w:rFonts w:eastAsia="Times New Roman"/>
        <w:sz w:val="21"/>
      </w:rPr>
      <w:fldChar w:fldCharType="begin"/>
    </w:r>
    <w:r>
      <w:rPr>
        <w:rFonts w:eastAsia="Times New Roman"/>
        <w:sz w:val="21"/>
      </w:rPr>
      <w:instrText>PAGE</w:instrText>
    </w:r>
    <w:r w:rsidR="00C06855">
      <w:rPr>
        <w:rFonts w:eastAsia="Times New Roman"/>
        <w:sz w:val="21"/>
      </w:rPr>
      <w:fldChar w:fldCharType="separate"/>
    </w:r>
    <w:r w:rsidR="00C06855">
      <w:rPr>
        <w:rFonts w:eastAsia="Times New Roman"/>
        <w:noProof/>
        <w:sz w:val="21"/>
      </w:rPr>
      <w:t>1</w:t>
    </w:r>
    <w:r>
      <w:rPr>
        <w:rFonts w:eastAsia="Times New Roman"/>
        <w:sz w:val="2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FAC1D5" w14:textId="77777777" w:rsidR="00B41790" w:rsidRDefault="00B41790">
      <w:pPr>
        <w:spacing w:after="0" w:line="240" w:lineRule="auto"/>
      </w:pPr>
      <w:r>
        <w:separator/>
      </w:r>
    </w:p>
  </w:footnote>
  <w:footnote w:type="continuationSeparator" w:id="0">
    <w:p w14:paraId="45ECB067" w14:textId="77777777" w:rsidR="00B41790" w:rsidRDefault="00B41790">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712803859">
    <w:abstractNumId w:val="8"/>
  </w:num>
  <w:num w:numId="2" w16cid:durableId="1238979009">
    <w:abstractNumId w:val="6"/>
  </w:num>
  <w:num w:numId="3" w16cid:durableId="1563635709">
    <w:abstractNumId w:val="5"/>
  </w:num>
  <w:num w:numId="4" w16cid:durableId="408699855">
    <w:abstractNumId w:val="4"/>
  </w:num>
  <w:num w:numId="5" w16cid:durableId="918489036">
    <w:abstractNumId w:val="7"/>
  </w:num>
  <w:num w:numId="6" w16cid:durableId="1188981735">
    <w:abstractNumId w:val="3"/>
  </w:num>
  <w:num w:numId="7" w16cid:durableId="21833012">
    <w:abstractNumId w:val="2"/>
  </w:num>
  <w:num w:numId="8" w16cid:durableId="1502892061">
    <w:abstractNumId w:val="1"/>
  </w:num>
  <w:num w:numId="9" w16cid:durableId="10329248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9639D"/>
    <w:rsid w:val="00326F90"/>
    <w:rsid w:val="003302C7"/>
    <w:rsid w:val="00470923"/>
    <w:rsid w:val="00AA1D8D"/>
    <w:rsid w:val="00B41790"/>
    <w:rsid w:val="00B47730"/>
    <w:rsid w:val="00C06855"/>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72641C80"/>
  <w14:defaultImageDpi w14:val="300"/>
  <w15:docId w15:val="{47D9F034-29F1-40FE-984B-47A1AA9D38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160" w:line="360" w:lineRule="auto"/>
      <w:ind w:firstLine="560"/>
    </w:pPr>
    <w:rPr>
      <w:rFonts w:ascii="Times New Roman" w:eastAsia="宋体" w:hAnsi="Times New Roman"/>
      <w:sz w:val="28"/>
    </w:rPr>
  </w:style>
  <w:style w:type="paragraph" w:styleId="1">
    <w:name w:val="heading 1"/>
    <w:basedOn w:val="a1"/>
    <w:next w:val="a1"/>
    <w:link w:val="10"/>
    <w:uiPriority w:val="9"/>
    <w:qFormat/>
    <w:rsid w:val="00FC693F"/>
    <w:pPr>
      <w:keepNext/>
      <w:keepLines/>
      <w:ind w:firstLine="0"/>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0"/>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rPr>
  </w:style>
  <w:style w:type="paragraph" w:styleId="4">
    <w:name w:val="heading 4"/>
    <w:basedOn w:val="a1"/>
    <w:next w:val="a1"/>
    <w:link w:val="40"/>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after="0"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after="0"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560"/>
    </w:pPr>
    <w:rPr>
      <w:rFonts w:asciiTheme="majorHAnsi" w:eastAsiaTheme="majorEastAsia" w:hAnsiTheme="majorHAnsi" w:cstheme="majorBidi"/>
      <w:i/>
      <w:iCs/>
      <w:color w:val="4F81BD" w:themeColor="accent1"/>
      <w:spacing w:val="15"/>
      <w:sz w:val="24"/>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styleId="TOC1">
    <w:name w:val="toc 1"/>
    <w:basedOn w:val="a1"/>
    <w:next w:val="a1"/>
    <w:autoRedefine/>
    <w:uiPriority w:val="39"/>
    <w:unhideWhenUsed/>
    <w:rsid w:val="00C06855"/>
    <w:rPr>
      <w:sz w:val="21"/>
    </w:rPr>
  </w:style>
  <w:style w:type="paragraph" w:styleId="TOC2">
    <w:name w:val="toc 2"/>
    <w:basedOn w:val="a1"/>
    <w:next w:val="a1"/>
    <w:autoRedefine/>
    <w:uiPriority w:val="39"/>
    <w:unhideWhenUsed/>
    <w:rsid w:val="00C06855"/>
    <w:pPr>
      <w:ind w:leftChars="200" w:left="420"/>
    </w:pPr>
    <w:rPr>
      <w:sz w:val="21"/>
    </w:rPr>
  </w:style>
  <w:style w:type="paragraph" w:styleId="TOC3">
    <w:name w:val="toc 3"/>
    <w:basedOn w:val="a1"/>
    <w:next w:val="a1"/>
    <w:autoRedefine/>
    <w:uiPriority w:val="39"/>
    <w:semiHidden/>
    <w:unhideWhenUsed/>
    <w:rsid w:val="00C06855"/>
    <w:pPr>
      <w:ind w:leftChars="400" w:left="840"/>
    </w:pPr>
    <w:rPr>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45</Pages>
  <Words>11596</Words>
  <Characters>11829</Characters>
  <Application>Microsoft Office Word</Application>
  <DocSecurity>0</DocSecurity>
  <Lines>492</Lines>
  <Paragraphs>275</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23150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2026-04-07T04:58:00Z</dcterms:created>
  <dcterms:modified xsi:type="dcterms:W3CDTF">2026-04-07T04:58:00Z</dcterms:modified>
  <cp:category/>
</cp:coreProperties>
</file>