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15830CE3" w14:textId="5E9C6176" w:rsidR="00581DA6"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581DA6" w:rsidRPr="00FC1960">
        <w:rPr>
          <w:rFonts w:ascii="黑体" w:eastAsia="黑体" w:hAnsi="黑体" w:hint="eastAsia"/>
          <w:noProof/>
        </w:rPr>
        <w:t>第一章：项目概述</w:t>
      </w:r>
      <w:r w:rsidR="00581DA6">
        <w:rPr>
          <w:rFonts w:hint="eastAsia"/>
          <w:noProof/>
          <w:webHidden/>
        </w:rPr>
        <w:tab/>
      </w:r>
      <w:r w:rsidR="00581DA6">
        <w:rPr>
          <w:rFonts w:hint="eastAsia"/>
          <w:noProof/>
          <w:webHidden/>
        </w:rPr>
        <w:fldChar w:fldCharType="begin"/>
      </w:r>
      <w:r w:rsidR="00581DA6">
        <w:rPr>
          <w:rFonts w:hint="eastAsia"/>
          <w:noProof/>
          <w:webHidden/>
        </w:rPr>
        <w:instrText xml:space="preserve"> </w:instrText>
      </w:r>
      <w:r w:rsidR="00581DA6">
        <w:rPr>
          <w:noProof/>
          <w:webHidden/>
        </w:rPr>
        <w:instrText>PAGEREF _Toc226471239 \h</w:instrText>
      </w:r>
      <w:r w:rsidR="00581DA6">
        <w:rPr>
          <w:rFonts w:hint="eastAsia"/>
          <w:noProof/>
          <w:webHidden/>
        </w:rPr>
        <w:instrText xml:space="preserve"> </w:instrText>
      </w:r>
      <w:r w:rsidR="00581DA6">
        <w:rPr>
          <w:rFonts w:hint="eastAsia"/>
          <w:noProof/>
          <w:webHidden/>
        </w:rPr>
      </w:r>
      <w:r w:rsidR="00581DA6">
        <w:rPr>
          <w:rFonts w:hint="eastAsia"/>
          <w:noProof/>
          <w:webHidden/>
        </w:rPr>
        <w:fldChar w:fldCharType="separate"/>
      </w:r>
      <w:r w:rsidR="00581DA6">
        <w:rPr>
          <w:noProof/>
          <w:webHidden/>
        </w:rPr>
        <w:t>6</w:t>
      </w:r>
      <w:r w:rsidR="00581DA6">
        <w:rPr>
          <w:rFonts w:hint="eastAsia"/>
          <w:noProof/>
          <w:webHidden/>
        </w:rPr>
        <w:fldChar w:fldCharType="end"/>
      </w:r>
    </w:p>
    <w:p w14:paraId="5F922326" w14:textId="1CC2952A"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1.1 项目背景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045B5BF9" w14:textId="2CCA271B"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3FE419E7" w14:textId="71F6229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1.3 技术支撑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p>
    <w:p w14:paraId="2CC28078" w14:textId="28594BD2"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1.4 项目基础与阶段目标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p>
    <w:p w14:paraId="3CC7555C" w14:textId="1D84D428"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第二章：产品效益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46227520" w14:textId="206E63C6"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32F42A23" w14:textId="17017E16"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2.2 经济效益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p>
    <w:p w14:paraId="5C014E90" w14:textId="7B34073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2.3 教育引领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p>
    <w:p w14:paraId="392FDFF3" w14:textId="4B5338F4"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p>
    <w:p w14:paraId="7CAF4DDB" w14:textId="2E4CDC8E"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3.1 市场可行性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p>
    <w:p w14:paraId="6C4ACFEE" w14:textId="431CCC8E"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3.2 技术可行性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p>
    <w:p w14:paraId="0D17C397" w14:textId="30BDE378"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3.3 经济可行性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63B74182" w14:textId="57E59ACD"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3.4 运营可行性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08590746" w14:textId="60B59E85"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5A78C33F" w14:textId="3F2609F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65E73847" w14:textId="1AEA60E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p>
    <w:p w14:paraId="7266E750" w14:textId="2324DA7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p>
    <w:p w14:paraId="70C4DB00" w14:textId="4D7614DA"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4B12816A" w14:textId="2941D3C0"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1FFBA770" w14:textId="0ED97CFB"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_Toc226471259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145324B2" w14:textId="352DA7F1"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23</w:t>
      </w:r>
      <w:r>
        <w:rPr>
          <w:rFonts w:hint="eastAsia"/>
          <w:noProof/>
          <w:webHidden/>
        </w:rPr>
        <w:fldChar w:fldCharType="end"/>
      </w:r>
    </w:p>
    <w:p w14:paraId="54B36C32" w14:textId="4DB5B361"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23</w:t>
      </w:r>
      <w:r>
        <w:rPr>
          <w:rFonts w:hint="eastAsia"/>
          <w:noProof/>
          <w:webHidden/>
        </w:rPr>
        <w:fldChar w:fldCharType="end"/>
      </w:r>
    </w:p>
    <w:p w14:paraId="024AA876" w14:textId="3D0EF5B6"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052D78BC" w14:textId="3254BBD1"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3C7D6AD0" w14:textId="1F870162"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327785F8" w14:textId="305A91F9"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2E5B5289" w14:textId="70D61A5E"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007A2AA4" w14:textId="04DE6059"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69C27306" w14:textId="704B1D8D"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63C395C7" w14:textId="46427202"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6155EE79" w14:textId="27E307DC"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38AA8979" w14:textId="6BAB5441"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0168C7EB" w14:textId="034554DA"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bCs/>
          <w:noProof/>
          <w:kern w:val="44"/>
        </w:rPr>
        <w:t>第八章</w:t>
      </w:r>
      <w:r w:rsidRPr="00FC1960">
        <w:rPr>
          <w:rFonts w:ascii="黑体" w:eastAsia="黑体" w:hAnsi="黑体" w:cs="黑体" w:hint="eastAsia"/>
          <w:bCs/>
          <w:noProof/>
          <w:kern w:val="44"/>
          <w:lang w:eastAsia="zh-CN"/>
        </w:rPr>
        <w:t xml:space="preserve"> 第八章：团队介绍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2BCA377F" w14:textId="229E56F2"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8.1 团队组织架构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07BFD4AA" w14:textId="019AE9C2"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8.1.1 技术部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654E2E59" w14:textId="248CA0F4"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8.1.2 市场营销部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0354F174" w14:textId="337153CA"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8.1.3 财务部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6CBF9427" w14:textId="57539BA7"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8.1.4 行政部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0CA39209" w14:textId="05BAC577"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8.2 专家顾问团队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7A262308" w14:textId="5943406B"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bCs/>
          <w:noProof/>
        </w:rPr>
        <w:t>8.3 核心团队成员介绍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241AD9DA" w14:textId="3D952B61"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8.4 团队核心优势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42</w:t>
      </w:r>
      <w:r>
        <w:rPr>
          <w:rFonts w:hint="eastAsia"/>
          <w:noProof/>
          <w:webHidden/>
        </w:rPr>
        <w:fldChar w:fldCharType="end"/>
      </w:r>
    </w:p>
    <w:p w14:paraId="3524420F" w14:textId="150E2561"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（1）专业互补，能力全覆盖</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4B070653" w14:textId="15805EB6"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（2）产学研融合，技术支撑坚实</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678A85ED" w14:textId="34BFCE8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（3）实战经验丰富，创新能力突出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4840C4E4" w14:textId="6A7F709C"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cs="黑体" w:hint="eastAsia"/>
          <w:noProof/>
        </w:rPr>
        <w:t>（4）深耕本土，贴合市场需求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43</w:t>
      </w:r>
      <w:r>
        <w:rPr>
          <w:rFonts w:hint="eastAsia"/>
          <w:noProof/>
          <w:webHidden/>
        </w:rPr>
        <w:fldChar w:fldCharType="end"/>
      </w:r>
    </w:p>
    <w:p w14:paraId="77CE38F7" w14:textId="1D64E117"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第九章：财务预测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44</w:t>
      </w:r>
      <w:r>
        <w:rPr>
          <w:rFonts w:hint="eastAsia"/>
          <w:noProof/>
          <w:webHidden/>
        </w:rPr>
        <w:fldChar w:fldCharType="end"/>
      </w:r>
    </w:p>
    <w:p w14:paraId="3D6C4947" w14:textId="442D07CA"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lastRenderedPageBreak/>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44</w:t>
      </w:r>
      <w:r>
        <w:rPr>
          <w:rFonts w:hint="eastAsia"/>
          <w:noProof/>
          <w:webHidden/>
        </w:rPr>
        <w:fldChar w:fldCharType="end"/>
      </w:r>
    </w:p>
    <w:p w14:paraId="7E43F1D8" w14:textId="60AB09AF"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45</w:t>
      </w:r>
      <w:r>
        <w:rPr>
          <w:rFonts w:hint="eastAsia"/>
          <w:noProof/>
          <w:webHidden/>
        </w:rPr>
        <w:fldChar w:fldCharType="end"/>
      </w:r>
    </w:p>
    <w:p w14:paraId="0FA1EF7F" w14:textId="2CAA3728"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45</w:t>
      </w:r>
      <w:r>
        <w:rPr>
          <w:rFonts w:hint="eastAsia"/>
          <w:noProof/>
          <w:webHidden/>
        </w:rPr>
        <w:fldChar w:fldCharType="end"/>
      </w:r>
    </w:p>
    <w:p w14:paraId="526D90B6" w14:textId="01F338CF"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46</w:t>
      </w:r>
      <w:r>
        <w:rPr>
          <w:rFonts w:hint="eastAsia"/>
          <w:noProof/>
          <w:webHidden/>
        </w:rPr>
        <w:fldChar w:fldCharType="end"/>
      </w:r>
    </w:p>
    <w:p w14:paraId="50556B16" w14:textId="57A1CEC8"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47</w:t>
      </w:r>
      <w:r>
        <w:rPr>
          <w:rFonts w:hint="eastAsia"/>
          <w:noProof/>
          <w:webHidden/>
        </w:rPr>
        <w:fldChar w:fldCharType="end"/>
      </w:r>
    </w:p>
    <w:p w14:paraId="77FA0414" w14:textId="48DB6EBE"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47</w:t>
      </w:r>
      <w:r>
        <w:rPr>
          <w:rFonts w:hint="eastAsia"/>
          <w:noProof/>
          <w:webHidden/>
        </w:rPr>
        <w:fldChar w:fldCharType="end"/>
      </w:r>
    </w:p>
    <w:p w14:paraId="4D7B7258" w14:textId="6055298B"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48</w:t>
      </w:r>
      <w:r>
        <w:rPr>
          <w:rFonts w:hint="eastAsia"/>
          <w:noProof/>
          <w:webHidden/>
        </w:rPr>
        <w:fldChar w:fldCharType="end"/>
      </w:r>
    </w:p>
    <w:p w14:paraId="13DE7635" w14:textId="12BBB458"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48</w:t>
      </w:r>
      <w:r>
        <w:rPr>
          <w:rFonts w:hint="eastAsia"/>
          <w:noProof/>
          <w:webHidden/>
        </w:rPr>
        <w:fldChar w:fldCharType="end"/>
      </w:r>
    </w:p>
    <w:p w14:paraId="586999BB" w14:textId="61282A53"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49</w:t>
      </w:r>
      <w:r>
        <w:rPr>
          <w:rFonts w:hint="eastAsia"/>
          <w:noProof/>
          <w:webHidden/>
        </w:rPr>
        <w:fldChar w:fldCharType="end"/>
      </w:r>
    </w:p>
    <w:p w14:paraId="663B89E6" w14:textId="7CE27CFD"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49</w:t>
      </w:r>
      <w:r>
        <w:rPr>
          <w:rFonts w:hint="eastAsia"/>
          <w:noProof/>
          <w:webHidden/>
        </w:rPr>
        <w:fldChar w:fldCharType="end"/>
      </w:r>
    </w:p>
    <w:p w14:paraId="15263D22" w14:textId="53638001" w:rsidR="00581DA6" w:rsidRDefault="00581DA6">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77040F80" w14:textId="4D1F2909"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71D38CA5" w14:textId="2F31AB3C"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5BC78C8D" w14:textId="7CEC4C04"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_Toc226471299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51</w:t>
      </w:r>
      <w:r>
        <w:rPr>
          <w:rFonts w:hint="eastAsia"/>
          <w:noProof/>
          <w:webHidden/>
        </w:rPr>
        <w:fldChar w:fldCharType="end"/>
      </w:r>
    </w:p>
    <w:p w14:paraId="1167EBBF" w14:textId="2EE3BD10"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_Toc226471300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51</w:t>
      </w:r>
      <w:r>
        <w:rPr>
          <w:rFonts w:hint="eastAsia"/>
          <w:noProof/>
          <w:webHidden/>
        </w:rPr>
        <w:fldChar w:fldCharType="end"/>
      </w:r>
    </w:p>
    <w:p w14:paraId="5ACBAECA" w14:textId="25C769DB"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_Toc226471301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52</w:t>
      </w:r>
      <w:r>
        <w:rPr>
          <w:rFonts w:hint="eastAsia"/>
          <w:noProof/>
          <w:webHidden/>
        </w:rPr>
        <w:fldChar w:fldCharType="end"/>
      </w:r>
    </w:p>
    <w:p w14:paraId="52FD6242" w14:textId="78238DA4"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_Toc226471302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52</w:t>
      </w:r>
      <w:r>
        <w:rPr>
          <w:rFonts w:hint="eastAsia"/>
          <w:noProof/>
          <w:webHidden/>
        </w:rPr>
        <w:fldChar w:fldCharType="end"/>
      </w:r>
    </w:p>
    <w:p w14:paraId="5DAF66E0" w14:textId="519A66EB"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_Toc226471303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53</w:t>
      </w:r>
      <w:r>
        <w:rPr>
          <w:rFonts w:hint="eastAsia"/>
          <w:noProof/>
          <w:webHidden/>
        </w:rPr>
        <w:fldChar w:fldCharType="end"/>
      </w:r>
    </w:p>
    <w:p w14:paraId="2D0A849B" w14:textId="4B0BA496"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_Toc226471304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53</w:t>
      </w:r>
      <w:r>
        <w:rPr>
          <w:rFonts w:hint="eastAsia"/>
          <w:noProof/>
          <w:webHidden/>
        </w:rPr>
        <w:fldChar w:fldCharType="end"/>
      </w:r>
    </w:p>
    <w:p w14:paraId="078DF100" w14:textId="15AD35E8" w:rsidR="00581DA6" w:rsidRDefault="00581DA6">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FC1960">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_Toc226471305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54</w:t>
      </w:r>
      <w:r>
        <w:rPr>
          <w:rFonts w:hint="eastAsia"/>
          <w:noProof/>
          <w:webHidden/>
        </w:rPr>
        <w:fldChar w:fldCharType="end"/>
      </w:r>
    </w:p>
    <w:p w14:paraId="4CBB5E57" w14:textId="6B633370"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77777777" w:rsidR="00FA539A" w:rsidRDefault="00EF778F">
      <w:pPr>
        <w:ind w:firstLine="0"/>
        <w:jc w:val="both"/>
      </w:pPr>
      <w:r>
        <w:rPr>
          <w:rFonts w:ascii="仿宋_GB2312" w:eastAsia="仿宋_GB2312" w:hAnsi="仿宋_GB2312"/>
          <w:b/>
          <w:sz w:val="24"/>
        </w:rPr>
        <w:lastRenderedPageBreak/>
        <w:t xml:space="preserve">摘要 </w:t>
      </w:r>
      <w:r>
        <w:rPr>
          <w:rFonts w:ascii="仿宋_GB2312" w:eastAsia="仿宋_GB2312" w:hAnsi="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64A4F300" w14:textId="77777777" w:rsidR="00FA539A" w:rsidRDefault="00EF778F">
      <w:pPr>
        <w:pStyle w:val="1"/>
      </w:pPr>
      <w:bookmarkStart w:id="0" w:name="_Toc226471239"/>
      <w:r>
        <w:rPr>
          <w:rFonts w:ascii="黑体" w:eastAsia="黑体" w:hAnsi="黑体"/>
        </w:rPr>
        <w:lastRenderedPageBreak/>
        <w:t>第一章：项目概述</w:t>
      </w:r>
      <w:bookmarkEnd w:id="0"/>
    </w:p>
    <w:p w14:paraId="270B2CFB" w14:textId="77777777" w:rsidR="00FA539A" w:rsidRDefault="00EF778F">
      <w:pPr>
        <w:pStyle w:val="21"/>
      </w:pPr>
      <w:bookmarkStart w:id="1" w:name="_Toc226471240"/>
      <w:r>
        <w:rPr>
          <w:rFonts w:ascii="黑体" w:eastAsia="黑体" w:hAnsi="黑体"/>
        </w:rPr>
        <w:t>1.1 项目背景</w:t>
      </w:r>
      <w:bookmarkEnd w:id="1"/>
    </w:p>
    <w:p w14:paraId="72C954D3" w14:textId="77777777" w:rsidR="00FA539A" w:rsidRDefault="00EF778F">
      <w:pPr>
        <w:jc w:val="both"/>
      </w:pPr>
      <w:r>
        <w:rPr>
          <w:rFonts w:ascii="宋体" w:hAnsi="宋体"/>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30C812F9" w14:textId="77777777" w:rsidR="00FA539A" w:rsidRDefault="00EF778F">
      <w:pPr>
        <w:jc w:val="both"/>
      </w:pPr>
      <w:r>
        <w:rPr>
          <w:rFonts w:ascii="宋体" w:hAnsi="宋体"/>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068C98BA" w14:textId="77777777" w:rsidR="00FA539A" w:rsidRDefault="00EF778F">
      <w:pPr>
        <w:jc w:val="both"/>
      </w:pPr>
      <w:r>
        <w:rPr>
          <w:rFonts w:ascii="宋体" w:hAnsi="宋体"/>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5ACBC8DF" w14:textId="77777777" w:rsidR="00FA539A" w:rsidRDefault="00EF778F">
      <w:pPr>
        <w:jc w:val="both"/>
      </w:pPr>
      <w:r>
        <w:rPr>
          <w:rFonts w:ascii="宋体" w:hAnsi="宋体"/>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w:t>
      </w:r>
      <w:r>
        <w:rPr>
          <w:rFonts w:ascii="宋体" w:hAnsi="宋体"/>
        </w:rPr>
        <w:lastRenderedPageBreak/>
        <w:t>复盘和对外说明调用。项目对应的是分级、验货、溯源和品牌表达这一整条实际业务链，而不是某个孤立算法环节。</w:t>
      </w:r>
    </w:p>
    <w:p w14:paraId="56E600C8" w14:textId="77777777" w:rsidR="00FA539A" w:rsidRDefault="00EF778F">
      <w:pPr>
        <w:pStyle w:val="21"/>
      </w:pPr>
      <w:bookmarkStart w:id="2" w:name="_Toc226471241"/>
      <w:r>
        <w:rPr>
          <w:rFonts w:ascii="黑体" w:eastAsia="黑体" w:hAnsi="黑体"/>
        </w:rPr>
        <w:t>1.2 政策支持</w:t>
      </w:r>
      <w:bookmarkEnd w:id="2"/>
    </w:p>
    <w:p w14:paraId="0BF3C54A" w14:textId="77777777" w:rsidR="00BA6F1E" w:rsidRPr="00581DA6" w:rsidRDefault="00BA6F1E" w:rsidP="00581DA6">
      <w:pPr>
        <w:jc w:val="both"/>
        <w:rPr>
          <w:rFonts w:ascii="宋体" w:hAnsi="宋体" w:hint="eastAsia"/>
          <w:bCs/>
        </w:rPr>
      </w:pPr>
      <w:r w:rsidRPr="00581DA6">
        <w:rPr>
          <w:rFonts w:ascii="宋体" w:hAnsi="宋体" w:hint="eastAsia"/>
        </w:rPr>
        <w:t>政策层面，本项目同时落在智慧农业、数字乡村、农产品质量安全追溯、数据要素赋能现代农业和海南热带特色高效农业建设等多条政策主线上。橙源智鉴不是单纯把算法放到网页上，而是把橙类样本文件、批次信息、等级判断、产地识别和分析报告接成一条可留档、可查询、可复用的数字化链路，这与当前农业数字化建设强调的数据沉淀、主体留痕、场景应用和品牌提升方向高度一致。</w:t>
      </w:r>
    </w:p>
    <w:p w14:paraId="512CE31C" w14:textId="77777777" w:rsidR="00BA6F1E" w:rsidRPr="00581DA6" w:rsidRDefault="00BA6F1E" w:rsidP="00581DA6">
      <w:pPr>
        <w:pStyle w:val="31"/>
        <w:rPr>
          <w:rFonts w:ascii="黑体" w:eastAsia="黑体" w:hAnsi="黑体" w:hint="eastAsia"/>
        </w:rPr>
      </w:pPr>
      <w:r w:rsidRPr="00581DA6">
        <w:rPr>
          <w:rFonts w:ascii="黑体" w:eastAsia="黑体" w:hAnsi="黑体" w:hint="eastAsia"/>
        </w:rPr>
        <w:t>1.2.1 国家智慧农业与数字乡村政策支撑</w:t>
      </w:r>
    </w:p>
    <w:p w14:paraId="4BF256BC" w14:textId="77777777" w:rsidR="00BA6F1E" w:rsidRPr="00581DA6" w:rsidRDefault="00BA6F1E" w:rsidP="00581DA6">
      <w:pPr>
        <w:jc w:val="both"/>
        <w:rPr>
          <w:rFonts w:ascii="宋体" w:hAnsi="宋体" w:hint="eastAsia"/>
          <w:bCs/>
        </w:rPr>
      </w:pPr>
      <w:r w:rsidRPr="00581DA6">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中共中央办公厅、国务院办公厅印发的《数字乡村发展战略纲要》也明确提出，要加快推广云计算、大数据、物联网、人工智能在农业生产经营管理中的运用，打造科技农业、智慧农业、品牌农业。橙源智鉴所做的上传分析、批次归档、历史回看和报告交付，正对应橙类品质管理场景中的数据化工具、模型化判断和品牌化表达。</w:t>
      </w:r>
    </w:p>
    <w:p w14:paraId="42873C92" w14:textId="77777777" w:rsidR="00BA6F1E" w:rsidRPr="00581DA6" w:rsidRDefault="00BA6F1E" w:rsidP="00581DA6">
      <w:pPr>
        <w:pStyle w:val="31"/>
        <w:rPr>
          <w:rFonts w:ascii="黑体" w:eastAsia="黑体" w:hAnsi="黑体" w:hint="eastAsia"/>
        </w:rPr>
      </w:pPr>
      <w:r w:rsidRPr="00581DA6">
        <w:rPr>
          <w:rFonts w:ascii="黑体" w:eastAsia="黑体" w:hAnsi="黑体" w:hint="eastAsia"/>
        </w:rPr>
        <w:t>1.2.2 农产品质量安全与追溯政策支撑</w:t>
      </w:r>
    </w:p>
    <w:p w14:paraId="4F2EB245" w14:textId="77777777" w:rsidR="00BA6F1E" w:rsidRPr="00581DA6" w:rsidRDefault="00BA6F1E" w:rsidP="00581DA6">
      <w:pPr>
        <w:jc w:val="both"/>
        <w:rPr>
          <w:rFonts w:ascii="宋体" w:hAnsi="宋体" w:hint="eastAsia"/>
          <w:bCs/>
        </w:rPr>
      </w:pPr>
      <w:r w:rsidRPr="00581DA6">
        <w:rPr>
          <w:rFonts w:ascii="宋体" w:hAnsi="宋体" w:hint="eastAsia"/>
        </w:rPr>
        <w:t>在质量安全与追溯层面，农业农村部办公厅于2021年印发《农产品质量安全信息化追溯管理办法（试行）》，明确农产品质量安</w:t>
      </w:r>
      <w:r w:rsidRPr="00581DA6">
        <w:rPr>
          <w:rFonts w:ascii="宋体" w:hAnsi="宋体" w:hint="eastAsia"/>
        </w:rPr>
        <w:lastRenderedPageBreak/>
        <w:t>全追溯是运用信息化方式跟踪记录生产经营主体和产品流向等信息，满足政府监管、企业经营和公众查询需要，并要求推动地方追溯平台与国家平台对接，实现数据共享、业务融合。2022年修订的《中华人民共和国农产品质量安全法》进一步强化生产经营者主体责任、质量安全追溯和产地准出等制度要求。对橙类品牌果而言，这意味着分级结果、产地说明和批次档案不能再停留在口头判断上，而要逐步转成可追溯、可核对、可调用的数字记录。</w:t>
      </w:r>
    </w:p>
    <w:p w14:paraId="373740A8" w14:textId="77777777" w:rsidR="00BA6F1E" w:rsidRPr="00581DA6" w:rsidRDefault="00BA6F1E" w:rsidP="00581DA6">
      <w:pPr>
        <w:pStyle w:val="31"/>
        <w:rPr>
          <w:rFonts w:ascii="黑体" w:eastAsia="黑体" w:hAnsi="黑体" w:hint="eastAsia"/>
        </w:rPr>
      </w:pPr>
      <w:r w:rsidRPr="00581DA6">
        <w:rPr>
          <w:rFonts w:ascii="黑体" w:eastAsia="黑体" w:hAnsi="黑体" w:hint="eastAsia"/>
        </w:rPr>
        <w:t>1.2.3 数据要素赋能现代农</w:t>
      </w:r>
      <w:r w:rsidRPr="00581DA6">
        <w:rPr>
          <w:rFonts w:ascii="黑体" w:eastAsia="黑体" w:hAnsi="黑体" w:cs="微软雅黑" w:hint="eastAsia"/>
        </w:rPr>
        <w:t>业</w:t>
      </w:r>
      <w:r w:rsidRPr="00581DA6">
        <w:rPr>
          <w:rFonts w:ascii="黑体" w:eastAsia="黑体" w:hAnsi="黑体" w:cs="MS Gothic" w:hint="eastAsia"/>
        </w:rPr>
        <w:t>政策支撑</w:t>
      </w:r>
    </w:p>
    <w:p w14:paraId="020504DE" w14:textId="77777777" w:rsidR="00BA6F1E" w:rsidRPr="00581DA6" w:rsidRDefault="00BA6F1E" w:rsidP="00581DA6">
      <w:pPr>
        <w:jc w:val="both"/>
        <w:rPr>
          <w:rFonts w:ascii="宋体" w:hAnsi="宋体" w:hint="eastAsia"/>
          <w:bCs/>
        </w:rPr>
      </w:pPr>
      <w:r w:rsidRPr="00581DA6">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25EFD65E" w14:textId="77777777" w:rsidR="00BA6F1E" w:rsidRPr="00581DA6" w:rsidRDefault="00BA6F1E" w:rsidP="00581DA6">
      <w:pPr>
        <w:pStyle w:val="31"/>
        <w:rPr>
          <w:rFonts w:ascii="黑体" w:eastAsia="黑体" w:hAnsi="黑体" w:hint="eastAsia"/>
        </w:rPr>
      </w:pPr>
      <w:r w:rsidRPr="00581DA6">
        <w:rPr>
          <w:rFonts w:ascii="黑体" w:eastAsia="黑体" w:hAnsi="黑体" w:hint="eastAsia"/>
        </w:rPr>
        <w:t>1.2.4 海南自贸港与热带特色高效农</w:t>
      </w:r>
      <w:r w:rsidRPr="00581DA6">
        <w:rPr>
          <w:rFonts w:ascii="黑体" w:eastAsia="黑体" w:hAnsi="黑体" w:cs="微软雅黑" w:hint="eastAsia"/>
        </w:rPr>
        <w:t>业</w:t>
      </w:r>
      <w:r w:rsidRPr="00581DA6">
        <w:rPr>
          <w:rFonts w:ascii="黑体" w:eastAsia="黑体" w:hAnsi="黑体" w:cs="MS Gothic" w:hint="eastAsia"/>
        </w:rPr>
        <w:t>政策支撑</w:t>
      </w:r>
    </w:p>
    <w:p w14:paraId="34B26290" w14:textId="77777777" w:rsidR="00BA6F1E" w:rsidRPr="00581DA6" w:rsidRDefault="00BA6F1E" w:rsidP="00581DA6">
      <w:pPr>
        <w:jc w:val="both"/>
        <w:rPr>
          <w:rFonts w:ascii="宋体" w:hAnsi="宋体" w:hint="eastAsia"/>
          <w:bCs/>
        </w:rPr>
      </w:pPr>
      <w:r w:rsidRPr="00581DA6">
        <w:rPr>
          <w:rFonts w:ascii="宋体" w:hAnsi="宋体" w:hint="eastAsia"/>
        </w:rPr>
        <w:t>在区域层面，《海南自由贸易港建设总体方案》发布实施后，海南持续围绕热带特色高效农业和数字经济两条主线推进产业升级。海南省农业农村厅于2024年印发《海南自由贸易港热带特色高效农业简明政策手册（2024年修订版）》，持续围绕特色产业、标准化生产、品牌提升和科技支撑进行政策梳理；海南省人民政府办公厅印发《海南省培育数据要素市场三年行动计划（2024—2026）》，提出加强数据基础设施建设、推动数据场景化应用、做强数字经济</w:t>
      </w:r>
      <w:r w:rsidRPr="00581DA6">
        <w:rPr>
          <w:rFonts w:ascii="宋体" w:hAnsi="宋体" w:hint="eastAsia"/>
        </w:rPr>
        <w:lastRenderedPageBreak/>
        <w:t>新优势。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A95D7F0" w14:textId="7358E767" w:rsidR="00FA539A" w:rsidRDefault="00EF778F">
      <w:pPr>
        <w:pStyle w:val="21"/>
      </w:pPr>
      <w:bookmarkStart w:id="3" w:name="_Toc226471242"/>
      <w:r>
        <w:rPr>
          <w:rFonts w:ascii="黑体" w:eastAsia="黑体" w:hAnsi="黑体"/>
        </w:rPr>
        <w:t>1.3 技术支撑</w:t>
      </w:r>
      <w:bookmarkEnd w:id="3"/>
    </w:p>
    <w:p w14:paraId="2189F29F" w14:textId="77777777" w:rsidR="00FA539A" w:rsidRDefault="00EF778F">
      <w:pPr>
        <w:jc w:val="both"/>
      </w:pPr>
      <w:r>
        <w:rPr>
          <w:rFonts w:ascii="宋体" w:hAnsi="宋体"/>
        </w:rPr>
        <w:t>高光谱成像可以同时获取样本的空间信息和连续光谱信息，适合处理糖度、酸度、成熟度和产地差异这类橙类核心任务，是本项目进行无损分析的底层数据来源。</w:t>
      </w:r>
    </w:p>
    <w:p w14:paraId="442D8ED6" w14:textId="77777777" w:rsidR="00FA539A" w:rsidRDefault="00EF778F">
      <w:pPr>
        <w:jc w:val="both"/>
      </w:pPr>
      <w:r>
        <w:rPr>
          <w:rFonts w:ascii="宋体" w:hAnsi="宋体"/>
        </w:rPr>
        <w:t>算法层面采用“分类 + 回归”双任务路径：分类模型负责产地识别与等级划分，回归模型负责 SSC、TA、糖酸比和维生素C等指标预测，再配合异常识别和可解释模块输出可复核结果。</w:t>
      </w:r>
    </w:p>
    <w:p w14:paraId="22CD6FC0" w14:textId="77777777" w:rsidR="00FA539A" w:rsidRDefault="00EF778F">
      <w:pPr>
        <w:jc w:val="both"/>
      </w:pPr>
      <w:r>
        <w:rPr>
          <w:rFonts w:ascii="宋体" w:hAnsi="宋体"/>
        </w:rPr>
        <w:t>当前成品已完成平台开发，包括管理分析界面和移动查询入口。系统支持 HDR、RAW、CSV 三类文件上传，可完成样本对比、模型解释、历史记录、采样登记、结果查询和报告导出，并在分析页展示 1.2 秒处理流程、98.5% 产地识别置信度和 SSC 预测误差 ±0.3% 的演示结果。</w:t>
      </w:r>
    </w:p>
    <w:p w14:paraId="3E44E195" w14:textId="77777777" w:rsidR="00FA539A" w:rsidRDefault="00EF778F">
      <w:pPr>
        <w:pStyle w:val="21"/>
      </w:pPr>
      <w:bookmarkStart w:id="4" w:name="_Toc226471243"/>
      <w:r>
        <w:rPr>
          <w:rFonts w:ascii="黑体" w:eastAsia="黑体" w:hAnsi="黑体"/>
        </w:rPr>
        <w:t>1.4 项目基础与阶段目标</w:t>
      </w:r>
      <w:bookmarkEnd w:id="4"/>
    </w:p>
    <w:p w14:paraId="738ED9E2" w14:textId="77777777" w:rsidR="00FA539A" w:rsidRDefault="00EF778F">
      <w:pPr>
        <w:jc w:val="both"/>
      </w:pPr>
      <w:r>
        <w:rPr>
          <w:rFonts w:ascii="宋体" w:hAnsi="宋体"/>
        </w:rPr>
        <w:t>项目目前已具备三项基础：一是平台可直接演示完整业务链路；二是数据侧已沉淀 10 组化验样本、100 个连续波段点位和澄迈福橙、琼中绿橙对比数据；三是报告、历史页和模型页已经把分析结果做成可展示、可追溯、可复盘的成品。下一步重点是继续补强样本规模、标签质量和跨批次稳定性。</w:t>
      </w:r>
    </w:p>
    <w:p w14:paraId="4A499B40" w14:textId="77777777" w:rsidR="00FA539A" w:rsidRDefault="00EF778F">
      <w:pPr>
        <w:pStyle w:val="a0"/>
        <w:ind w:firstLine="0"/>
        <w:jc w:val="both"/>
      </w:pPr>
      <w:r>
        <w:rPr>
          <w:rFonts w:ascii="仿宋_GB2312" w:eastAsia="仿宋_GB2312" w:hAnsi="仿宋_GB2312"/>
          <w:sz w:val="24"/>
        </w:rPr>
        <w:lastRenderedPageBreak/>
        <w:t>阶段目标一：形成一套能被重复执行的样本采集、编号、理化标注与数据录入模板。</w:t>
      </w:r>
    </w:p>
    <w:p w14:paraId="04D5D2AD" w14:textId="77777777" w:rsidR="00FA539A" w:rsidRDefault="00EF778F">
      <w:pPr>
        <w:pStyle w:val="a0"/>
        <w:ind w:firstLine="0"/>
        <w:jc w:val="both"/>
      </w:pPr>
      <w:r>
        <w:rPr>
          <w:rFonts w:ascii="仿宋_GB2312" w:eastAsia="仿宋_GB2312" w:hAnsi="仿宋_GB2312"/>
          <w:sz w:val="24"/>
        </w:rPr>
        <w:t>阶段目标二：把等级识别、产地溯源、异常提醒和报告输出稳定集成到平台流程中。</w:t>
      </w:r>
    </w:p>
    <w:p w14:paraId="19FFE3F5" w14:textId="77777777" w:rsidR="00FA539A" w:rsidRDefault="00EF778F">
      <w:pPr>
        <w:pStyle w:val="a0"/>
        <w:ind w:firstLine="0"/>
        <w:jc w:val="both"/>
      </w:pPr>
      <w:r>
        <w:rPr>
          <w:rFonts w:ascii="仿宋_GB2312" w:eastAsia="仿宋_GB2312" w:hAnsi="仿宋_GB2312"/>
          <w:sz w:val="24"/>
        </w:rPr>
        <w:t>阶段目标三：形成批量上传分析、移动端查询、历史档案管理和报告导出的完整产品闭环。</w:t>
      </w:r>
    </w:p>
    <w:p w14:paraId="08D8EED2" w14:textId="77777777" w:rsidR="00FA539A" w:rsidRDefault="00EF778F">
      <w:pPr>
        <w:pStyle w:val="a0"/>
        <w:ind w:firstLine="0"/>
        <w:jc w:val="both"/>
      </w:pPr>
      <w:r>
        <w:rPr>
          <w:rFonts w:ascii="仿宋_GB2312" w:eastAsia="仿宋_GB2312" w:hAnsi="仿宋_GB2312"/>
          <w:sz w:val="24"/>
        </w:rPr>
        <w:t>阶段目标四：围绕澄迈福橙、琼中绿橙等对象形成可展示、可验证、可复制的应用案例。</w:t>
      </w:r>
    </w:p>
    <w:p w14:paraId="054EA657" w14:textId="77777777" w:rsidR="00FA539A" w:rsidRDefault="00EF778F">
      <w:pPr>
        <w:pStyle w:val="a0"/>
        <w:ind w:firstLine="0"/>
        <w:jc w:val="both"/>
      </w:pPr>
      <w:r>
        <w:rPr>
          <w:rFonts w:ascii="仿宋_GB2312" w:eastAsia="仿宋_GB2312" w:hAnsi="仿宋_GB2312"/>
          <w:sz w:val="24"/>
        </w:rPr>
        <w:t>阶段目标五：在试点阶段把分析时长稳定控制在秒级，并形成产地识别准确率 95% 以上、糖度预测误差控制在 ±0.5 以内的目标指标体系。</w:t>
      </w:r>
    </w:p>
    <w:p w14:paraId="355005FD" w14:textId="77777777" w:rsidR="00FA539A" w:rsidRDefault="00FA539A">
      <w:pPr>
        <w:sectPr w:rsidR="00FA539A">
          <w:pgSz w:w="11906" w:h="16838"/>
          <w:pgMar w:top="1440" w:right="1797" w:bottom="1440" w:left="1797" w:header="850" w:footer="992" w:gutter="0"/>
          <w:cols w:space="720"/>
          <w:docGrid w:linePitch="360"/>
        </w:sectPr>
      </w:pPr>
    </w:p>
    <w:p w14:paraId="5A027F18" w14:textId="77777777" w:rsidR="00FA539A" w:rsidRDefault="00EF778F">
      <w:pPr>
        <w:pStyle w:val="1"/>
      </w:pPr>
      <w:bookmarkStart w:id="5" w:name="_Toc226471244"/>
      <w:r>
        <w:rPr>
          <w:rFonts w:ascii="黑体" w:eastAsia="黑体" w:hAnsi="黑体"/>
        </w:rPr>
        <w:lastRenderedPageBreak/>
        <w:t>第二章：产品效益</w:t>
      </w:r>
      <w:bookmarkEnd w:id="5"/>
    </w:p>
    <w:p w14:paraId="2CD2A0CC" w14:textId="77777777" w:rsidR="00FA539A" w:rsidRDefault="00EF778F">
      <w:pPr>
        <w:pStyle w:val="21"/>
      </w:pPr>
      <w:bookmarkStart w:id="6" w:name="_Toc226471245"/>
      <w:r>
        <w:rPr>
          <w:rFonts w:ascii="黑体" w:eastAsia="黑体" w:hAnsi="黑体"/>
        </w:rPr>
        <w:t>2.1 社会效益</w:t>
      </w:r>
      <w:bookmarkEnd w:id="6"/>
    </w:p>
    <w:p w14:paraId="276F8D39" w14:textId="77777777" w:rsidR="00FA539A" w:rsidRDefault="00EF778F">
      <w:pPr>
        <w:jc w:val="both"/>
      </w:pPr>
      <w:r>
        <w:rPr>
          <w:rFonts w:ascii="宋体" w:hAnsi="宋体"/>
        </w:rPr>
        <w:t>橙源智鉴接入后，采样登记、文件上传、等级识别、产地判断、结果留档和报告输出被压缩进同一条流程。采样人员登记批次，分选中心上传 HDR、RAW、CSV 文件，系统在秒级给出等级结论、产地判断和异常提示，结果同步进入历史档案。原先分散在纸质表单、聊天记录和人工经验里的信息，被固定成可查询、可复核、可导出的批次记录。</w:t>
      </w:r>
    </w:p>
    <w:p w14:paraId="7D8998BF" w14:textId="77777777" w:rsidR="00FA539A" w:rsidRDefault="00EF778F">
      <w:pPr>
        <w:jc w:val="both"/>
      </w:pPr>
      <w:r>
        <w:rPr>
          <w:rFonts w:ascii="宋体" w:hAnsi="宋体"/>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22B5DDCF" w14:textId="77777777" w:rsidR="00FA539A" w:rsidRDefault="00EF778F">
      <w:pPr>
        <w:jc w:val="both"/>
      </w:pPr>
      <w:r>
        <w:rPr>
          <w:rFonts w:ascii="宋体" w:hAnsi="宋体"/>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360B22F2" w14:textId="77777777" w:rsidR="00FA539A" w:rsidRDefault="00EF778F">
      <w:pPr>
        <w:jc w:val="both"/>
      </w:pPr>
      <w:r>
        <w:rPr>
          <w:rFonts w:ascii="宋体" w:hAnsi="宋体"/>
        </w:rPr>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64486219" w14:textId="77777777" w:rsidR="00FA539A" w:rsidRDefault="00EF778F">
      <w:pPr>
        <w:pStyle w:val="21"/>
      </w:pPr>
      <w:bookmarkStart w:id="7" w:name="_Toc226471246"/>
      <w:r>
        <w:rPr>
          <w:rFonts w:ascii="黑体" w:eastAsia="黑体" w:hAnsi="黑体"/>
        </w:rPr>
        <w:lastRenderedPageBreak/>
        <w:t>2.2 经济效益</w:t>
      </w:r>
      <w:bookmarkEnd w:id="7"/>
    </w:p>
    <w:p w14:paraId="47E83E29" w14:textId="77777777" w:rsidR="00FA539A" w:rsidRDefault="00EF778F">
      <w:pPr>
        <w:jc w:val="both"/>
      </w:pPr>
      <w:r>
        <w:rPr>
          <w:rFonts w:ascii="宋体" w:hAnsi="宋体"/>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33A58602" w14:textId="77777777" w:rsidR="00FA539A" w:rsidRDefault="00EF778F">
      <w:pPr>
        <w:jc w:val="both"/>
      </w:pPr>
      <w:r>
        <w:rPr>
          <w:rFonts w:ascii="宋体" w:hAnsi="宋体"/>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7012CFC4" w14:textId="77777777" w:rsidR="00FA539A" w:rsidRDefault="00EF778F">
      <w:pPr>
        <w:jc w:val="both"/>
      </w:pPr>
      <w:r>
        <w:rPr>
          <w:rFonts w:ascii="宋体" w:hAnsi="宋体"/>
        </w:rPr>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1CB998A1" w14:textId="77777777" w:rsidR="00FA539A" w:rsidRDefault="00EF778F">
      <w:pPr>
        <w:jc w:val="both"/>
      </w:pPr>
      <w:r>
        <w:rPr>
          <w:rFonts w:ascii="宋体" w:hAnsi="宋体"/>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172106DF" w14:textId="77777777" w:rsidR="00FA539A" w:rsidRDefault="00EF778F">
      <w:pPr>
        <w:pStyle w:val="21"/>
      </w:pPr>
      <w:bookmarkStart w:id="8" w:name="_Toc226471247"/>
      <w:r>
        <w:rPr>
          <w:rFonts w:ascii="黑体" w:eastAsia="黑体" w:hAnsi="黑体"/>
        </w:rPr>
        <w:t>2.3 教育引领</w:t>
      </w:r>
      <w:bookmarkEnd w:id="8"/>
    </w:p>
    <w:p w14:paraId="69115D32" w14:textId="77777777" w:rsidR="00FA539A" w:rsidRDefault="00EF778F">
      <w:pPr>
        <w:jc w:val="both"/>
      </w:pPr>
      <w:r>
        <w:rPr>
          <w:rFonts w:ascii="宋体" w:hAnsi="宋体"/>
        </w:rPr>
        <w:t>项目对团队的价值，不在于做了多少展示页面，而在于把一套农业智能分析产品真正做了出来。样本怎么采、标签怎么标、结果</w:t>
      </w:r>
      <w:r>
        <w:rPr>
          <w:rFonts w:ascii="宋体" w:hAnsi="宋体"/>
        </w:rPr>
        <w:lastRenderedPageBreak/>
        <w:t>怎么出、报告怎么交付、客户怎么使用，这些问题都要在同一个项目里被解决，团队因此能够完整经历从研发到落地的全过程。</w:t>
      </w:r>
    </w:p>
    <w:p w14:paraId="5A312C3E" w14:textId="77777777" w:rsidR="00FA539A" w:rsidRDefault="00EF778F">
      <w:pPr>
        <w:jc w:val="both"/>
      </w:pPr>
      <w:r>
        <w:rPr>
          <w:rFonts w:ascii="宋体" w:hAnsi="宋体"/>
        </w:rPr>
        <w:t>围绕澄迈福橙、琼中绿橙等区域品牌形成案例后，项目还能为海南本地高校参与热带特色农业数字化建设提供现成样板。它不是停留在论文或课堂实验里的成果，而是已经能进入真实业务场景、接受现场反馈并继续迭代的成品。</w:t>
      </w:r>
    </w:p>
    <w:p w14:paraId="2B7B21A3" w14:textId="77777777" w:rsidR="00FA539A" w:rsidRDefault="00EF778F">
      <w:pPr>
        <w:jc w:val="both"/>
      </w:pPr>
      <w:r>
        <w:rPr>
          <w:rFonts w:ascii="宋体" w:hAnsi="宋体"/>
        </w:rPr>
        <w:t>对高校创新项目而言，最有价值的是把技术能力转成可交付成果。橙源智鉴已经把算法结果、历史档案和标准报告统一到同一套产品逻辑中，后续无论是竞赛答辩、试点合作还是校地协同，都有现成成果可以直接使用。</w:t>
      </w:r>
    </w:p>
    <w:p w14:paraId="2DC63F43" w14:textId="77777777" w:rsidR="00FA539A" w:rsidRDefault="00EF778F">
      <w:pPr>
        <w:jc w:val="both"/>
      </w:pPr>
      <w:r>
        <w:rPr>
          <w:rFonts w:ascii="宋体" w:hAnsi="宋体"/>
        </w:rPr>
        <w:t>这种训练真正锻炼的，是把技术做成产品、把产品做进场景的能力。团队成员以后面对科研转化、工程开发或产业合作时，不会只停留在“模型做出来了”，而会更清楚交付边界、现场问题和持续迭代应该怎么处理。</w:t>
      </w:r>
    </w:p>
    <w:p w14:paraId="2975A709" w14:textId="77777777" w:rsidR="00FA539A" w:rsidRDefault="00FA539A">
      <w:pPr>
        <w:sectPr w:rsidR="00FA539A">
          <w:pgSz w:w="11906" w:h="16838"/>
          <w:pgMar w:top="1440" w:right="1797" w:bottom="1440" w:left="1797" w:header="850" w:footer="992" w:gutter="0"/>
          <w:cols w:space="720"/>
          <w:docGrid w:linePitch="360"/>
        </w:sectPr>
      </w:pPr>
    </w:p>
    <w:p w14:paraId="2195D8DE" w14:textId="77777777" w:rsidR="00FA539A" w:rsidRDefault="00EF778F">
      <w:pPr>
        <w:pStyle w:val="1"/>
      </w:pPr>
      <w:bookmarkStart w:id="9" w:name="_Toc226471248"/>
      <w:r>
        <w:rPr>
          <w:rFonts w:ascii="黑体" w:eastAsia="黑体" w:hAnsi="黑体"/>
        </w:rPr>
        <w:lastRenderedPageBreak/>
        <w:t>第三章：可行性分析</w:t>
      </w:r>
      <w:bookmarkEnd w:id="9"/>
    </w:p>
    <w:p w14:paraId="0CAD72E6" w14:textId="77777777" w:rsidR="00FA539A" w:rsidRDefault="00EF778F">
      <w:pPr>
        <w:pStyle w:val="21"/>
      </w:pPr>
      <w:bookmarkStart w:id="10" w:name="_Toc226471249"/>
      <w:r>
        <w:rPr>
          <w:rFonts w:ascii="黑体" w:eastAsia="黑体" w:hAnsi="黑体"/>
        </w:rPr>
        <w:t>3.1 市场可行性</w:t>
      </w:r>
      <w:bookmarkEnd w:id="10"/>
    </w:p>
    <w:p w14:paraId="751DA882" w14:textId="77777777" w:rsidR="00FA539A" w:rsidRDefault="00EF778F">
      <w:pPr>
        <w:jc w:val="both"/>
      </w:pPr>
      <w:r>
        <w:rPr>
          <w:rFonts w:ascii="宋体" w:hAnsi="宋体"/>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0DD683F5" w14:textId="77777777" w:rsidR="00FA539A" w:rsidRDefault="00EF778F">
      <w:pPr>
        <w:jc w:val="both"/>
      </w:pPr>
      <w:r>
        <w:rPr>
          <w:rFonts w:ascii="宋体" w:hAnsi="宋体"/>
        </w:rPr>
        <w:t>澄迈福橙、琼中绿橙等区域品牌果品很适合作为首发场景。它们既有品牌溢价需求，也有产地证明需求，还需要在礼盒、电商和渠道采购中把批次结果讲清楚。项目用现有平台和报告模板切入这类对象，进入路径比泛泛铺向全部水果更清晰。</w:t>
      </w:r>
    </w:p>
    <w:p w14:paraId="799103E0" w14:textId="77777777" w:rsidR="00FA539A" w:rsidRDefault="00EF778F">
      <w:pPr>
        <w:jc w:val="both"/>
      </w:pPr>
      <w:r>
        <w:rPr>
          <w:rFonts w:ascii="宋体" w:hAnsi="宋体"/>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4B4E9937" w14:textId="77777777" w:rsidR="00FA539A" w:rsidRDefault="00EF778F">
      <w:pPr>
        <w:jc w:val="both"/>
      </w:pPr>
      <w:r>
        <w:rPr>
          <w:rFonts w:ascii="宋体" w:hAnsi="宋体"/>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2158C21A" w14:textId="77777777" w:rsidR="00FA539A" w:rsidRDefault="00EF778F">
      <w:pPr>
        <w:pStyle w:val="21"/>
      </w:pPr>
      <w:bookmarkStart w:id="11" w:name="_Toc226471250"/>
      <w:r>
        <w:rPr>
          <w:rFonts w:ascii="黑体" w:eastAsia="黑体" w:hAnsi="黑体"/>
        </w:rPr>
        <w:t>3.2 技术可行性</w:t>
      </w:r>
      <w:bookmarkEnd w:id="11"/>
    </w:p>
    <w:p w14:paraId="651B213B" w14:textId="77777777" w:rsidR="00FA539A" w:rsidRDefault="00EF778F">
      <w:pPr>
        <w:jc w:val="both"/>
      </w:pPr>
      <w:r>
        <w:rPr>
          <w:rFonts w:ascii="宋体" w:hAnsi="宋体"/>
        </w:rPr>
        <w:t xml:space="preserve">项目已经把高光谱文件接入、等级识别、产地溯源、指标估计、异常提示和报告输出连成一条技术链路。高光谱负责提供连续波段信息，分类模型负责产地识别和等级判断，回归模型负责 SSC、TA </w:t>
      </w:r>
      <w:r>
        <w:rPr>
          <w:rFonts w:ascii="宋体" w:hAnsi="宋体"/>
        </w:rPr>
        <w:lastRenderedPageBreak/>
        <w:t>等指标预测，可解释模块负责说明判断依据，各环节分工清楚，任务衔接顺畅。</w:t>
      </w:r>
    </w:p>
    <w:p w14:paraId="5CD6C0B4" w14:textId="77777777" w:rsidR="00FA539A" w:rsidRDefault="00EF778F">
      <w:pPr>
        <w:jc w:val="both"/>
      </w:pPr>
      <w:r>
        <w:rPr>
          <w:rFonts w:ascii="宋体" w:hAnsi="宋体"/>
        </w:rPr>
        <w:t>平台已经完成首页、大屏、分析页、模型页、历史页以及移动端上传、登记、查询和回看功能，能够完整演示“文件上传 - 智能分析 - 结果查看 - 报告导出”的业务链路；系统支持 HDR、RAW、CSV 三类文件上传，联动 10 组化验样本、100 个连续波段点位，并可展示澄迈福橙与琼中绿橙的对比分析。</w:t>
      </w:r>
    </w:p>
    <w:p w14:paraId="35ABA54A" w14:textId="77777777" w:rsidR="00FA539A" w:rsidRDefault="00EF778F">
      <w:pPr>
        <w:jc w:val="both"/>
      </w:pPr>
      <w:r>
        <w:rPr>
          <w:rFonts w:ascii="宋体" w:hAnsi="宋体"/>
        </w:rPr>
        <w:t>现阶段剩余工作集中在样本扩充、季节补样、标签精度提升和跨批次稳定性优化，属于在既有框架上的持续打磨，不需要推翻路线重来。样本规模一旦继续扩大，模型泛化能力、报告稳定性和平台体验都能在现有架构内顺势提升。</w:t>
      </w:r>
    </w:p>
    <w:p w14:paraId="14F0D0F1" w14:textId="77777777" w:rsidR="00FA539A" w:rsidRDefault="00EF778F">
      <w:pPr>
        <w:jc w:val="both"/>
      </w:pPr>
      <w:r>
        <w:rPr>
          <w:rFonts w:ascii="宋体" w:hAnsi="宋体"/>
        </w:rPr>
        <w:t>这意味着项目当前面对的不是“能不能做出来”的问题，而是“把现有成品做得更稳、更广、更能经受试点”的问题。对于竞赛项目和后续落地来说，这种阶段状态更有说服力。</w:t>
      </w:r>
    </w:p>
    <w:p w14:paraId="758C64D8" w14:textId="77777777" w:rsidR="00FA539A" w:rsidRDefault="00EF778F">
      <w:pPr>
        <w:pStyle w:val="21"/>
      </w:pPr>
      <w:bookmarkStart w:id="12" w:name="_Toc226471251"/>
      <w:r>
        <w:rPr>
          <w:rFonts w:ascii="黑体" w:eastAsia="黑体" w:hAnsi="黑体"/>
        </w:rPr>
        <w:t>3.3 经济可行性</w:t>
      </w:r>
      <w:bookmarkEnd w:id="12"/>
    </w:p>
    <w:p w14:paraId="2605B49F" w14:textId="77777777" w:rsidR="00FA539A" w:rsidRDefault="00EF778F">
      <w:pPr>
        <w:jc w:val="both"/>
      </w:pPr>
      <w:r>
        <w:rPr>
          <w:rFonts w:ascii="宋体" w:hAnsi="宋体"/>
        </w:rPr>
        <w:t>项目早期投入集中在样本采集、理化标定、模型训练、云服务器和平台维护上，投入项清晰，资金方向也比较集中。现阶段不需要先建设重资产硬件体系，团队可以把有限资源优先投到样本质量、模型表现和产品稳定性上。</w:t>
      </w:r>
    </w:p>
    <w:p w14:paraId="43EEFEDE" w14:textId="77777777" w:rsidR="00FA539A" w:rsidRDefault="00EF778F">
      <w:pPr>
        <w:jc w:val="both"/>
      </w:pPr>
      <w:r>
        <w:rPr>
          <w:rFonts w:ascii="宋体" w:hAnsi="宋体"/>
        </w:rPr>
        <w:t>收入端已经与交付内容形成对应关系：批次文件分析服务对应分选和验货场景，年度账号服务对应长期使用客户，溯源报告和定制模型服务对应区域品牌和重点合作方。商业化推进顺序可以按照</w:t>
      </w:r>
      <w:r>
        <w:rPr>
          <w:rFonts w:ascii="宋体" w:hAnsi="宋体"/>
        </w:rPr>
        <w:lastRenderedPageBreak/>
        <w:t>分析服务、年度订阅和区域共建依次展开，使现金流和交付能力同步增长。</w:t>
      </w:r>
    </w:p>
    <w:p w14:paraId="42B472F3" w14:textId="77777777" w:rsidR="00FA539A" w:rsidRDefault="00EF778F">
      <w:pPr>
        <w:jc w:val="both"/>
      </w:pPr>
      <w:r>
        <w:rPr>
          <w:rFonts w:ascii="宋体" w:hAnsi="宋体"/>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1FAAA820" w14:textId="77777777" w:rsidR="00FA539A" w:rsidRDefault="00EF778F">
      <w:pPr>
        <w:pStyle w:val="21"/>
      </w:pPr>
      <w:bookmarkStart w:id="13" w:name="_Toc226471252"/>
      <w:r>
        <w:rPr>
          <w:rFonts w:ascii="黑体" w:eastAsia="黑体" w:hAnsi="黑体"/>
        </w:rPr>
        <w:t>3.4 运营可行性</w:t>
      </w:r>
      <w:bookmarkEnd w:id="13"/>
    </w:p>
    <w:p w14:paraId="710090EA" w14:textId="77777777" w:rsidR="00FA539A" w:rsidRDefault="00EF778F">
      <w:pPr>
        <w:jc w:val="both"/>
      </w:pPr>
      <w:r>
        <w:rPr>
          <w:rFonts w:ascii="宋体" w:hAnsi="宋体"/>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3DC4512D" w14:textId="77777777" w:rsidR="00FA539A" w:rsidRDefault="00EF778F">
      <w:pPr>
        <w:jc w:val="both"/>
      </w:pPr>
      <w:r>
        <w:rPr>
          <w:rFonts w:ascii="宋体" w:hAnsi="宋体"/>
        </w:rPr>
        <w:t>项目推进路径可以按成品展示、试点验证、标准沉淀和区域复制四个阶段连续展开。现有平台已经具备演示与试用条件，合作方可以直接体验上传、分析、查询和回溯流程，团队不需要再为试点临时拼接工具，而是可以直接围绕现有产品组织样本、安排交付和形成复盘。</w:t>
      </w:r>
    </w:p>
    <w:p w14:paraId="2F6B020B" w14:textId="77777777" w:rsidR="00FA539A" w:rsidRDefault="00EF778F">
      <w:pPr>
        <w:jc w:val="both"/>
      </w:pPr>
      <w:r>
        <w:rPr>
          <w:rFonts w:ascii="宋体" w:hAnsi="宋体"/>
        </w:rPr>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373A198B" w14:textId="77777777" w:rsidR="00FA539A" w:rsidRDefault="00EF778F">
      <w:pPr>
        <w:jc w:val="both"/>
      </w:pPr>
      <w:r>
        <w:rPr>
          <w:rFonts w:ascii="宋体" w:hAnsi="宋体"/>
        </w:rPr>
        <w:t>更重要的是，项目完全可以按小范围样板先行的方式推进。先把少量区域对象做透，把文件标准、报告模板和交付节奏稳定下来，</w:t>
      </w:r>
      <w:r>
        <w:rPr>
          <w:rFonts w:ascii="宋体" w:hAnsi="宋体"/>
        </w:rPr>
        <w:lastRenderedPageBreak/>
        <w:t>再逐步扩大服务面，比一开始追求大范围铺开更符合团队当前阶段，也更有利于把试点真正做成可复制经验。</w:t>
      </w:r>
    </w:p>
    <w:p w14:paraId="4AF2B027" w14:textId="77777777" w:rsidR="00FA539A" w:rsidRDefault="00FA539A">
      <w:pPr>
        <w:sectPr w:rsidR="00FA539A">
          <w:pgSz w:w="11906" w:h="16838"/>
          <w:pgMar w:top="1440" w:right="1797" w:bottom="1440" w:left="1797" w:header="850" w:footer="992" w:gutter="0"/>
          <w:cols w:space="720"/>
          <w:docGrid w:linePitch="360"/>
        </w:sectPr>
      </w:pPr>
    </w:p>
    <w:p w14:paraId="5B5CAD05" w14:textId="77777777" w:rsidR="00FA539A" w:rsidRDefault="00EF778F">
      <w:pPr>
        <w:pStyle w:val="1"/>
      </w:pPr>
      <w:bookmarkStart w:id="14" w:name="_Toc226471253"/>
      <w:r>
        <w:rPr>
          <w:rFonts w:ascii="黑体" w:eastAsia="黑体" w:hAnsi="黑体"/>
        </w:rPr>
        <w:lastRenderedPageBreak/>
        <w:t>第四章：市场优势</w:t>
      </w:r>
      <w:bookmarkEnd w:id="14"/>
    </w:p>
    <w:p w14:paraId="0D668564" w14:textId="77777777" w:rsidR="00FA539A" w:rsidRDefault="00EF778F">
      <w:pPr>
        <w:pStyle w:val="21"/>
      </w:pPr>
      <w:bookmarkStart w:id="15" w:name="_Toc226471254"/>
      <w:r>
        <w:rPr>
          <w:rFonts w:ascii="黑体" w:eastAsia="黑体" w:hAnsi="黑体"/>
        </w:rPr>
        <w:t>4.1 检测市场分析</w:t>
      </w:r>
      <w:bookmarkEnd w:id="15"/>
    </w:p>
    <w:p w14:paraId="3118085F" w14:textId="77777777" w:rsidR="00FA539A" w:rsidRDefault="00EF778F">
      <w:pPr>
        <w:jc w:val="both"/>
      </w:pPr>
      <w:r>
        <w:rPr>
          <w:rFonts w:ascii="宋体" w:hAnsi="宋体"/>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02060373" w14:textId="77777777" w:rsidR="00FA539A" w:rsidRDefault="00EF778F">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4B74E826" w14:textId="77777777" w:rsidR="00FA539A" w:rsidRDefault="00EF778F">
      <w:pPr>
        <w:pStyle w:val="21"/>
      </w:pPr>
      <w:bookmarkStart w:id="16" w:name="_Toc226471255"/>
      <w:r>
        <w:rPr>
          <w:rFonts w:ascii="黑体" w:eastAsia="黑体" w:hAnsi="黑体"/>
        </w:rPr>
        <w:lastRenderedPageBreak/>
        <w:t>4.2 行业痛点与需求结构</w:t>
      </w:r>
      <w:bookmarkEnd w:id="16"/>
    </w:p>
    <w:p w14:paraId="5EFAD990" w14:textId="77777777" w:rsidR="00FA539A" w:rsidRDefault="00EF778F">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8794865" w14:textId="77777777" w:rsidR="00FA539A" w:rsidRDefault="00EF778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3FDB37CA" w14:textId="77777777" w:rsidR="00FA539A" w:rsidRDefault="00EF778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71256"/>
      <w:r>
        <w:rPr>
          <w:rFonts w:ascii="黑体" w:eastAsia="黑体" w:hAnsi="黑体"/>
        </w:rPr>
        <w:t>4.3 用户分析</w:t>
      </w:r>
      <w:bookmarkEnd w:id="17"/>
    </w:p>
    <w:p w14:paraId="6104F18E" w14:textId="77777777" w:rsidR="00FA539A" w:rsidRDefault="00EF778F">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15B3B65F" w14:textId="77777777" w:rsidR="00FA539A" w:rsidRDefault="00EF778F">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w:t>
      </w:r>
      <w:r>
        <w:rPr>
          <w:rFonts w:ascii="宋体" w:hAnsi="宋体"/>
        </w:rPr>
        <w:lastRenderedPageBreak/>
        <w:t>能依赖更高。项目如果能够把批次结果做成标准化说明材料，这组用户的付费意愿会更强。</w:t>
      </w:r>
    </w:p>
    <w:p w14:paraId="2A680F90" w14:textId="77777777" w:rsidR="00FA539A" w:rsidRDefault="00EF778F">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60650138" w14:textId="77777777" w:rsidR="00FA539A" w:rsidRDefault="00EF778F">
      <w:pPr>
        <w:pStyle w:val="21"/>
      </w:pPr>
      <w:bookmarkStart w:id="18" w:name="_Toc226471257"/>
      <w:r>
        <w:rPr>
          <w:rFonts w:ascii="黑体" w:eastAsia="黑体" w:hAnsi="黑体"/>
        </w:rPr>
        <w:t>4.4 竞争分析</w:t>
      </w:r>
      <w:bookmarkEnd w:id="18"/>
    </w:p>
    <w:p w14:paraId="1DECBDF4" w14:textId="77777777" w:rsidR="00FA539A" w:rsidRDefault="00EF778F">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t>真正能拉开差距的，是样本、报告和历史档案的持续积累。样本越多、报告越多、案例越多，平台后续给出的结果就越稳定，合</w:t>
      </w:r>
      <w:r>
        <w:rPr>
          <w:rFonts w:ascii="宋体" w:hAnsi="宋体"/>
        </w:rPr>
        <w:lastRenderedPageBreak/>
        <w:t>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71258"/>
      <w:r>
        <w:rPr>
          <w:rFonts w:ascii="黑体" w:eastAsia="黑体" w:hAnsi="黑体"/>
        </w:rPr>
        <w:lastRenderedPageBreak/>
        <w:t>第五章：技术策略</w:t>
      </w:r>
      <w:bookmarkEnd w:id="19"/>
    </w:p>
    <w:p w14:paraId="75A9681A" w14:textId="77777777" w:rsidR="00FA539A" w:rsidRDefault="00EF778F">
      <w:pPr>
        <w:pStyle w:val="21"/>
      </w:pPr>
      <w:bookmarkStart w:id="20" w:name="_Toc226471259"/>
      <w:r>
        <w:rPr>
          <w:rFonts w:ascii="黑体" w:eastAsia="黑体" w:hAnsi="黑体"/>
        </w:rPr>
        <w:t>5.1 总体技术路线</w:t>
      </w:r>
      <w:bookmarkEnd w:id="20"/>
    </w:p>
    <w:p w14:paraId="7F0BA780" w14:textId="77777777" w:rsidR="00FA539A" w:rsidRDefault="00EF778F">
      <w:pPr>
        <w:jc w:val="both"/>
      </w:pPr>
      <w:r>
        <w:rPr>
          <w:rFonts w:ascii="宋体" w:hAnsi="宋体"/>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2F7C2D3" w14:textId="77777777" w:rsidR="00FA539A" w:rsidRDefault="00EF778F">
      <w:pPr>
        <w:jc w:val="both"/>
      </w:pPr>
      <w:r>
        <w:rPr>
          <w:rFonts w:ascii="宋体" w:hAnsi="宋体"/>
        </w:rPr>
        <w:lastRenderedPageBreak/>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71260"/>
      <w:r>
        <w:rPr>
          <w:rFonts w:ascii="黑体" w:eastAsia="黑体" w:hAnsi="黑体"/>
        </w:rPr>
        <w:t>5.2 实验设计与标准化流程</w:t>
      </w:r>
      <w:bookmarkEnd w:id="21"/>
    </w:p>
    <w:p w14:paraId="0894FCA3" w14:textId="77777777" w:rsidR="00FA539A" w:rsidRDefault="00EF778F">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71261"/>
      <w:r>
        <w:rPr>
          <w:rFonts w:ascii="黑体" w:eastAsia="黑体" w:hAnsi="黑体"/>
        </w:rPr>
        <w:t>5.3 核心算法与模型策略</w:t>
      </w:r>
      <w:bookmarkEnd w:id="22"/>
    </w:p>
    <w:p w14:paraId="454A1EF7" w14:textId="77777777" w:rsidR="00FA539A" w:rsidRDefault="00EF778F">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w:t>
      </w:r>
      <w:r>
        <w:rPr>
          <w:rFonts w:ascii="宋体" w:hAnsi="宋体"/>
        </w:rPr>
        <w:lastRenderedPageBreak/>
        <w:t>能力，因此可先以可解释性较强的基线模型建立参照，再逐步引入 1D-CNN 等模型提升分类能力。当前系统已能够将“产地置信度 98.5%”等结论与页面、报告和样本曲线联动呈现。</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71262"/>
      <w:r>
        <w:rPr>
          <w:rFonts w:ascii="黑体" w:eastAsia="黑体" w:hAnsi="黑体"/>
        </w:rPr>
        <w:t>5.4 光谱机理与特征指纹</w:t>
      </w:r>
      <w:bookmarkEnd w:id="23"/>
    </w:p>
    <w:p w14:paraId="46975B05" w14:textId="77777777" w:rsidR="00FA539A" w:rsidRDefault="00EF778F">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78B9E77" w14:textId="77777777" w:rsidR="00FA539A" w:rsidRDefault="00EF778F">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w:t>
      </w:r>
      <w:r>
        <w:rPr>
          <w:rFonts w:ascii="宋体" w:hAnsi="宋体"/>
        </w:rPr>
        <w:lastRenderedPageBreak/>
        <w:t>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71263"/>
      <w:r>
        <w:rPr>
          <w:rFonts w:ascii="黑体" w:eastAsia="黑体" w:hAnsi="黑体"/>
        </w:rPr>
        <w:lastRenderedPageBreak/>
        <w:t>第六章：产品策略</w:t>
      </w:r>
      <w:bookmarkEnd w:id="24"/>
    </w:p>
    <w:p w14:paraId="4DC244AC" w14:textId="77777777" w:rsidR="00FA539A" w:rsidRDefault="00EF778F">
      <w:pPr>
        <w:pStyle w:val="21"/>
      </w:pPr>
      <w:bookmarkStart w:id="25" w:name="_Toc226471264"/>
      <w:r>
        <w:rPr>
          <w:rFonts w:ascii="黑体" w:eastAsia="黑体" w:hAnsi="黑体"/>
        </w:rPr>
        <w:t>6.1 产品定位与交付形态</w:t>
      </w:r>
      <w:bookmarkEnd w:id="25"/>
    </w:p>
    <w:p w14:paraId="30D1658F" w14:textId="77777777" w:rsidR="00FA539A" w:rsidRDefault="00EF778F">
      <w:pPr>
        <w:jc w:val="both"/>
      </w:pPr>
      <w:r>
        <w:rPr>
          <w:rFonts w:ascii="宋体" w:hAnsi="宋体"/>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71265"/>
      <w:r>
        <w:rPr>
          <w:rFonts w:ascii="黑体" w:eastAsia="黑体" w:hAnsi="黑体"/>
        </w:rPr>
        <w:t>6.2 产品分层与收费思路</w:t>
      </w:r>
      <w:bookmarkEnd w:id="26"/>
    </w:p>
    <w:p w14:paraId="248BEA34" w14:textId="77777777" w:rsidR="00FA539A" w:rsidRDefault="00EF778F">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26A48038" w14:textId="77777777" w:rsidR="00FA539A" w:rsidRDefault="00EF778F">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0FD7A815" w14:textId="77777777" w:rsidR="00FA539A" w:rsidRDefault="00EF778F">
      <w:pPr>
        <w:jc w:val="both"/>
      </w:pPr>
      <w:r>
        <w:rPr>
          <w:rFonts w:ascii="宋体" w:hAnsi="宋体"/>
        </w:rPr>
        <w:lastRenderedPageBreak/>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71266"/>
      <w:r>
        <w:rPr>
          <w:rFonts w:ascii="黑体" w:eastAsia="黑体" w:hAnsi="黑体"/>
        </w:rPr>
        <w:t>6.3 实施与交付策略</w:t>
      </w:r>
      <w:bookmarkEnd w:id="27"/>
    </w:p>
    <w:p w14:paraId="4A8E8D08" w14:textId="77777777" w:rsidR="00FA539A" w:rsidRDefault="00EF778F">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71267"/>
      <w:r>
        <w:rPr>
          <w:rFonts w:ascii="黑体" w:eastAsia="黑体" w:hAnsi="黑体"/>
        </w:rPr>
        <w:t>6.4 推广与销售模式</w:t>
      </w:r>
      <w:bookmarkEnd w:id="28"/>
    </w:p>
    <w:p w14:paraId="6FEC5D58" w14:textId="77777777" w:rsidR="00FA539A" w:rsidRDefault="00EF778F">
      <w:pPr>
        <w:jc w:val="both"/>
      </w:pPr>
      <w:r>
        <w:rPr>
          <w:rFonts w:ascii="宋体" w:hAnsi="宋体"/>
        </w:rPr>
        <w:t>推广与销售工作以标杆场景建设为主。澄迈福橙、琼中绿橙等对象兼具区域品牌属性和案例展示价值，适合作为项目早期推广的主要突破口。</w:t>
      </w:r>
    </w:p>
    <w:p w14:paraId="59C5E3D1" w14:textId="77777777" w:rsidR="00FA539A" w:rsidRDefault="00EF778F">
      <w:pPr>
        <w:jc w:val="both"/>
      </w:pPr>
      <w:r>
        <w:rPr>
          <w:rFonts w:ascii="宋体" w:hAnsi="宋体"/>
        </w:rPr>
        <w:lastRenderedPageBreak/>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71268"/>
      <w:r>
        <w:rPr>
          <w:rFonts w:ascii="黑体" w:eastAsia="黑体" w:hAnsi="黑体"/>
        </w:rPr>
        <w:lastRenderedPageBreak/>
        <w:t>第七章：运营策略</w:t>
      </w:r>
      <w:bookmarkEnd w:id="29"/>
    </w:p>
    <w:p w14:paraId="133E4BF0" w14:textId="77777777" w:rsidR="00FA539A" w:rsidRDefault="00EF778F">
      <w:pPr>
        <w:pStyle w:val="21"/>
      </w:pPr>
      <w:bookmarkStart w:id="30" w:name="_Toc226471269"/>
      <w:r>
        <w:rPr>
          <w:rFonts w:ascii="黑体" w:eastAsia="黑体" w:hAnsi="黑体"/>
        </w:rPr>
        <w:t>7.1 运营定位与目标</w:t>
      </w:r>
      <w:bookmarkEnd w:id="30"/>
    </w:p>
    <w:p w14:paraId="57F40503" w14:textId="77777777" w:rsidR="00FA539A" w:rsidRDefault="00EF778F">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71270"/>
      <w:r>
        <w:rPr>
          <w:rFonts w:ascii="黑体" w:eastAsia="黑体" w:hAnsi="黑体"/>
        </w:rPr>
        <w:t>7.2 阶段运营安排</w:t>
      </w:r>
      <w:bookmarkEnd w:id="31"/>
    </w:p>
    <w:p w14:paraId="1F1D843E" w14:textId="77777777" w:rsidR="00FA539A" w:rsidRDefault="00EF778F">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w:t>
      </w:r>
      <w:r>
        <w:rPr>
          <w:rFonts w:ascii="宋体" w:hAnsi="宋体"/>
        </w:rPr>
        <w:lastRenderedPageBreak/>
        <w:t>二阶段围绕基地分级、渠道验货和品牌说明三类场景开展批次验证，通过合作社、品牌方和渠道方的实际使用形成样板案例。</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71271"/>
      <w:r>
        <w:rPr>
          <w:rFonts w:ascii="黑体" w:eastAsia="黑体" w:hAnsi="黑体"/>
        </w:rPr>
        <w:t>7.3 核心运营模块</w:t>
      </w:r>
      <w:bookmarkEnd w:id="32"/>
    </w:p>
    <w:p w14:paraId="3A713669" w14:textId="77777777" w:rsidR="00FA539A" w:rsidRDefault="00EF778F">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24413E2D" w14:textId="77777777" w:rsidR="00FA539A" w:rsidRDefault="00EF778F">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lastRenderedPageBreak/>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77777777" w:rsidR="00FA539A" w:rsidRDefault="00EF778F">
      <w:pPr>
        <w:numPr>
          <w:ilvl w:val="0"/>
          <w:numId w:val="7"/>
        </w:numPr>
        <w:wordWrap w:val="0"/>
        <w:ind w:firstLine="0"/>
        <w:outlineLvl w:val="0"/>
        <w:rPr>
          <w:rFonts w:ascii="黑体" w:eastAsia="黑体" w:hAnsi="黑体" w:cs="黑体" w:hint="eastAsia"/>
          <w:bCs/>
          <w:kern w:val="44"/>
          <w:sz w:val="32"/>
          <w:szCs w:val="32"/>
        </w:rPr>
      </w:pPr>
      <w:bookmarkStart w:id="33" w:name="_Toc226471272"/>
      <w:r>
        <w:rPr>
          <w:rFonts w:ascii="黑体" w:eastAsia="黑体" w:hAnsi="黑体" w:cs="黑体" w:hint="eastAsia"/>
          <w:bCs/>
          <w:kern w:val="44"/>
          <w:sz w:val="32"/>
          <w:szCs w:val="32"/>
          <w:lang w:eastAsia="zh-CN"/>
        </w:rPr>
        <w:t>第八章：团队介绍</w:t>
      </w:r>
      <w:bookmarkEnd w:id="33"/>
    </w:p>
    <w:p w14:paraId="68AC4110" w14:textId="77777777" w:rsidR="00FA539A" w:rsidRDefault="00EF778F">
      <w:pPr>
        <w:wordWrap w:val="0"/>
        <w:ind w:firstLineChars="200"/>
        <w:jc w:val="both"/>
        <w:rPr>
          <w:rFonts w:ascii="宋体" w:hAnsi="宋体" w:cs="宋体" w:hint="eastAsia"/>
          <w:bCs/>
          <w:szCs w:val="28"/>
        </w:rPr>
      </w:pPr>
      <w:bookmarkStart w:id="34" w:name="_Toc13484"/>
      <w:r>
        <w:rPr>
          <w:rFonts w:ascii="宋体" w:hAnsi="宋体" w:cs="宋体" w:hint="eastAsia"/>
          <w:bCs/>
          <w:szCs w:val="28"/>
        </w:rPr>
        <w:t>本项目核心团队由海南师范大学跨学科成员组成，围绕高光谱成像、人工智能算法、农产品数字化分析、平台开发、市场运营与财务管理等关键方向协同推进，服务橙类产品等级识别、产地溯源、品质分析和报告输出等核心任务。团队成员具备较强的技术研发能力、工程落地能力和项目执行能力，并在多项国家级、省级科创竞赛中积累了丰富的开发与实战经验。</w:t>
      </w:r>
    </w:p>
    <w:p w14:paraId="3348E9FD"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pPr>
        <w:outlineLvl w:val="0"/>
        <w:rPr>
          <w:rFonts w:ascii="黑体" w:eastAsia="黑体" w:hAnsi="黑体" w:cs="黑体" w:hint="eastAsia"/>
          <w:sz w:val="30"/>
          <w:szCs w:val="28"/>
        </w:rPr>
      </w:pPr>
      <w:bookmarkStart w:id="35" w:name="_Toc5542"/>
      <w:bookmarkStart w:id="36" w:name="_Toc226471273"/>
      <w:r>
        <w:rPr>
          <w:rFonts w:ascii="黑体" w:eastAsia="黑体" w:hAnsi="黑体" w:cs="黑体"/>
          <w:sz w:val="30"/>
          <w:szCs w:val="28"/>
        </w:rPr>
        <w:t>8.1 团队组织架构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pPr>
        <w:autoSpaceDE w:val="0"/>
        <w:spacing w:after="0" w:line="300" w:lineRule="auto"/>
        <w:jc w:val="center"/>
        <w:rPr>
          <w:rFonts w:ascii="黑体" w:eastAsia="黑体" w:hAnsi="黑体" w:cs="黑体" w:hint="eastAsia"/>
          <w:b/>
          <w:bCs/>
          <w:sz w:val="20"/>
          <w:szCs w:val="20"/>
          <w:lang w:bidi="ar"/>
        </w:rPr>
      </w:pPr>
      <w:r>
        <w:rPr>
          <w:rFonts w:ascii="黑体" w:eastAsia="黑体" w:hAnsi="黑体" w:cs="黑体" w:hint="eastAsia"/>
          <w:b/>
          <w:bCs/>
          <w:sz w:val="20"/>
          <w:szCs w:val="20"/>
          <w:lang w:bidi="ar"/>
        </w:rPr>
        <w:t>图8-1 组织架构</w:t>
      </w:r>
    </w:p>
    <w:p w14:paraId="7BCD63DE" w14:textId="77777777" w:rsidR="00FA539A" w:rsidRDefault="00EF778F">
      <w:pPr>
        <w:outlineLvl w:val="1"/>
        <w:rPr>
          <w:rFonts w:ascii="黑体" w:eastAsia="黑体" w:hAnsi="黑体" w:cs="黑体" w:hint="eastAsia"/>
          <w:szCs w:val="28"/>
        </w:rPr>
      </w:pPr>
      <w:bookmarkStart w:id="37" w:name="_Toc588"/>
      <w:bookmarkStart w:id="38" w:name="_Toc226471274"/>
      <w:r>
        <w:rPr>
          <w:rFonts w:ascii="黑体" w:eastAsia="黑体" w:hAnsi="黑体" w:cs="黑体" w:hint="eastAsia"/>
          <w:szCs w:val="28"/>
        </w:rPr>
        <w:t>8.1.1 技术部</w:t>
      </w:r>
      <w:bookmarkEnd w:id="37"/>
      <w:bookmarkEnd w:id="38"/>
    </w:p>
    <w:p w14:paraId="117D24B3"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lastRenderedPageBreak/>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技术部成员均具备扎实的算法基础与工程实践能力，涵盖Python、C++、Java、Vue等多语言开发能力，熟悉前后端全栈开发、AI模型部署及高光谱数据处理等核心技术栈，是项目技术竞争力的核心支撑。</w:t>
      </w:r>
    </w:p>
    <w:p w14:paraId="55066C90" w14:textId="77777777" w:rsidR="00FA539A" w:rsidRDefault="00EF778F">
      <w:pPr>
        <w:outlineLvl w:val="1"/>
        <w:rPr>
          <w:rFonts w:ascii="黑体" w:eastAsia="黑体" w:hAnsi="黑体" w:cs="黑体" w:hint="eastAsia"/>
          <w:szCs w:val="28"/>
        </w:rPr>
      </w:pPr>
      <w:bookmarkStart w:id="39" w:name="_Toc26877"/>
      <w:bookmarkStart w:id="40" w:name="_Toc226471275"/>
      <w:r>
        <w:rPr>
          <w:rFonts w:ascii="黑体" w:eastAsia="黑体" w:hAnsi="黑体" w:cs="黑体" w:hint="eastAsia"/>
          <w:szCs w:val="28"/>
        </w:rPr>
        <w:t>8.1.2 市场营销部</w:t>
      </w:r>
      <w:bookmarkEnd w:id="39"/>
      <w:bookmarkEnd w:id="40"/>
    </w:p>
    <w:p w14:paraId="727FBBFB"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分析服务+报告交付”的商业转化链路。</w:t>
      </w:r>
    </w:p>
    <w:p w14:paraId="295B8D10" w14:textId="77777777" w:rsidR="00FA539A" w:rsidRDefault="00EF778F">
      <w:pPr>
        <w:outlineLvl w:val="1"/>
        <w:rPr>
          <w:rFonts w:ascii="黑体" w:eastAsia="黑体" w:hAnsi="黑体" w:cs="黑体" w:hint="eastAsia"/>
          <w:szCs w:val="28"/>
        </w:rPr>
      </w:pPr>
      <w:bookmarkStart w:id="41" w:name="_Toc29873"/>
      <w:bookmarkStart w:id="42" w:name="_Toc226471276"/>
      <w:r>
        <w:rPr>
          <w:rFonts w:ascii="黑体" w:eastAsia="黑体" w:hAnsi="黑体" w:cs="黑体" w:hint="eastAsia"/>
          <w:szCs w:val="28"/>
        </w:rPr>
        <w:t>8.1.3 财务部</w:t>
      </w:r>
      <w:bookmarkEnd w:id="41"/>
      <w:bookmarkEnd w:id="42"/>
    </w:p>
    <w:p w14:paraId="383F6279"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财务部统筹项目全生命周期的财务规划与资金管理，是项目稳健运营的重要保障。核心职责涵盖：编制样本采集、理化标定、模</w:t>
      </w:r>
      <w:r>
        <w:rPr>
          <w:rFonts w:ascii="宋体" w:hAnsi="宋体" w:cs="宋体" w:hint="eastAsia"/>
          <w:bCs/>
          <w:szCs w:val="28"/>
        </w:rPr>
        <w:lastRenderedPageBreak/>
        <w:t>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pPr>
        <w:outlineLvl w:val="1"/>
        <w:rPr>
          <w:rFonts w:ascii="黑体" w:eastAsia="黑体" w:hAnsi="黑体" w:cs="黑体" w:hint="eastAsia"/>
          <w:szCs w:val="28"/>
        </w:rPr>
      </w:pPr>
      <w:bookmarkStart w:id="43" w:name="_Toc31594"/>
      <w:bookmarkStart w:id="44" w:name="_Toc226471277"/>
      <w:r>
        <w:rPr>
          <w:rFonts w:ascii="黑体" w:eastAsia="黑体" w:hAnsi="黑体" w:cs="黑体" w:hint="eastAsia"/>
          <w:szCs w:val="28"/>
        </w:rPr>
        <w:t>8.1.4 行政部</w:t>
      </w:r>
      <w:bookmarkEnd w:id="43"/>
      <w:bookmarkEnd w:id="44"/>
    </w:p>
    <w:p w14:paraId="21EC235C"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pPr>
        <w:outlineLvl w:val="0"/>
        <w:rPr>
          <w:rFonts w:ascii="黑体" w:eastAsia="黑体" w:hAnsi="黑体" w:cs="黑体" w:hint="eastAsia"/>
          <w:sz w:val="30"/>
          <w:szCs w:val="30"/>
        </w:rPr>
      </w:pPr>
      <w:bookmarkStart w:id="45" w:name="_Toc30040"/>
      <w:bookmarkStart w:id="46" w:name="_Toc226471278"/>
      <w:r>
        <w:rPr>
          <w:rFonts w:ascii="黑体" w:eastAsia="黑体" w:hAnsi="黑体" w:cs="黑体"/>
          <w:sz w:val="30"/>
          <w:szCs w:val="30"/>
        </w:rPr>
        <w:t>8.2 专家顾问团队</w:t>
      </w:r>
      <w:bookmarkEnd w:id="45"/>
      <w:bookmarkEnd w:id="46"/>
    </w:p>
    <w:p w14:paraId="7C1ADAAF"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刘波</w:t>
            </w:r>
            <w:r>
              <w:rPr>
                <w:color w:val="000000"/>
                <w:sz w:val="16"/>
                <w:szCs w:val="16"/>
              </w:rPr>
              <w:t xml:space="preserve"> </w:t>
            </w:r>
            <w:r>
              <w:rPr>
                <w:rFonts w:hint="eastAsia"/>
                <w:color w:val="000000"/>
                <w:sz w:val="16"/>
                <w:szCs w:val="16"/>
              </w:rPr>
              <w:t>副教授</w:t>
            </w:r>
            <w:r>
              <w:rPr>
                <w:color w:val="000000"/>
                <w:sz w:val="16"/>
                <w:szCs w:val="16"/>
              </w:rPr>
              <w:t xml:space="preserve"> / </w:t>
            </w:r>
            <w:r>
              <w:rPr>
                <w:color w:val="000000"/>
                <w:sz w:val="16"/>
                <w:szCs w:val="16"/>
              </w:rPr>
              <w:t>人工智能系主任</w:t>
            </w:r>
          </w:p>
          <w:p w14:paraId="4DC25B48" w14:textId="77777777" w:rsidR="00FA539A" w:rsidRDefault="00EF778F">
            <w:pPr>
              <w:pStyle w:val="af2"/>
              <w:snapToGrid w:val="0"/>
              <w:spacing w:before="80" w:beforeAutospacing="0" w:after="80" w:afterAutospacing="0"/>
              <w:jc w:val="both"/>
              <w:rPr>
                <w:color w:val="000000"/>
              </w:rPr>
            </w:pPr>
            <w:r>
              <w:rPr>
                <w:color w:val="000000"/>
              </w:rPr>
              <w:t>刘波老师现任海南师范大学信息科学技术学院</w:t>
            </w:r>
            <w:r>
              <w:rPr>
                <w:rFonts w:hint="eastAsia"/>
                <w:color w:val="000000"/>
              </w:rPr>
              <w:t>副教授</w:t>
            </w:r>
            <w:r>
              <w:rPr>
                <w:color w:val="000000"/>
              </w:rPr>
              <w:t>、人工智能系主任，毕业于电子科技大学，获物</w:t>
            </w:r>
            <w:r>
              <w:rPr>
                <w:color w:val="000000"/>
              </w:rPr>
              <w:lastRenderedPageBreak/>
              <w:t>理学博士学位。其学术研究深耕复杂网络信息挖掘、高阶网络、复杂性科学与人工智能理论等前沿领域，以第一作者或通讯作者身份在</w:t>
            </w:r>
            <w:r>
              <w:rPr>
                <w:color w:val="000000"/>
              </w:rPr>
              <w:t xml:space="preserve"> </w:t>
            </w:r>
            <w:r>
              <w:rPr>
                <w:rStyle w:val="afe"/>
                <w:color w:val="000000"/>
              </w:rPr>
              <w:t>Expert Systems with Applications</w:t>
            </w:r>
            <w:r>
              <w:rPr>
                <w:color w:val="000000"/>
              </w:rPr>
              <w:t>、</w:t>
            </w:r>
            <w:r>
              <w:rPr>
                <w:rStyle w:val="afe"/>
                <w:color w:val="000000"/>
              </w:rPr>
              <w:t>Chaos</w:t>
            </w:r>
            <w:r>
              <w:rPr>
                <w:color w:val="000000"/>
              </w:rPr>
              <w:t>、《物理学报》等国内外权威</w:t>
            </w:r>
            <w:r>
              <w:rPr>
                <w:color w:val="000000"/>
              </w:rPr>
              <w:t>SCI</w:t>
            </w:r>
            <w:r>
              <w:rPr>
                <w:color w:val="000000"/>
              </w:rPr>
              <w:t>期刊发表学术论文</w:t>
            </w:r>
            <w:r>
              <w:rPr>
                <w:color w:val="000000"/>
              </w:rPr>
              <w:t>7</w:t>
            </w:r>
            <w:r>
              <w:rPr>
                <w:color w:val="000000"/>
              </w:rPr>
              <w:t>篇，申请国家发明专利</w:t>
            </w:r>
            <w:r>
              <w:rPr>
                <w:color w:val="000000"/>
              </w:rPr>
              <w:t>8</w:t>
            </w:r>
            <w:r>
              <w:rPr>
                <w:color w:val="000000"/>
              </w:rPr>
              <w:t>项。主持或参与海南省教育厅高校科研项目、科技部脑科学重大项目等多项省部级及以上课题，现担任中国自动化学会计算社会与社会智能专委会委员，并受聘为多家</w:t>
            </w:r>
            <w:r>
              <w:rPr>
                <w:color w:val="000000"/>
              </w:rPr>
              <w:t>SCI</w:t>
            </w:r>
            <w:r>
              <w:rPr>
                <w:color w:val="000000"/>
              </w:rPr>
              <w:t>期刊独立审稿人。</w:t>
            </w:r>
          </w:p>
          <w:p w14:paraId="3434A8F5" w14:textId="77777777" w:rsidR="00FA539A" w:rsidRDefault="00EF778F">
            <w:pPr>
              <w:pStyle w:val="af2"/>
              <w:snapToGrid w:val="0"/>
              <w:spacing w:before="80" w:beforeAutospacing="0" w:after="80" w:afterAutospacing="0"/>
              <w:jc w:val="both"/>
              <w:rPr>
                <w:color w:val="000000"/>
              </w:rPr>
            </w:pPr>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lastRenderedPageBreak/>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龙海侠</w:t>
            </w:r>
            <w:r>
              <w:rPr>
                <w:color w:val="000000"/>
                <w:sz w:val="16"/>
                <w:szCs w:val="16"/>
              </w:rPr>
              <w:t xml:space="preserve"> </w:t>
            </w:r>
            <w:r>
              <w:rPr>
                <w:color w:val="000000"/>
                <w:sz w:val="16"/>
                <w:szCs w:val="16"/>
              </w:rPr>
              <w:t>教授</w:t>
            </w:r>
            <w:r>
              <w:rPr>
                <w:color w:val="000000"/>
                <w:sz w:val="16"/>
                <w:szCs w:val="16"/>
              </w:rPr>
              <w:t xml:space="preserve"> / </w:t>
            </w:r>
            <w:r>
              <w:rPr>
                <w:color w:val="000000"/>
                <w:sz w:val="16"/>
                <w:szCs w:val="16"/>
              </w:rPr>
              <w:t>博士生导师</w:t>
            </w:r>
          </w:p>
          <w:p w14:paraId="68491B8E" w14:textId="77777777" w:rsidR="00FA539A" w:rsidRDefault="00EF778F">
            <w:pPr>
              <w:pStyle w:val="af2"/>
              <w:snapToGrid w:val="0"/>
              <w:spacing w:before="80" w:beforeAutospacing="0" w:after="80" w:afterAutospacing="0"/>
              <w:jc w:val="both"/>
              <w:rPr>
                <w:color w:val="000000"/>
              </w:rPr>
            </w:pPr>
            <w:r>
              <w:rPr>
                <w:color w:val="000000"/>
              </w:rPr>
              <w:t>龙海侠教授现任海南师范大学计算机科学与技术学科教授、博士生导师，系海南省南海名家、高层次拔尖人才，同时担任国家自然科学基金函评专家。其研究方向聚焦人工智能（机器学习</w:t>
            </w:r>
            <w:r>
              <w:rPr>
                <w:color w:val="000000"/>
              </w:rPr>
              <w:t>/</w:t>
            </w:r>
            <w:r>
              <w:rPr>
                <w:color w:val="000000"/>
              </w:rPr>
              <w:t>深度学习）与网络空间安全两大核心领域，主持国家自然科学基金项目</w:t>
            </w:r>
            <w:r>
              <w:rPr>
                <w:color w:val="000000"/>
              </w:rPr>
              <w:t>2</w:t>
            </w:r>
            <w:r>
              <w:rPr>
                <w:color w:val="000000"/>
              </w:rPr>
              <w:t>项、海南省自然科学基金项目</w:t>
            </w:r>
            <w:r>
              <w:rPr>
                <w:color w:val="000000"/>
              </w:rPr>
              <w:t>4</w:t>
            </w:r>
            <w:r>
              <w:rPr>
                <w:color w:val="000000"/>
              </w:rPr>
              <w:t>项，以第一作者或通讯作者发表高水平学术论文</w:t>
            </w:r>
            <w:r>
              <w:rPr>
                <w:color w:val="000000"/>
              </w:rPr>
              <w:t>60</w:t>
            </w:r>
            <w:r>
              <w:rPr>
                <w:color w:val="000000"/>
              </w:rPr>
              <w:t>余篇，出版学术专著</w:t>
            </w:r>
            <w:r>
              <w:rPr>
                <w:color w:val="000000"/>
              </w:rPr>
              <w:t>3</w:t>
            </w:r>
            <w:r>
              <w:rPr>
                <w:color w:val="000000"/>
              </w:rPr>
              <w:t>部，获授权专利</w:t>
            </w:r>
            <w:r>
              <w:rPr>
                <w:color w:val="000000"/>
              </w:rPr>
              <w:t>11</w:t>
            </w:r>
            <w:r>
              <w:rPr>
                <w:color w:val="000000"/>
              </w:rPr>
              <w:t>项，拥有丰富的人工智能领域科研积累与产业化落地经验，在业界享有较高学术声誉。</w:t>
            </w:r>
          </w:p>
          <w:p w14:paraId="57B30B79" w14:textId="77777777" w:rsidR="00FA539A" w:rsidRDefault="00EF778F">
            <w:pPr>
              <w:pStyle w:val="af2"/>
              <w:snapToGrid w:val="0"/>
              <w:spacing w:before="80" w:beforeAutospacing="0" w:after="80" w:afterAutospacing="0"/>
              <w:jc w:val="both"/>
              <w:rPr>
                <w:color w:val="000000"/>
              </w:rPr>
            </w:pPr>
            <w:r>
              <w:rPr>
                <w:rStyle w:val="afd"/>
                <w:rFonts w:hint="eastAsia"/>
                <w:color w:val="000000"/>
              </w:rPr>
              <w:lastRenderedPageBreak/>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pPr>
              <w:pStyle w:val="af2"/>
              <w:snapToGrid w:val="0"/>
              <w:spacing w:before="80" w:beforeAutospacing="0" w:after="80" w:afterAutospacing="0"/>
              <w:jc w:val="both"/>
              <w:rPr>
                <w:color w:val="000000"/>
                <w:sz w:val="16"/>
                <w:szCs w:val="16"/>
              </w:rPr>
            </w:pPr>
            <w:r>
              <w:rPr>
                <w:rFonts w:ascii="宋体" w:hAnsi="宋体" w:cs="宋体"/>
                <w:sz w:val="16"/>
                <w:szCs w:val="16"/>
              </w:rPr>
              <w:t>程明雄 副教授</w:t>
            </w:r>
          </w:p>
          <w:p w14:paraId="3BA3A965" w14:textId="77777777" w:rsidR="00FA539A" w:rsidRDefault="00EF778F">
            <w:pPr>
              <w:pStyle w:val="af2"/>
              <w:snapToGrid w:val="0"/>
              <w:spacing w:before="80" w:beforeAutospacing="0" w:after="80" w:afterAutospacing="0"/>
              <w:jc w:val="both"/>
              <w:rPr>
                <w:color w:val="000000"/>
              </w:rPr>
            </w:pPr>
            <w:r>
              <w:rPr>
                <w:color w:val="000000"/>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color w:val="000000"/>
              </w:rPr>
              <w:t>2020</w:t>
            </w:r>
            <w:r>
              <w:rPr>
                <w:color w:val="000000"/>
              </w:rPr>
              <w:t>年入选海南省现代物流业专家库，在海南省产业经济与物流领域具有较高的实践影响力。在科研方面，他主持完成海南省宣传部重点研究项目、海南省教育厅研究项目各</w:t>
            </w:r>
            <w:r>
              <w:rPr>
                <w:color w:val="000000"/>
              </w:rPr>
              <w:t>1</w:t>
            </w:r>
            <w:r>
              <w:rPr>
                <w:color w:val="000000"/>
              </w:rPr>
              <w:t>项，参与国家自然科学基金项目</w:t>
            </w:r>
            <w:r>
              <w:rPr>
                <w:color w:val="000000"/>
              </w:rPr>
              <w:t>1</w:t>
            </w:r>
            <w:r>
              <w:rPr>
                <w:color w:val="000000"/>
              </w:rPr>
              <w:t>项及省部级课题</w:t>
            </w:r>
            <w:r>
              <w:rPr>
                <w:color w:val="000000"/>
              </w:rPr>
              <w:t>8</w:t>
            </w:r>
            <w:r>
              <w:rPr>
                <w:color w:val="000000"/>
              </w:rPr>
              <w:t>项，在核心及权威期刊发表论文</w:t>
            </w:r>
            <w:r>
              <w:rPr>
                <w:color w:val="000000"/>
              </w:rPr>
              <w:t>13</w:t>
            </w:r>
            <w:r>
              <w:rPr>
                <w:color w:val="000000"/>
              </w:rPr>
              <w:t>篇，出版学术专著</w:t>
            </w:r>
            <w:r>
              <w:rPr>
                <w:color w:val="000000"/>
              </w:rPr>
              <w:t>1</w:t>
            </w:r>
            <w:r>
              <w:rPr>
                <w:color w:val="000000"/>
              </w:rPr>
              <w:t>部，并担任清华大学出版社《电子商务理论与实务》教材副主编，近五年指导学生在全国性电子商务大赛中斩获奖项</w:t>
            </w:r>
            <w:r>
              <w:rPr>
                <w:color w:val="000000"/>
              </w:rPr>
              <w:t>5</w:t>
            </w:r>
            <w:r>
              <w:rPr>
                <w:color w:val="000000"/>
              </w:rPr>
              <w:t>次，兼具深厚的学术积累与丰富的产教研融合实践经验。</w:t>
            </w:r>
          </w:p>
          <w:p w14:paraId="10A64BA8" w14:textId="77777777" w:rsidR="00FA539A" w:rsidRDefault="00EF778F">
            <w:pPr>
              <w:pStyle w:val="af2"/>
              <w:snapToGrid w:val="0"/>
              <w:spacing w:before="80" w:beforeAutospacing="0" w:after="80" w:afterAutospacing="0"/>
              <w:jc w:val="both"/>
              <w:rPr>
                <w:color w:val="000000"/>
              </w:rPr>
            </w:pPr>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w:t>
            </w:r>
            <w:r>
              <w:rPr>
                <w:rStyle w:val="afd"/>
                <w:rFonts w:hint="eastAsia"/>
                <w:color w:val="000000"/>
              </w:rPr>
              <w:lastRenderedPageBreak/>
              <w:t>环境的深刻理解，助力团队优化区域合作路径、供应链协同方案和产业落地策略，推动项目实现高效的市场化与产业化进程。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pPr>
        <w:wordWrap w:val="0"/>
        <w:ind w:firstLineChars="200" w:firstLine="600"/>
        <w:outlineLvl w:val="0"/>
        <w:rPr>
          <w:rFonts w:ascii="黑体" w:eastAsia="黑体" w:hAnsi="黑体" w:cs="黑体" w:hint="eastAsia"/>
          <w:bCs/>
          <w:sz w:val="30"/>
          <w:szCs w:val="28"/>
        </w:rPr>
      </w:pPr>
      <w:bookmarkStart w:id="47" w:name="_Toc32063"/>
      <w:bookmarkStart w:id="48" w:name="_Toc226471279"/>
      <w:r>
        <w:rPr>
          <w:rFonts w:ascii="黑体" w:eastAsia="黑体" w:hAnsi="黑体" w:cs="黑体" w:hint="eastAsia"/>
          <w:bCs/>
          <w:sz w:val="30"/>
          <w:szCs w:val="28"/>
        </w:rPr>
        <w:lastRenderedPageBreak/>
        <w:t>8.3 核心团队成员介绍</w:t>
      </w:r>
      <w:bookmarkEnd w:id="47"/>
      <w:bookmarkEnd w:id="48"/>
    </w:p>
    <w:p w14:paraId="4EF1FEFB" w14:textId="77777777" w:rsidR="00FA539A" w:rsidRDefault="00EF778F">
      <w:pPr>
        <w:wordWrap w:val="0"/>
        <w:ind w:firstLineChars="200"/>
        <w:jc w:val="both"/>
        <w:rPr>
          <w:rFonts w:ascii="Cambria Math" w:hAnsi="Cambria Math" w:cs="宋体"/>
          <w:szCs w:val="28"/>
          <w:oMath/>
        </w:rPr>
      </w:pPr>
      <w:r>
        <w:rPr>
          <w:rFonts w:ascii="宋体" w:hAnsi="宋体" w:cs="宋体" w:hint="eastAsia"/>
          <w:bCs/>
          <w:szCs w:val="28"/>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pPr>
              <w:pStyle w:val="31"/>
              <w:keepLines w:val="0"/>
              <w:snapToGrid w:val="0"/>
              <w:spacing w:before="200" w:line="260" w:lineRule="atLeast"/>
              <w:jc w:val="both"/>
              <w:rPr>
                <w:color w:val="000000"/>
                <w:sz w:val="16"/>
                <w:szCs w:val="16"/>
              </w:rPr>
            </w:pPr>
            <w:r>
              <w:rPr>
                <w:color w:val="000000"/>
                <w:sz w:val="16"/>
                <w:szCs w:val="16"/>
              </w:rPr>
              <w:t>彭斯逸</w:t>
            </w:r>
            <w:r>
              <w:rPr>
                <w:color w:val="000000"/>
                <w:sz w:val="16"/>
                <w:szCs w:val="16"/>
              </w:rPr>
              <w:t xml:space="preserve"> — </w:t>
            </w:r>
            <w:r>
              <w:rPr>
                <w:color w:val="000000"/>
                <w:sz w:val="16"/>
                <w:szCs w:val="16"/>
              </w:rPr>
              <w:t>董事长</w:t>
            </w:r>
            <w:r>
              <w:rPr>
                <w:color w:val="000000"/>
                <w:sz w:val="16"/>
                <w:szCs w:val="16"/>
              </w:rPr>
              <w:t xml:space="preserve"> / </w:t>
            </w:r>
            <w:r>
              <w:rPr>
                <w:color w:val="000000"/>
                <w:sz w:val="16"/>
                <w:szCs w:val="16"/>
              </w:rPr>
              <w:t>项目负责人</w:t>
            </w:r>
          </w:p>
          <w:p w14:paraId="5CC82D41" w14:textId="77777777" w:rsidR="00FA539A" w:rsidRDefault="00EF778F">
            <w:pPr>
              <w:pStyle w:val="af2"/>
              <w:keepNext/>
              <w:snapToGrid w:val="0"/>
              <w:spacing w:before="80" w:beforeAutospacing="0" w:after="80" w:afterAutospacing="0"/>
              <w:jc w:val="both"/>
              <w:rPr>
                <w:color w:val="000000"/>
              </w:rPr>
            </w:pPr>
            <w:r>
              <w:rPr>
                <w:color w:val="000000"/>
              </w:rPr>
              <w:t>彭斯逸同学性格开朗、严谨认真，具备卓越的领导力与团队协作精神，积极组织并参与各项班级、学院活动。自入学以来学业表现突出，专业排名前</w:t>
            </w:r>
            <w:r>
              <w:rPr>
                <w:color w:val="000000"/>
              </w:rPr>
              <w:t>3%</w:t>
            </w:r>
            <w:r>
              <w:rPr>
                <w:color w:val="000000"/>
              </w:rPr>
              <w:t>，核心课程均分</w:t>
            </w:r>
            <w:r>
              <w:rPr>
                <w:color w:val="000000"/>
              </w:rPr>
              <w:t>90+</w:t>
            </w:r>
            <w:r>
              <w:rPr>
                <w:color w:val="000000"/>
              </w:rPr>
              <w:t>，曾获中国国际大学生创新大赛校级金奖、全国大学生三创赛校级一等奖等多项荣誉。</w:t>
            </w:r>
          </w:p>
          <w:p w14:paraId="067CFD6B" w14:textId="77777777" w:rsidR="00FA539A" w:rsidRDefault="00EF778F">
            <w:pPr>
              <w:pStyle w:val="af2"/>
              <w:keepNext/>
              <w:snapToGrid w:val="0"/>
              <w:spacing w:before="80" w:beforeAutospacing="0" w:after="80" w:afterAutospacing="0"/>
              <w:jc w:val="both"/>
              <w:rPr>
                <w:color w:val="000000"/>
              </w:rPr>
            </w:pPr>
            <w:r>
              <w:rPr>
                <w:color w:val="000000"/>
              </w:rPr>
              <w:t>在技术方向上，他深耕</w:t>
            </w:r>
            <w:r>
              <w:rPr>
                <w:color w:val="000000"/>
              </w:rPr>
              <w:t>AI</w:t>
            </w:r>
            <w:r>
              <w:rPr>
                <w:color w:val="000000"/>
              </w:rPr>
              <w:t>应用开发与后端工程，</w:t>
            </w:r>
            <w:r>
              <w:rPr>
                <w:rFonts w:hint="eastAsia"/>
                <w:color w:val="000000"/>
              </w:rPr>
              <w:t>熟悉</w:t>
            </w:r>
            <w:r>
              <w:rPr>
                <w:color w:val="000000"/>
              </w:rPr>
              <w:t>Python</w:t>
            </w:r>
            <w:r>
              <w:rPr>
                <w:color w:val="000000"/>
              </w:rPr>
              <w:t>异步编程及</w:t>
            </w:r>
            <w:r>
              <w:rPr>
                <w:color w:val="000000"/>
              </w:rPr>
              <w:t>FastAPI</w:t>
            </w:r>
            <w:r>
              <w:rPr>
                <w:color w:val="000000"/>
              </w:rPr>
              <w:t>框架，在检索增强生成（</w:t>
            </w:r>
            <w:r>
              <w:rPr>
                <w:color w:val="000000"/>
              </w:rPr>
              <w:t>RAG</w:t>
            </w:r>
            <w:r>
              <w:rPr>
                <w:color w:val="000000"/>
              </w:rPr>
              <w:t>）领域积累深厚，曾受邀担任</w:t>
            </w:r>
            <w:r>
              <w:rPr>
                <w:color w:val="000000"/>
              </w:rPr>
              <w:t>Datawhale"RAG</w:t>
            </w:r>
            <w:r>
              <w:rPr>
                <w:color w:val="000000"/>
              </w:rPr>
              <w:t>技术全栈指南</w:t>
            </w:r>
            <w:r>
              <w:rPr>
                <w:color w:val="000000"/>
              </w:rPr>
              <w:t>"</w:t>
            </w:r>
            <w:r>
              <w:rPr>
                <w:color w:val="000000"/>
              </w:rPr>
              <w:t>课程专业助教。他曾于知名软件公司核心研发部实习，主导垂直领域大模型应用落地及数据清洗管线设计，积累了宝贵的工程实战经验。</w:t>
            </w:r>
          </w:p>
          <w:p w14:paraId="0412AD71" w14:textId="77777777" w:rsidR="00FA539A" w:rsidRDefault="00EF778F">
            <w:pPr>
              <w:pStyle w:val="af2"/>
              <w:keepNext/>
              <w:snapToGrid w:val="0"/>
              <w:spacing w:before="80" w:beforeAutospacing="0" w:after="80" w:afterAutospacing="0"/>
              <w:jc w:val="both"/>
              <w:rPr>
                <w:color w:val="000000"/>
              </w:rPr>
            </w:pPr>
            <w:r>
              <w:rPr>
                <w:rFonts w:hint="eastAsia"/>
                <w:color w:val="000000"/>
              </w:rPr>
              <w:t>在本项目中，他结合</w:t>
            </w:r>
            <w:r>
              <w:rPr>
                <w:rFonts w:hint="eastAsia"/>
                <w:color w:val="000000"/>
              </w:rPr>
              <w:t>AI</w:t>
            </w:r>
            <w:r>
              <w:rPr>
                <w:rFonts w:hint="eastAsia"/>
                <w:color w:val="000000"/>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唐天赐</w:t>
            </w:r>
            <w:r>
              <w:rPr>
                <w:color w:val="000000"/>
                <w:sz w:val="16"/>
                <w:szCs w:val="16"/>
              </w:rPr>
              <w:t xml:space="preserve"> — </w:t>
            </w:r>
            <w:r>
              <w:rPr>
                <w:color w:val="000000"/>
                <w:sz w:val="16"/>
                <w:szCs w:val="16"/>
              </w:rPr>
              <w:t>技术部</w:t>
            </w:r>
          </w:p>
          <w:p w14:paraId="1FF69F7F" w14:textId="77777777" w:rsidR="00FA539A" w:rsidRDefault="00EF778F">
            <w:pPr>
              <w:pStyle w:val="af2"/>
              <w:snapToGrid w:val="0"/>
              <w:spacing w:before="80" w:beforeAutospacing="0" w:after="80" w:afterAutospacing="0"/>
              <w:jc w:val="both"/>
              <w:rPr>
                <w:color w:val="000000"/>
              </w:rPr>
            </w:pPr>
            <w:r>
              <w:rPr>
                <w:color w:val="000000"/>
              </w:rPr>
              <w:t>唐天赐同学积极参与各项班级学院活动与志愿服务，性格开朗、严谨认真，具有极强的团队精神与奉献精神。自入学以来成绩优异，曾获专项奖学金、国家励志奖学金及英语四级证书，并荣获</w:t>
            </w:r>
            <w:r>
              <w:rPr>
                <w:color w:val="000000"/>
              </w:rPr>
              <w:t>2025</w:t>
            </w:r>
            <w:r>
              <w:rPr>
                <w:color w:val="000000"/>
              </w:rPr>
              <w:t>年计算机设计大赛国家级二等奖、大创项目国家级立项等重要荣誉，充分体现了其扎实的专业基础与较强的科研实践能力。</w:t>
            </w:r>
          </w:p>
          <w:p w14:paraId="53518CA0" w14:textId="77777777" w:rsidR="00FA539A" w:rsidRDefault="00EF778F">
            <w:pPr>
              <w:pStyle w:val="af2"/>
              <w:snapToGrid w:val="0"/>
              <w:spacing w:before="80" w:beforeAutospacing="0" w:after="80" w:afterAutospacing="0"/>
              <w:jc w:val="both"/>
              <w:rPr>
                <w:color w:val="000000"/>
              </w:rPr>
            </w:pPr>
            <w:r>
              <w:rPr>
                <w:rFonts w:hint="eastAsia"/>
                <w:color w:val="000000"/>
              </w:rPr>
              <w:t>他精通</w:t>
            </w:r>
            <w:r>
              <w:rPr>
                <w:rFonts w:hint="eastAsia"/>
                <w:color w:val="000000"/>
              </w:rPr>
              <w:t>Python</w:t>
            </w:r>
            <w:r>
              <w:rPr>
                <w:rFonts w:hint="eastAsia"/>
                <w:color w:val="000000"/>
              </w:rPr>
              <w:t>、</w:t>
            </w:r>
            <w:r>
              <w:rPr>
                <w:rFonts w:hint="eastAsia"/>
                <w:color w:val="000000"/>
              </w:rPr>
              <w:t>C++</w:t>
            </w:r>
            <w:r>
              <w:rPr>
                <w:rFonts w:hint="eastAsia"/>
                <w:color w:val="000000"/>
              </w:rPr>
              <w:t>、</w:t>
            </w:r>
            <w:r>
              <w:rPr>
                <w:rFonts w:hint="eastAsia"/>
                <w:color w:val="000000"/>
              </w:rPr>
              <w:t>Java</w:t>
            </w:r>
            <w:r>
              <w:rPr>
                <w:rFonts w:hint="eastAsia"/>
                <w:color w:val="000000"/>
              </w:rPr>
              <w:t>等多门编程语言，具备良好的算法思维与工程实现能力，擅长将理论知识融入</w:t>
            </w:r>
            <w:r>
              <w:rPr>
                <w:rFonts w:hint="eastAsia"/>
                <w:color w:val="000000"/>
              </w:rPr>
              <w:lastRenderedPageBreak/>
              <w:t>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艾舜杰</w:t>
            </w:r>
            <w:r>
              <w:rPr>
                <w:color w:val="000000"/>
                <w:sz w:val="16"/>
                <w:szCs w:val="16"/>
              </w:rPr>
              <w:t xml:space="preserve"> — </w:t>
            </w:r>
            <w:r>
              <w:rPr>
                <w:color w:val="000000"/>
                <w:sz w:val="16"/>
                <w:szCs w:val="16"/>
              </w:rPr>
              <w:t>技术部</w:t>
            </w:r>
          </w:p>
          <w:p w14:paraId="53191EAC" w14:textId="77777777" w:rsidR="00FA539A" w:rsidRDefault="00EF778F">
            <w:pPr>
              <w:pStyle w:val="af2"/>
              <w:snapToGrid w:val="0"/>
              <w:spacing w:before="80" w:beforeAutospacing="0" w:after="80" w:afterAutospacing="0"/>
              <w:jc w:val="both"/>
              <w:rPr>
                <w:color w:val="000000"/>
              </w:rPr>
            </w:pPr>
            <w:r>
              <w:rPr>
                <w:color w:val="000000"/>
              </w:rPr>
              <w:t>艾舜杰同学学习主观能动性强，沟通能力良好，性格开朗，富有团队合作精神。他掌握</w:t>
            </w:r>
            <w:r>
              <w:rPr>
                <w:color w:val="000000"/>
              </w:rPr>
              <w:t>Java</w:t>
            </w:r>
            <w:r>
              <w:rPr>
                <w:color w:val="000000"/>
              </w:rPr>
              <w:t>、</w:t>
            </w:r>
            <w:r>
              <w:rPr>
                <w:color w:val="000000"/>
              </w:rPr>
              <w:t>C++</w:t>
            </w:r>
            <w:r>
              <w:rPr>
                <w:color w:val="000000"/>
              </w:rPr>
              <w:t>、</w:t>
            </w:r>
            <w:r>
              <w:rPr>
                <w:color w:val="000000"/>
              </w:rPr>
              <w:t>Python</w:t>
            </w:r>
            <w:r>
              <w:rPr>
                <w:color w:val="000000"/>
              </w:rPr>
              <w:t>、</w:t>
            </w:r>
            <w:r>
              <w:rPr>
                <w:color w:val="000000"/>
              </w:rPr>
              <w:t>Vue</w:t>
            </w:r>
            <w:r>
              <w:rPr>
                <w:color w:val="000000"/>
              </w:rPr>
              <w:t>等多门编程语言，具备独立开发</w:t>
            </w:r>
            <w:r>
              <w:rPr>
                <w:color w:val="000000"/>
              </w:rPr>
              <w:t>Java</w:t>
            </w:r>
            <w:r>
              <w:rPr>
                <w:color w:val="000000"/>
              </w:rPr>
              <w:t>单体项目的完整能力，在前后端协同开发方面积累了一定的工程经验。</w:t>
            </w:r>
          </w:p>
          <w:p w14:paraId="05BA9D2E"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主要负责系统各功能模块的集成开发与前端功能实现，利用其全栈开发基础推进上传分析、结果展示、历史回看和报告导出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李明蔚</w:t>
            </w:r>
            <w:r>
              <w:rPr>
                <w:color w:val="000000"/>
                <w:sz w:val="16"/>
                <w:szCs w:val="16"/>
              </w:rPr>
              <w:t xml:space="preserve"> — </w:t>
            </w:r>
            <w:r>
              <w:rPr>
                <w:color w:val="000000"/>
                <w:sz w:val="16"/>
                <w:szCs w:val="16"/>
              </w:rPr>
              <w:t>技术部</w:t>
            </w:r>
          </w:p>
          <w:p w14:paraId="1E7E78DB" w14:textId="77777777" w:rsidR="00FA539A" w:rsidRDefault="00EF778F">
            <w:pPr>
              <w:pStyle w:val="af2"/>
              <w:snapToGrid w:val="0"/>
              <w:spacing w:before="80" w:beforeAutospacing="0" w:after="80" w:afterAutospacing="0"/>
              <w:jc w:val="both"/>
              <w:rPr>
                <w:color w:val="000000"/>
              </w:rPr>
            </w:pPr>
            <w:r>
              <w:rPr>
                <w:color w:val="000000"/>
              </w:rP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74EF2067" w14:textId="77777777" w:rsidR="00FA539A" w:rsidRDefault="00EF778F">
            <w:pPr>
              <w:pStyle w:val="af2"/>
              <w:snapToGrid w:val="0"/>
              <w:spacing w:before="80" w:beforeAutospacing="0" w:after="80" w:afterAutospacing="0"/>
              <w:jc w:val="both"/>
              <w:rPr>
                <w:color w:val="000000"/>
              </w:rPr>
            </w:pPr>
            <w:r>
              <w:rPr>
                <w:rFonts w:hint="eastAsia"/>
                <w:color w:val="000000"/>
              </w:rPr>
              <w:t>在技术方向上，他掌握</w:t>
            </w:r>
            <w:r>
              <w:rPr>
                <w:rFonts w:hint="eastAsia"/>
                <w:color w:val="000000"/>
              </w:rPr>
              <w:t>Java</w:t>
            </w:r>
            <w:r>
              <w:rPr>
                <w:rFonts w:hint="eastAsia"/>
                <w:color w:val="000000"/>
              </w:rPr>
              <w:t>、</w:t>
            </w:r>
            <w:r>
              <w:rPr>
                <w:rFonts w:hint="eastAsia"/>
                <w:color w:val="000000"/>
              </w:rPr>
              <w:t>Python</w:t>
            </w:r>
            <w:r>
              <w:rPr>
                <w:rFonts w:hint="eastAsia"/>
                <w:color w:val="000000"/>
              </w:rPr>
              <w:t>等编程语言，熟悉前后端全栈开发，并具备</w:t>
            </w:r>
            <w:r>
              <w:rPr>
                <w:rFonts w:hint="eastAsia"/>
                <w:color w:val="000000"/>
              </w:rPr>
              <w:t>UE</w:t>
            </w:r>
            <w:r>
              <w:rPr>
                <w:rFonts w:hint="eastAsia"/>
                <w:color w:val="000000"/>
              </w:rPr>
              <w:t>虚拟交互与</w:t>
            </w:r>
            <w:r>
              <w:rPr>
                <w:rFonts w:hint="eastAsia"/>
                <w:color w:val="000000"/>
              </w:rPr>
              <w:t>AR</w:t>
            </w:r>
            <w:r>
              <w:rPr>
                <w:rFonts w:hint="eastAsia"/>
                <w:color w:val="000000"/>
              </w:rPr>
              <w:t>增强现</w:t>
            </w:r>
            <w:r>
              <w:rPr>
                <w:rFonts w:hint="eastAsia"/>
                <w:color w:val="000000"/>
              </w:rPr>
              <w:lastRenderedPageBreak/>
              <w:t>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游亚楠</w:t>
            </w:r>
            <w:r>
              <w:rPr>
                <w:color w:val="000000"/>
                <w:sz w:val="16"/>
                <w:szCs w:val="16"/>
              </w:rPr>
              <w:t xml:space="preserve"> — </w:t>
            </w:r>
            <w:r>
              <w:rPr>
                <w:color w:val="000000"/>
                <w:sz w:val="16"/>
                <w:szCs w:val="16"/>
              </w:rPr>
              <w:t>市场营销部</w:t>
            </w:r>
          </w:p>
          <w:p w14:paraId="49B7CC72" w14:textId="77777777" w:rsidR="00FA539A" w:rsidRDefault="00EF778F">
            <w:pPr>
              <w:pStyle w:val="af2"/>
              <w:snapToGrid w:val="0"/>
              <w:spacing w:before="80" w:beforeAutospacing="0" w:after="80" w:afterAutospacing="0"/>
              <w:jc w:val="both"/>
              <w:rPr>
                <w:color w:val="000000"/>
              </w:rPr>
            </w:pPr>
            <w:r>
              <w:rPr>
                <w:color w:val="000000"/>
              </w:rP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B2AFEAB" w14:textId="77777777" w:rsidR="00FA539A" w:rsidRDefault="00EF778F">
            <w:pPr>
              <w:pStyle w:val="af2"/>
              <w:snapToGrid w:val="0"/>
              <w:spacing w:before="80" w:beforeAutospacing="0" w:after="80" w:afterAutospacing="0"/>
              <w:jc w:val="both"/>
              <w:rPr>
                <w:color w:val="000000"/>
              </w:rPr>
            </w:pPr>
            <w:r>
              <w:rPr>
                <w:rFonts w:hint="eastAsia"/>
                <w:color w:val="000000"/>
              </w:rPr>
              <w:t>在本项目中，她负责市场调研与商业推广策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王喆睿</w:t>
            </w:r>
            <w:r>
              <w:rPr>
                <w:color w:val="000000"/>
                <w:sz w:val="16"/>
                <w:szCs w:val="16"/>
              </w:rPr>
              <w:t xml:space="preserve"> — </w:t>
            </w:r>
            <w:r>
              <w:rPr>
                <w:color w:val="000000"/>
                <w:sz w:val="16"/>
                <w:szCs w:val="16"/>
              </w:rPr>
              <w:t>技术部</w:t>
            </w:r>
          </w:p>
          <w:p w14:paraId="3B55B797" w14:textId="77777777" w:rsidR="00FA539A" w:rsidRDefault="00EF778F">
            <w:pPr>
              <w:pStyle w:val="af2"/>
              <w:snapToGrid w:val="0"/>
              <w:spacing w:before="80" w:beforeAutospacing="0" w:after="80" w:afterAutospacing="0"/>
              <w:jc w:val="both"/>
              <w:rPr>
                <w:color w:val="000000"/>
              </w:rPr>
            </w:pPr>
            <w:r>
              <w:rPr>
                <w:color w:val="000000"/>
              </w:rPr>
              <w:t>王喆睿同学积极参加各项班级学院组织活动及学科竞赛，掌握</w:t>
            </w:r>
            <w:r>
              <w:rPr>
                <w:color w:val="000000"/>
              </w:rPr>
              <w:t>Python</w:t>
            </w:r>
            <w:r>
              <w:rPr>
                <w:color w:val="000000"/>
              </w:rPr>
              <w:t>、</w:t>
            </w:r>
            <w:r>
              <w:rPr>
                <w:color w:val="000000"/>
              </w:rPr>
              <w:t>C</w:t>
            </w:r>
            <w:r>
              <w:rPr>
                <w:color w:val="000000"/>
              </w:rPr>
              <w:t>及</w:t>
            </w:r>
            <w:r>
              <w:rPr>
                <w:color w:val="000000"/>
              </w:rPr>
              <w:t>C++</w:t>
            </w:r>
            <w:r>
              <w:rPr>
                <w:color w:val="000000"/>
              </w:rPr>
              <w:t>等编程语言，具备扎实的逻辑思维与算法实现能力。他性格开朗，执行力强，求知欲旺盛，渴望在软件工程领域持续深耕。</w:t>
            </w:r>
          </w:p>
          <w:p w14:paraId="6270F76B"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在本项目中，他主要负责底层算法的调优与逻辑验证工作，协助项目负责人提升高光谱数据在不同产地、不同批次橙类样本下的识别精度与模型稳健性。通过持</w:t>
            </w:r>
            <w:r>
              <w:rPr>
                <w:rFonts w:hint="eastAsia"/>
                <w:color w:val="000000"/>
              </w:rPr>
              <w:lastRenderedPageBreak/>
              <w:t>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刘东森</w:t>
            </w:r>
            <w:r>
              <w:rPr>
                <w:color w:val="000000"/>
                <w:sz w:val="16"/>
                <w:szCs w:val="16"/>
              </w:rPr>
              <w:t xml:space="preserve"> — </w:t>
            </w:r>
            <w:r>
              <w:rPr>
                <w:color w:val="000000"/>
                <w:sz w:val="16"/>
                <w:szCs w:val="16"/>
              </w:rPr>
              <w:t>行政部</w:t>
            </w:r>
          </w:p>
          <w:p w14:paraId="626ECC3D" w14:textId="77777777" w:rsidR="00FA539A" w:rsidRDefault="00EF778F">
            <w:pPr>
              <w:pStyle w:val="af2"/>
              <w:snapToGrid w:val="0"/>
              <w:spacing w:before="80" w:beforeAutospacing="0" w:after="80" w:afterAutospacing="0"/>
              <w:jc w:val="both"/>
              <w:rPr>
                <w:color w:val="000000"/>
              </w:rPr>
            </w:pPr>
            <w:r>
              <w:rPr>
                <w:color w:val="000000"/>
              </w:rPr>
              <w:t>刘东森同学积极参与各项班级学院活动，曾获三好学生称号、英语竞赛银奖及多项体育赛事荣誉，综合素质突出。他性格开朗，执行力极强，乐于承担团队行政管理责任，秉承</w:t>
            </w:r>
            <w:r>
              <w:rPr>
                <w:color w:val="000000"/>
              </w:rPr>
              <w:t>"</w:t>
            </w:r>
            <w:r>
              <w:rPr>
                <w:color w:val="000000"/>
              </w:rPr>
              <w:t>干中学</w:t>
            </w:r>
            <w:r>
              <w:rPr>
                <w:color w:val="000000"/>
              </w:rPr>
              <w:t>"</w:t>
            </w:r>
            <w:r>
              <w:rPr>
                <w:color w:val="000000"/>
              </w:rPr>
              <w:t>的务实态度不断积累专业知识与管理能力。</w:t>
            </w:r>
          </w:p>
          <w:p w14:paraId="4F9E1EB8"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负责团队的日常运营管理、项目进度跟踪及文档质量把控，协调各部门间的沟通协作，确保信息传递畅通、任务推进有序。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饶李充</w:t>
            </w:r>
            <w:r>
              <w:rPr>
                <w:color w:val="000000"/>
                <w:sz w:val="16"/>
                <w:szCs w:val="16"/>
              </w:rPr>
              <w:t xml:space="preserve"> — </w:t>
            </w:r>
            <w:r>
              <w:rPr>
                <w:color w:val="000000"/>
                <w:sz w:val="16"/>
                <w:szCs w:val="16"/>
              </w:rPr>
              <w:t>财务部</w:t>
            </w:r>
          </w:p>
          <w:p w14:paraId="198E2414" w14:textId="77777777" w:rsidR="00FA539A" w:rsidRDefault="00EF778F">
            <w:pPr>
              <w:pStyle w:val="af2"/>
              <w:snapToGrid w:val="0"/>
              <w:spacing w:before="80" w:beforeAutospacing="0" w:after="80" w:afterAutospacing="0"/>
              <w:jc w:val="both"/>
              <w:rPr>
                <w:color w:val="000000"/>
              </w:rPr>
            </w:pPr>
            <w:r>
              <w:rPr>
                <w:color w:val="000000"/>
              </w:rPr>
              <w:t>饶李充同学现任学校学生会干事，曾获评班级优秀团员，积极参加各类大学生赛事并不断提升自身能力。他性格开朗活泼，善于执行与人际沟通，目前已熟练掌握</w:t>
            </w:r>
            <w:r>
              <w:rPr>
                <w:color w:val="000000"/>
              </w:rPr>
              <w:t>Python</w:t>
            </w:r>
            <w:r>
              <w:rPr>
                <w:color w:val="000000"/>
              </w:rPr>
              <w:t>等编程语言，具备一定的数据处理与自动化脚本开发能力。</w:t>
            </w:r>
          </w:p>
          <w:p w14:paraId="7D0AE276"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pPr>
        <w:pStyle w:val="21"/>
        <w:keepNext w:val="0"/>
        <w:keepLines w:val="0"/>
        <w:ind w:firstLineChars="200" w:firstLine="600"/>
        <w:rPr>
          <w:rFonts w:ascii="黑体" w:eastAsia="黑体" w:hAnsi="黑体" w:cs="黑体" w:hint="eastAsia"/>
          <w:color w:val="auto"/>
          <w:szCs w:val="30"/>
        </w:rPr>
      </w:pPr>
      <w:bookmarkStart w:id="49" w:name="_Toc22083"/>
      <w:bookmarkStart w:id="50" w:name="_Toc43"/>
      <w:bookmarkStart w:id="51" w:name="_Toc226471280"/>
      <w:r>
        <w:rPr>
          <w:rFonts w:ascii="黑体" w:eastAsia="黑体" w:hAnsi="黑体" w:cs="黑体" w:hint="eastAsia"/>
          <w:color w:val="auto"/>
          <w:szCs w:val="30"/>
        </w:rPr>
        <w:t>8.4 团队核心优势</w:t>
      </w:r>
      <w:bookmarkEnd w:id="49"/>
      <w:bookmarkEnd w:id="50"/>
      <w:bookmarkEnd w:id="51"/>
    </w:p>
    <w:p w14:paraId="274E4858" w14:textId="77777777" w:rsidR="00FA539A" w:rsidRDefault="00EF778F">
      <w:pPr>
        <w:outlineLvl w:val="1"/>
        <w:rPr>
          <w:rFonts w:ascii="黑体" w:eastAsia="黑体" w:hAnsi="黑体" w:cs="黑体" w:hint="eastAsia"/>
          <w:szCs w:val="28"/>
        </w:rPr>
      </w:pPr>
      <w:bookmarkStart w:id="52" w:name="_Toc5846"/>
      <w:bookmarkStart w:id="53" w:name="_Toc226471281"/>
      <w:r>
        <w:rPr>
          <w:rFonts w:ascii="黑体" w:eastAsia="黑体" w:hAnsi="黑体" w:cs="黑体" w:hint="eastAsia"/>
          <w:szCs w:val="28"/>
        </w:rPr>
        <w:lastRenderedPageBreak/>
        <w:t>（1）专业互补，能力全覆盖</w:t>
      </w:r>
      <w:bookmarkEnd w:id="52"/>
      <w:bookmarkEnd w:id="53"/>
    </w:p>
    <w:p w14:paraId="013A2E4A"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成员涵盖AI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300E89F3" w14:textId="77777777" w:rsidR="00FA539A" w:rsidRDefault="00EF778F">
      <w:pPr>
        <w:outlineLvl w:val="1"/>
        <w:rPr>
          <w:rFonts w:ascii="黑体" w:eastAsia="黑体" w:hAnsi="黑体" w:cs="黑体" w:hint="eastAsia"/>
          <w:szCs w:val="28"/>
        </w:rPr>
      </w:pPr>
      <w:bookmarkStart w:id="54" w:name="_Toc13392"/>
      <w:bookmarkStart w:id="55" w:name="_Toc226471282"/>
      <w:r>
        <w:rPr>
          <w:rFonts w:ascii="黑体" w:eastAsia="黑体" w:hAnsi="黑体" w:cs="黑体" w:hint="eastAsia"/>
          <w:szCs w:val="28"/>
        </w:rPr>
        <w:t>（2）产学研融合，技术支撑坚实</w:t>
      </w:r>
      <w:bookmarkEnd w:id="54"/>
      <w:bookmarkEnd w:id="55"/>
    </w:p>
    <w:p w14:paraId="38CF0A8B"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79D43E9D" w14:textId="77777777" w:rsidR="00FA539A" w:rsidRDefault="00EF778F">
      <w:pPr>
        <w:outlineLvl w:val="1"/>
        <w:rPr>
          <w:rFonts w:ascii="黑体" w:eastAsia="黑体" w:hAnsi="黑体" w:cs="黑体" w:hint="eastAsia"/>
          <w:szCs w:val="28"/>
        </w:rPr>
      </w:pPr>
      <w:bookmarkStart w:id="56" w:name="_Toc31087"/>
      <w:bookmarkStart w:id="57" w:name="_Toc226471283"/>
      <w:r>
        <w:rPr>
          <w:rFonts w:ascii="黑体" w:eastAsia="黑体" w:hAnsi="黑体" w:cs="黑体" w:hint="eastAsia"/>
          <w:szCs w:val="28"/>
        </w:rPr>
        <w:t>（3）实战经验丰富，创新能力突出</w:t>
      </w:r>
      <w:bookmarkEnd w:id="56"/>
      <w:bookmarkEnd w:id="57"/>
    </w:p>
    <w:p w14:paraId="5E72F389"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核心成员均拥有学科竞赛国家级/省级奖项，部分成员具备企业级AI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7AF5BB30" w14:textId="77777777" w:rsidR="00FA539A" w:rsidRDefault="00EF778F">
      <w:pPr>
        <w:outlineLvl w:val="1"/>
        <w:rPr>
          <w:rFonts w:ascii="黑体" w:eastAsia="黑体" w:hAnsi="黑体" w:cs="黑体" w:hint="eastAsia"/>
          <w:szCs w:val="28"/>
        </w:rPr>
      </w:pPr>
      <w:bookmarkStart w:id="58" w:name="_Toc29790"/>
      <w:bookmarkStart w:id="59" w:name="_Toc226471284"/>
      <w:r>
        <w:rPr>
          <w:rFonts w:ascii="黑体" w:eastAsia="黑体" w:hAnsi="黑体" w:cs="黑体" w:hint="eastAsia"/>
          <w:szCs w:val="28"/>
        </w:rPr>
        <w:t>（4）深耕本土，贴合市场需求</w:t>
      </w:r>
      <w:bookmarkEnd w:id="58"/>
      <w:bookmarkEnd w:id="59"/>
    </w:p>
    <w:p w14:paraId="401B1A45"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团队扎根海南，较为熟悉本地特色果品产业的发展特点与数字化需求，能够围绕澄迈福橙、琼中绿橙等对象持续优化样本策略、分析模型与产品方案，使技术解决方案更贴近本地市场的实际应用</w:t>
      </w:r>
      <w:r>
        <w:rPr>
          <w:rFonts w:ascii="宋体" w:hAnsi="宋体" w:cs="宋体" w:hint="eastAsia"/>
          <w:bCs/>
          <w:szCs w:val="28"/>
        </w:rPr>
        <w:lastRenderedPageBreak/>
        <w:t>场景。同时，团队依托海南师范大学科技园孵化器及相关本土资源，具备快速对接产区、合作社、品牌主体与区域服务机构的条件，为项目本土化落地与后续复制推广奠定基础。</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pPr>
        <w:pStyle w:val="1"/>
      </w:pPr>
      <w:bookmarkStart w:id="60" w:name="_Toc226471285"/>
      <w:r>
        <w:rPr>
          <w:rFonts w:ascii="黑体" w:eastAsia="黑体" w:hAnsi="黑体"/>
        </w:rPr>
        <w:t>第九章：财务预测</w:t>
      </w:r>
      <w:bookmarkEnd w:id="60"/>
    </w:p>
    <w:p w14:paraId="7A52CE5E" w14:textId="77777777" w:rsidR="00FA539A" w:rsidRDefault="00EF778F">
      <w:pPr>
        <w:pStyle w:val="21"/>
      </w:pPr>
      <w:bookmarkStart w:id="61" w:name="_Toc226471286"/>
      <w:r>
        <w:rPr>
          <w:rFonts w:ascii="黑体" w:eastAsia="黑体" w:hAnsi="黑体"/>
        </w:rPr>
        <w:t>9.1 财务假设前提</w:t>
      </w:r>
      <w:bookmarkEnd w:id="61"/>
    </w:p>
    <w:p w14:paraId="55C3E84E" w14:textId="77777777" w:rsidR="00FA539A" w:rsidRDefault="00EF778F">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w:t>
      </w:r>
      <w:r>
        <w:rPr>
          <w:rFonts w:ascii="宋体" w:hAnsi="宋体"/>
        </w:rPr>
        <w:lastRenderedPageBreak/>
        <w:t xml:space="preserve">所有测算均以“已有成品、已有样本、逐步放量”的稳健假设为基础。 </w:t>
      </w:r>
    </w:p>
    <w:p w14:paraId="5602A84C" w14:textId="77777777" w:rsidR="00FA539A" w:rsidRDefault="00EF778F">
      <w:pPr>
        <w:pStyle w:val="21"/>
      </w:pPr>
      <w:bookmarkStart w:id="62" w:name="_Toc226471287"/>
      <w:r>
        <w:rPr>
          <w:rFonts w:ascii="黑体" w:eastAsia="黑体" w:hAnsi="黑体"/>
        </w:rPr>
        <w:t>9.2 三情景核心假设对比</w:t>
      </w:r>
      <w:bookmarkEnd w:id="62"/>
    </w:p>
    <w:p w14:paraId="3EFF5C74" w14:textId="77777777" w:rsidR="00FA539A" w:rsidRDefault="00EF778F">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63" w:name="_Toc226471288"/>
      <w:r>
        <w:rPr>
          <w:rFonts w:ascii="黑体" w:eastAsia="黑体" w:hAnsi="黑体"/>
        </w:rPr>
        <w:t>9.3 五年损益预测</w:t>
      </w:r>
      <w:bookmarkEnd w:id="63"/>
    </w:p>
    <w:p w14:paraId="15B89D19" w14:textId="77777777" w:rsidR="00FA539A" w:rsidRDefault="00EF77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666F8CDD" w14:textId="77777777" w:rsidR="00FA539A" w:rsidRDefault="00EF778F">
      <w:pPr>
        <w:jc w:val="both"/>
      </w:pPr>
      <w:r>
        <w:rPr>
          <w:rFonts w:ascii="宋体" w:hAnsi="宋体"/>
        </w:rPr>
        <w:lastRenderedPageBreak/>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64" w:name="_Toc226471289"/>
      <w:r>
        <w:rPr>
          <w:rFonts w:ascii="黑体" w:eastAsia="黑体" w:hAnsi="黑体"/>
        </w:rPr>
        <w:t>9.4 五年现金流量预测</w:t>
      </w:r>
      <w:bookmarkEnd w:id="64"/>
    </w:p>
    <w:p w14:paraId="739BBC3B" w14:textId="77777777" w:rsidR="00FA539A" w:rsidRDefault="00EF778F">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65" w:name="_Toc226471290"/>
      <w:r>
        <w:rPr>
          <w:rFonts w:ascii="黑体" w:eastAsia="黑体" w:hAnsi="黑体"/>
        </w:rPr>
        <w:lastRenderedPageBreak/>
        <w:t>9.5 资产负债结构判断</w:t>
      </w:r>
      <w:bookmarkEnd w:id="65"/>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66" w:name="_Toc226471291"/>
      <w:r>
        <w:rPr>
          <w:rFonts w:ascii="黑体" w:eastAsia="黑体" w:hAnsi="黑体"/>
        </w:rPr>
        <w:t>9.6 三情景营收与盈利对比</w:t>
      </w:r>
      <w:bookmarkEnd w:id="66"/>
    </w:p>
    <w:p w14:paraId="1DE9A201" w14:textId="77777777" w:rsidR="00FA539A" w:rsidRDefault="00EF778F">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67" w:name="_Toc226471292"/>
      <w:r>
        <w:rPr>
          <w:rFonts w:ascii="黑体" w:eastAsia="黑体" w:hAnsi="黑体"/>
        </w:rPr>
        <w:lastRenderedPageBreak/>
        <w:t>9.7 盈亏平衡分析</w:t>
      </w:r>
      <w:bookmarkEnd w:id="67"/>
    </w:p>
    <w:p w14:paraId="55C83497" w14:textId="77777777" w:rsidR="00FA539A" w:rsidRDefault="00EF778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C9661D7" w14:textId="77777777" w:rsidR="00FA539A" w:rsidRDefault="00EF778F">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8" w:name="_Toc226471293"/>
      <w:r>
        <w:rPr>
          <w:rFonts w:ascii="黑体" w:eastAsia="黑体" w:hAnsi="黑体"/>
        </w:rPr>
        <w:t>9.8 敏感性分析</w:t>
      </w:r>
      <w:bookmarkEnd w:id="68"/>
    </w:p>
    <w:p w14:paraId="6429B00A" w14:textId="77777777" w:rsidR="00FA539A" w:rsidRDefault="00EF778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9" w:name="_Toc226471294"/>
      <w:r>
        <w:rPr>
          <w:rFonts w:ascii="黑体" w:eastAsia="黑体" w:hAnsi="黑体"/>
        </w:rPr>
        <w:lastRenderedPageBreak/>
        <w:t>9.9 关键财务比率趋势</w:t>
      </w:r>
      <w:bookmarkEnd w:id="69"/>
    </w:p>
    <w:p w14:paraId="11DF51DE" w14:textId="77777777" w:rsidR="00FA539A" w:rsidRDefault="00EF778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3F546E1E" w14:textId="77777777" w:rsidR="00FA539A" w:rsidRDefault="00EF778F">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5113EC8" w14:textId="77777777" w:rsidR="00FA539A" w:rsidRDefault="00EF778F">
      <w:pPr>
        <w:pStyle w:val="21"/>
      </w:pPr>
      <w:bookmarkStart w:id="70" w:name="_Toc226471295"/>
      <w:r>
        <w:rPr>
          <w:rFonts w:ascii="黑体" w:eastAsia="黑体" w:hAnsi="黑体"/>
        </w:rPr>
        <w:t>9.10 资本需求与融资规划</w:t>
      </w:r>
      <w:bookmarkEnd w:id="70"/>
    </w:p>
    <w:p w14:paraId="21A235E1" w14:textId="77777777" w:rsidR="00FA539A" w:rsidRDefault="00EF778F">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lastRenderedPageBreak/>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71" w:name="_Toc226471296"/>
      <w:r>
        <w:rPr>
          <w:rFonts w:ascii="黑体" w:eastAsia="黑体" w:hAnsi="黑体"/>
        </w:rPr>
        <w:t>第十章：风险分析</w:t>
      </w:r>
      <w:bookmarkEnd w:id="71"/>
    </w:p>
    <w:p w14:paraId="766A67CD" w14:textId="77777777" w:rsidR="00FA539A" w:rsidRDefault="00EF778F">
      <w:pPr>
        <w:pStyle w:val="21"/>
      </w:pPr>
      <w:bookmarkStart w:id="72" w:name="_Toc226471297"/>
      <w:r>
        <w:rPr>
          <w:rFonts w:ascii="黑体" w:eastAsia="黑体" w:hAnsi="黑体"/>
        </w:rPr>
        <w:t>10.1 分析假设条件声明</w:t>
      </w:r>
      <w:bookmarkEnd w:id="72"/>
    </w:p>
    <w:p w14:paraId="6B1D1549" w14:textId="77777777" w:rsidR="00FA539A" w:rsidRDefault="00EF778F">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73" w:name="_Toc226471298"/>
      <w:r>
        <w:rPr>
          <w:rFonts w:ascii="黑体" w:eastAsia="黑体" w:hAnsi="黑体"/>
        </w:rPr>
        <w:t>10.2 财务风险维度分析</w:t>
      </w:r>
      <w:bookmarkEnd w:id="73"/>
    </w:p>
    <w:p w14:paraId="2A4238D0" w14:textId="77777777" w:rsidR="00FA539A" w:rsidRDefault="00EF778F">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98A3D2F" w14:textId="77777777" w:rsidR="00FA539A" w:rsidRDefault="00EF778F">
      <w:pPr>
        <w:jc w:val="both"/>
      </w:pPr>
      <w:r>
        <w:rPr>
          <w:rFonts w:ascii="宋体" w:hAnsi="宋体"/>
        </w:rPr>
        <w:lastRenderedPageBreak/>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575A01B3" w14:textId="77777777" w:rsidR="00FA539A" w:rsidRDefault="00EF778F">
      <w:pPr>
        <w:pStyle w:val="21"/>
      </w:pPr>
      <w:bookmarkStart w:id="74" w:name="_Toc226471299"/>
      <w:r>
        <w:rPr>
          <w:rFonts w:ascii="黑体" w:eastAsia="黑体" w:hAnsi="黑体"/>
        </w:rPr>
        <w:t>10.3 市场风险维度分析</w:t>
      </w:r>
      <w:bookmarkEnd w:id="74"/>
    </w:p>
    <w:p w14:paraId="330010C3" w14:textId="77777777" w:rsidR="00FA539A" w:rsidRDefault="00EF778F">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75" w:name="_Toc226471300"/>
      <w:r>
        <w:rPr>
          <w:rFonts w:ascii="黑体" w:eastAsia="黑体" w:hAnsi="黑体"/>
        </w:rPr>
        <w:t>10.4 运营风险维度分析</w:t>
      </w:r>
      <w:bookmarkEnd w:id="75"/>
    </w:p>
    <w:p w14:paraId="1649AF98" w14:textId="77777777" w:rsidR="00FA539A" w:rsidRDefault="00EF778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3E214E4" w14:textId="77777777" w:rsidR="00FA539A" w:rsidRDefault="00EF778F">
      <w:pPr>
        <w:jc w:val="both"/>
      </w:pPr>
      <w:r>
        <w:rPr>
          <w:rFonts w:ascii="宋体" w:hAnsi="宋体"/>
        </w:rPr>
        <w:lastRenderedPageBreak/>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3482AEC" w14:textId="77777777" w:rsidR="00FA539A" w:rsidRDefault="00EF778F">
      <w:pPr>
        <w:pStyle w:val="21"/>
      </w:pPr>
      <w:bookmarkStart w:id="76" w:name="_Toc226471301"/>
      <w:r>
        <w:rPr>
          <w:rFonts w:ascii="黑体" w:eastAsia="黑体" w:hAnsi="黑体"/>
        </w:rPr>
        <w:t>10.5 技术与合规风险维度分析</w:t>
      </w:r>
      <w:bookmarkEnd w:id="76"/>
    </w:p>
    <w:p w14:paraId="72A36D22" w14:textId="77777777" w:rsidR="00FA539A" w:rsidRDefault="00EF778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77" w:name="_Toc226471302"/>
      <w:r>
        <w:rPr>
          <w:rFonts w:ascii="黑体" w:eastAsia="黑体" w:hAnsi="黑体"/>
        </w:rPr>
        <w:t>10.6 风险量化评估矩阵</w:t>
      </w:r>
      <w:bookmarkEnd w:id="77"/>
    </w:p>
    <w:p w14:paraId="3F0671D1" w14:textId="77777777" w:rsidR="00FA539A" w:rsidRDefault="00EF778F">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5492475" w14:textId="77777777" w:rsidR="00FA539A" w:rsidRDefault="00EF778F">
      <w:pPr>
        <w:jc w:val="both"/>
      </w:pPr>
      <w:r>
        <w:rPr>
          <w:rFonts w:ascii="宋体" w:hAnsi="宋体"/>
        </w:rPr>
        <w:lastRenderedPageBreak/>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8" w:name="_Toc226471303"/>
      <w:r>
        <w:rPr>
          <w:rFonts w:ascii="黑体" w:eastAsia="黑体" w:hAnsi="黑体"/>
        </w:rPr>
        <w:t>10.7 三情景风险演变路径</w:t>
      </w:r>
      <w:bookmarkEnd w:id="78"/>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9" w:name="_Toc226471304"/>
      <w:r>
        <w:rPr>
          <w:rFonts w:ascii="黑体" w:eastAsia="黑体" w:hAnsi="黑体"/>
        </w:rPr>
        <w:t>10.8 风险应对策略矩阵</w:t>
      </w:r>
      <w:bookmarkEnd w:id="79"/>
    </w:p>
    <w:p w14:paraId="701EAEC1" w14:textId="77777777" w:rsidR="00FA539A" w:rsidRDefault="00EF778F">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2314AD" w14:textId="77777777" w:rsidR="00FA539A" w:rsidRDefault="00EF778F">
      <w:pPr>
        <w:jc w:val="both"/>
      </w:pPr>
      <w:r>
        <w:rPr>
          <w:rFonts w:ascii="宋体" w:hAnsi="宋体"/>
        </w:rPr>
        <w:t>转移与预案类措施主要用于数据授权、保密协议、服务器备份、关键岗位交接和异常情况处置等环节，目的在于防止单点问题演变</w:t>
      </w:r>
      <w:r>
        <w:rPr>
          <w:rFonts w:ascii="宋体" w:hAnsi="宋体"/>
        </w:rPr>
        <w:lastRenderedPageBreak/>
        <w:t xml:space="preserve">为系统性风险。当前阶段更有效的做法，是把样本、系统、合同和交付流程中的关键节点固化成标准动作。 </w:t>
      </w:r>
    </w:p>
    <w:p w14:paraId="30DD26B6" w14:textId="77777777" w:rsidR="00FA539A" w:rsidRDefault="00EF778F">
      <w:pPr>
        <w:pStyle w:val="21"/>
      </w:pPr>
      <w:bookmarkStart w:id="80" w:name="_Toc226471305"/>
      <w:r>
        <w:rPr>
          <w:rFonts w:ascii="黑体" w:eastAsia="黑体" w:hAnsi="黑体"/>
        </w:rPr>
        <w:t>10.9 关键风险指标监控建议</w:t>
      </w:r>
      <w:bookmarkEnd w:id="80"/>
    </w:p>
    <w:p w14:paraId="2F22E33E" w14:textId="77777777" w:rsidR="00FA539A" w:rsidRDefault="00EF778F">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C91131" w14:textId="77777777" w:rsidR="00753075" w:rsidRDefault="00753075">
      <w:pPr>
        <w:spacing w:line="240" w:lineRule="auto"/>
      </w:pPr>
      <w:r>
        <w:separator/>
      </w:r>
    </w:p>
  </w:endnote>
  <w:endnote w:type="continuationSeparator" w:id="0">
    <w:p w14:paraId="3A82C75F" w14:textId="77777777" w:rsidR="00753075" w:rsidRDefault="0075307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3C97B0E" w14:textId="77777777" w:rsidR="00753075" w:rsidRDefault="00753075">
      <w:pPr>
        <w:spacing w:after="0"/>
      </w:pPr>
      <w:r>
        <w:separator/>
      </w:r>
    </w:p>
  </w:footnote>
  <w:footnote w:type="continuationSeparator" w:id="0">
    <w:p w14:paraId="4154E344" w14:textId="77777777" w:rsidR="00753075" w:rsidRDefault="00753075">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0F2817"/>
    <w:rsid w:val="0015074B"/>
    <w:rsid w:val="00280D16"/>
    <w:rsid w:val="0029639D"/>
    <w:rsid w:val="00326F90"/>
    <w:rsid w:val="003626D4"/>
    <w:rsid w:val="003866B6"/>
    <w:rsid w:val="003D0177"/>
    <w:rsid w:val="00450FA6"/>
    <w:rsid w:val="00581DA6"/>
    <w:rsid w:val="00701D71"/>
    <w:rsid w:val="00740A9C"/>
    <w:rsid w:val="00753075"/>
    <w:rsid w:val="00955F06"/>
    <w:rsid w:val="00A85A80"/>
    <w:rsid w:val="00AA1D8D"/>
    <w:rsid w:val="00B47730"/>
    <w:rsid w:val="00B62ED4"/>
    <w:rsid w:val="00BA6F1E"/>
    <w:rsid w:val="00CB0664"/>
    <w:rsid w:val="00D00C5C"/>
    <w:rsid w:val="00D503BA"/>
    <w:rsid w:val="00EF778F"/>
    <w:rsid w:val="00FA539A"/>
    <w:rsid w:val="00FC693F"/>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54</Pages>
  <Words>13926</Words>
  <Characters>14345</Characters>
  <Application>Microsoft Office Word</Application>
  <DocSecurity>0</DocSecurity>
  <Lines>652</Lines>
  <Paragraphs>357</Paragraphs>
  <ScaleCrop>false</ScaleCrop>
  <Company/>
  <LinksUpToDate>false</LinksUpToDate>
  <CharactersWithSpaces>27914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6</cp:revision>
  <dcterms:created xsi:type="dcterms:W3CDTF">2026-04-07T05:11:00Z</dcterms:created>
  <dcterms:modified xsi:type="dcterms:W3CDTF">2026-04-07T08:20:00Z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