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0" w:after="0" w:line="500" w:lineRule="exact"/>
        <w:ind w:firstLine="0"/>
        <w:jc w:val="center"/>
      </w:pPr>
      <w:r>
        <w:rPr>
          <w:rFonts w:ascii="黑体" w:hAnsi="黑体" w:eastAsia="黑体"/>
          <w:b w:val="0"/>
          <w:sz w:val="36"/>
        </w:rPr>
        <w:t>橙源智鉴项目计划书</w:t>
      </w:r>
    </w:p>
    <w:p>
      <w:pPr>
        <w:spacing w:before="0" w:after="0" w:line="500" w:lineRule="exact"/>
        <w:ind w:firstLine="0"/>
        <w:jc w:val="center"/>
      </w:pPr>
      <w:r>
        <w:rPr>
          <w:rFonts w:ascii="仿宋_GB2312" w:hAnsi="仿宋_GB2312" w:eastAsia="仿宋_GB2312"/>
          <w:b w:val="0"/>
          <w:sz w:val="24"/>
        </w:rPr>
        <w:t>版本：V0.6</w:t>
      </w:r>
    </w:p>
    <w:p>
      <w:pPr>
        <w:spacing w:before="0" w:after="0" w:line="500" w:lineRule="exact"/>
        <w:ind w:firstLine="0"/>
        <w:jc w:val="center"/>
      </w:pPr>
      <w:r>
        <w:rPr>
          <w:rFonts w:ascii="仿宋_GB2312" w:hAnsi="仿宋_GB2312" w:eastAsia="仿宋_GB2312"/>
          <w:b w:val="0"/>
          <w:sz w:val="24"/>
        </w:rPr>
        <w:t>日期：2026年4月6日</w:t>
      </w:r>
    </w:p>
    <w:p>
      <w:pPr>
        <w:spacing w:before="0" w:after="0" w:line="500" w:lineRule="exact"/>
        <w:ind w:firstLine="0"/>
        <w:jc w:val="center"/>
      </w:pPr>
      <w:r>
        <w:rPr>
          <w:rFonts w:ascii="仿宋_GB2312" w:hAnsi="仿宋_GB2312" w:eastAsia="仿宋_GB2312"/>
          <w:b w:val="0"/>
          <w:sz w:val="24"/>
        </w:rPr>
        <w:t>说明：本稿按“挑战杯”文档格式要求调整页面与正文样式，当前为去图文字版。</w:t>
      </w:r>
    </w:p>
    <w:p>
      <w:pPr>
        <w:sectPr>
          <w:footerReference w:type="default" r:id="rId9"/>
          <w:pgSz w:w="11906" w:h="16838"/>
          <w:pgMar w:top="1417" w:right="1417" w:bottom="1417" w:left="1417" w:header="850" w:footer="992" w:gutter="0"/>
          <w:cols w:space="720"/>
          <w:docGrid w:linePitch="360"/>
        </w:sectPr>
      </w:pPr>
    </w:p>
    <w:p>
      <w:pPr>
        <w:spacing w:before="0" w:after="0" w:line="500" w:lineRule="exact"/>
        <w:ind w:firstLine="0"/>
        <w:jc w:val="center"/>
      </w:pPr>
      <w:r>
        <w:rPr>
          <w:rFonts w:ascii="黑体" w:hAnsi="黑体" w:eastAsia="黑体"/>
          <w:b w:val="0"/>
          <w:sz w:val="32"/>
        </w:rPr>
        <w:t>目 录</w:t>
      </w:r>
    </w:p>
    <w:p>
      <w:pPr>
        <w:spacing w:before="0" w:after="0" w:line="500" w:lineRule="exact"/>
        <w:ind w:firstLine="480"/>
        <w:jc w:val="both"/>
      </w:pPr>
      <w:r>
        <w:rPr>
          <w:rFonts w:ascii="仿宋_GB2312" w:hAnsi="仿宋_GB2312" w:eastAsia="仿宋_GB2312"/>
          <w:b w:val="0"/>
          <w:sz w:val="24"/>
        </w:rPr>
        <w:t>第一章 项目概述</w:t>
      </w:r>
    </w:p>
    <w:p>
      <w:pPr>
        <w:spacing w:before="0" w:after="0" w:line="500" w:lineRule="exact"/>
        <w:ind w:firstLine="480"/>
        <w:jc w:val="both"/>
      </w:pPr>
      <w:r>
        <w:rPr>
          <w:rFonts w:ascii="仿宋_GB2312" w:hAnsi="仿宋_GB2312" w:eastAsia="仿宋_GB2312"/>
          <w:b w:val="0"/>
          <w:sz w:val="24"/>
        </w:rPr>
        <w:t>第二章 产品效益</w:t>
      </w:r>
    </w:p>
    <w:p>
      <w:pPr>
        <w:spacing w:before="0" w:after="0" w:line="500" w:lineRule="exact"/>
        <w:ind w:firstLine="480"/>
        <w:jc w:val="both"/>
      </w:pPr>
      <w:r>
        <w:rPr>
          <w:rFonts w:ascii="仿宋_GB2312" w:hAnsi="仿宋_GB2312" w:eastAsia="仿宋_GB2312"/>
          <w:b w:val="0"/>
          <w:sz w:val="24"/>
        </w:rPr>
        <w:t>第三章 可行性分析</w:t>
      </w:r>
    </w:p>
    <w:p>
      <w:pPr>
        <w:spacing w:before="0" w:after="0" w:line="500" w:lineRule="exact"/>
        <w:ind w:firstLine="480"/>
        <w:jc w:val="both"/>
      </w:pPr>
      <w:r>
        <w:rPr>
          <w:rFonts w:ascii="仿宋_GB2312" w:hAnsi="仿宋_GB2312" w:eastAsia="仿宋_GB2312"/>
          <w:b w:val="0"/>
          <w:sz w:val="24"/>
        </w:rPr>
        <w:t>第四章 市场优势与需求分析</w:t>
      </w:r>
    </w:p>
    <w:p>
      <w:pPr>
        <w:spacing w:before="0" w:after="0" w:line="500" w:lineRule="exact"/>
        <w:ind w:firstLine="480"/>
        <w:jc w:val="both"/>
      </w:pPr>
      <w:r>
        <w:rPr>
          <w:rFonts w:ascii="仿宋_GB2312" w:hAnsi="仿宋_GB2312" w:eastAsia="仿宋_GB2312"/>
          <w:b w:val="0"/>
          <w:sz w:val="24"/>
        </w:rPr>
        <w:t>第五章 技术策略</w:t>
      </w:r>
    </w:p>
    <w:p>
      <w:pPr>
        <w:spacing w:before="0" w:after="0" w:line="500" w:lineRule="exact"/>
        <w:ind w:firstLine="480"/>
        <w:jc w:val="both"/>
      </w:pPr>
      <w:r>
        <w:rPr>
          <w:rFonts w:ascii="仿宋_GB2312" w:hAnsi="仿宋_GB2312" w:eastAsia="仿宋_GB2312"/>
          <w:b w:val="0"/>
          <w:sz w:val="24"/>
        </w:rPr>
        <w:t>第六章 产品策略</w:t>
      </w:r>
    </w:p>
    <w:p>
      <w:pPr>
        <w:spacing w:before="0" w:after="0" w:line="500" w:lineRule="exact"/>
        <w:ind w:firstLine="480"/>
        <w:jc w:val="both"/>
      </w:pPr>
      <w:r>
        <w:rPr>
          <w:rFonts w:ascii="仿宋_GB2312" w:hAnsi="仿宋_GB2312" w:eastAsia="仿宋_GB2312"/>
          <w:b w:val="0"/>
          <w:sz w:val="24"/>
        </w:rPr>
        <w:t>第七章 运营策略</w:t>
      </w:r>
    </w:p>
    <w:p>
      <w:pPr>
        <w:spacing w:before="0" w:after="0" w:line="500" w:lineRule="exact"/>
        <w:ind w:firstLine="480"/>
        <w:jc w:val="both"/>
      </w:pPr>
      <w:r>
        <w:rPr>
          <w:rFonts w:ascii="仿宋_GB2312" w:hAnsi="仿宋_GB2312" w:eastAsia="仿宋_GB2312"/>
          <w:b w:val="0"/>
          <w:sz w:val="24"/>
        </w:rPr>
        <w:t>第八章 团队介绍</w:t>
      </w:r>
    </w:p>
    <w:p>
      <w:pPr>
        <w:spacing w:before="0" w:after="0" w:line="500" w:lineRule="exact"/>
        <w:ind w:firstLine="480"/>
        <w:jc w:val="both"/>
      </w:pPr>
      <w:r>
        <w:rPr>
          <w:rFonts w:ascii="仿宋_GB2312" w:hAnsi="仿宋_GB2312" w:eastAsia="仿宋_GB2312"/>
          <w:b w:val="0"/>
          <w:sz w:val="24"/>
        </w:rPr>
        <w:t>第九章 财务预测</w:t>
      </w:r>
    </w:p>
    <w:p>
      <w:pPr>
        <w:spacing w:before="0" w:after="0" w:line="500" w:lineRule="exact"/>
        <w:ind w:firstLine="480"/>
        <w:jc w:val="both"/>
      </w:pPr>
      <w:r>
        <w:rPr>
          <w:rFonts w:ascii="仿宋_GB2312" w:hAnsi="仿宋_GB2312" w:eastAsia="仿宋_GB2312"/>
          <w:b w:val="0"/>
          <w:sz w:val="24"/>
        </w:rPr>
        <w:t>第十章 风险分析</w:t>
      </w:r>
    </w:p>
    <w:p>
      <w:pPr>
        <w:sectPr>
          <w:pgSz w:w="11906" w:h="16838"/>
          <w:pgMar w:top="1417" w:right="1417" w:bottom="1417" w:left="1417" w:header="850" w:footer="992" w:gutter="0"/>
          <w:cols w:space="720"/>
          <w:docGrid w:linePitch="360"/>
        </w:sectPr>
      </w:pPr>
    </w:p>
    <w:p>
      <w:pPr>
        <w:spacing w:before="0" w:after="0" w:line="500" w:lineRule="exact"/>
        <w:ind w:firstLine="0"/>
        <w:jc w:val="both"/>
      </w:pPr>
      <w:r>
        <w:rPr>
          <w:rFonts w:ascii="仿宋_GB2312" w:hAnsi="仿宋_GB2312" w:eastAsia="仿宋_GB2312"/>
          <w:b/>
          <w:sz w:val="24"/>
        </w:rPr>
        <w:t xml:space="preserve">摘要 </w:t>
      </w:r>
      <w:r>
        <w:rPr>
          <w:rFonts w:ascii="仿宋_GB2312" w:hAnsi="仿宋_GB2312" w:eastAsia="仿宋_GB2312"/>
          <w:b w:val="0"/>
          <w:sz w:val="24"/>
        </w:rPr>
        <w:t>橙源智鉴项目面向橙类及相关特色水果在品质分级、产地识别、批次留痕和品牌表达中的现实需求，提出以高光谱成像为数据入口、以分类与回归模型为核心能力、以可解释分析和图文化报告为主要输出的智能检测平台方案。项目立足农业农村部智慧农业与农产品追溯相关政策导向，结合我国柑橘产业规模、海南特色水果产业基础以及当前品牌果品在快速识别、可信表达和标准化管理中的实际痛点，构建“样本采集—数据处理—模型训练—结果解释—平台应用”的技术与产品路径。项目拟优先围绕澄迈福橙、琼中绿橙等具有区域品牌属性的场景开展验证，形成可用于展示、试点和后续复制推广的阶段性成果。</w:t>
      </w:r>
    </w:p>
    <w:p>
      <w:pPr>
        <w:spacing w:before="0" w:after="0" w:line="500" w:lineRule="exact"/>
        <w:ind w:firstLine="0"/>
        <w:jc w:val="both"/>
      </w:pPr>
      <w:r>
        <w:rPr>
          <w:rFonts w:ascii="仿宋_GB2312" w:hAnsi="仿宋_GB2312" w:eastAsia="仿宋_GB2312"/>
          <w:b/>
          <w:sz w:val="24"/>
        </w:rPr>
        <w:t xml:space="preserve">关键词 </w:t>
      </w:r>
      <w:r>
        <w:rPr>
          <w:rFonts w:ascii="仿宋_GB2312" w:hAnsi="仿宋_GB2312" w:eastAsia="仿宋_GB2312"/>
          <w:b w:val="0"/>
          <w:sz w:val="24"/>
        </w:rPr>
        <w:t>高光谱成像；橙类品质检测；产地识别；智慧农业；可解释AI</w:t>
      </w:r>
    </w:p>
    <w:p>
      <w:pPr>
        <w:spacing w:before="0" w:after="0" w:line="500" w:lineRule="exact"/>
        <w:ind w:firstLine="0"/>
        <w:jc w:val="both"/>
      </w:pPr>
      <w:r>
        <w:rPr>
          <w:rFonts w:ascii="Times New Roman" w:hAnsi="Times New Roman" w:eastAsia="Times New Roman"/>
          <w:b/>
          <w:sz w:val="24"/>
        </w:rPr>
        <w:t xml:space="preserve">Abstract </w:t>
      </w:r>
      <w:r>
        <w:rPr>
          <w:rFonts w:ascii="Times New Roman" w:hAnsi="Times New Roman" w:eastAsia="Times New Roman"/>
          <w:b w:val="0"/>
          <w:sz w:val="24"/>
        </w:rPr>
        <w:t>Chengyuan Insight focuses on the practical needs of citrus and other specialty fruits in quality grading, origin identification, batch traceability and brand-oriented evidence presentation. The project proposes an intelligent inspection platform based on hyperspectral imaging, classification and regression models, explainable analysis and visual reports. Guided by current policies on smart agriculture and traceability, the project combines industry demand, Hainan's regional fruit resources and the existing web prototype to build a feasible path from sample collection to platform application.</w:t>
      </w:r>
    </w:p>
    <w:p>
      <w:pPr>
        <w:spacing w:before="0" w:after="0" w:line="500" w:lineRule="exact"/>
        <w:ind w:firstLine="0"/>
        <w:jc w:val="both"/>
      </w:pPr>
      <w:r>
        <w:rPr>
          <w:rFonts w:ascii="Times New Roman" w:hAnsi="Times New Roman" w:eastAsia="Times New Roman"/>
          <w:b/>
          <w:sz w:val="24"/>
        </w:rPr>
        <w:t xml:space="preserve">Key words </w:t>
      </w:r>
      <w:r>
        <w:rPr>
          <w:rFonts w:ascii="Times New Roman" w:hAnsi="Times New Roman" w:eastAsia="Times New Roman"/>
          <w:b w:val="0"/>
          <w:sz w:val="24"/>
        </w:rPr>
        <w:t>hyperspectral imaging; citrus quality inspection; origin identification; smart agriculture; explainable AI</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第一章 项目概述</w:t>
      </w:r>
    </w:p>
    <w:p>
      <w:pPr>
        <w:pStyle w:val="Heading2"/>
        <w:spacing w:before="0" w:after="0" w:line="500" w:lineRule="exact"/>
        <w:ind w:firstLine="0"/>
        <w:jc w:val="left"/>
      </w:pPr>
      <w:r>
        <w:rPr>
          <w:rFonts w:ascii="楷体_GB2312" w:hAnsi="楷体_GB2312" w:eastAsia="楷体_GB2312"/>
          <w:b w:val="0"/>
          <w:sz w:val="32"/>
        </w:rPr>
        <w:t>1.1 项目背景</w:t>
      </w:r>
    </w:p>
    <w:p>
      <w:pPr>
        <w:spacing w:before="0" w:after="0" w:line="500" w:lineRule="exact"/>
        <w:ind w:firstLine="480"/>
        <w:jc w:val="both"/>
      </w:pPr>
      <w:r>
        <w:rPr>
          <w:rFonts w:ascii="仿宋_GB2312" w:hAnsi="仿宋_GB2312" w:eastAsia="仿宋_GB2312"/>
          <w:b w:val="0"/>
          <w:sz w:val="24"/>
        </w:rPr>
        <w:t>近年来，我国水果产业正在从“规模扩张”转向“品质提升”和“品牌经营”并重的发展阶段。对于橙类产品而言，传统分级更多依赖人工经验、抽样理化检测和外观判断，这种方式在小规模场景中尚可维持，但一旦进入品牌果、电商果、礼盒果、节令果等对稳定性和证明力要求更高的场景，就容易暴露出效率偏低、标准不一、结果难留痕等问题。</w:t>
      </w:r>
    </w:p>
    <w:p>
      <w:pPr>
        <w:spacing w:before="0" w:after="0" w:line="500" w:lineRule="exact"/>
        <w:ind w:firstLine="480"/>
        <w:jc w:val="both"/>
      </w:pPr>
      <w:r>
        <w:rPr>
          <w:rFonts w:ascii="仿宋_GB2312" w:hAnsi="仿宋_GB2312" w:eastAsia="仿宋_GB2312"/>
          <w:b w:val="0"/>
          <w:sz w:val="24"/>
        </w:rPr>
        <w:t>从产业规模看，柑橘依然是我国最具代表性的优势水果之一。农业农村部2024年公开资料显示，我国柑橘种植面积约4493.72万亩、年产量约6003.89万吨，约占全球总产量28%。与此同时，农业农村部《2024年4月农产品供需形势分析月报（水果）》指出，2023产季主产区天气总体良好，柑橘普遍丰产，2024年3月全国重点监测批发市场柑橘均价为7.03元/公斤，同比下跌12.5%。供给端充足、价格端承压，意味着产业竞争正在从“有没有货”转向“能不能稳定证明品质更好、来源更真、分级更清晰”。</w:t>
      </w:r>
    </w:p>
    <w:p>
      <w:pPr>
        <w:spacing w:before="0" w:after="0" w:line="500" w:lineRule="exact"/>
        <w:ind w:firstLine="480"/>
        <w:jc w:val="both"/>
      </w:pPr>
      <w:r>
        <w:rPr>
          <w:rFonts w:ascii="仿宋_GB2312" w:hAnsi="仿宋_GB2312" w:eastAsia="仿宋_GB2312"/>
          <w:b w:val="0"/>
          <w:sz w:val="24"/>
        </w:rPr>
        <w:t>从区域基础看，海南特色水果产业仍处于稳步增长阶段。根据海南省统计局2025年1月发布的《海南省2024年国民经济和社会发展统计公报》，2024年海南水果总产量617.66万吨，同比增长4.2%；海南农业农村领域公开资料也显示，全省热带水果种植面积约312万亩、年产量约412万吨。对澄迈福橙、琼中绿橙这类具有地域辨识度、品牌属性和溢价空间的产品而言，品质分级、产地可信表达和检测数据留痕，已经不只是检测环节的技术问题，更是品牌经营和产业升级中的关键环节。</w:t>
      </w:r>
    </w:p>
    <w:p>
      <w:pPr>
        <w:spacing w:before="0" w:after="0" w:line="500" w:lineRule="exact"/>
        <w:ind w:firstLine="480"/>
        <w:jc w:val="both"/>
      </w:pPr>
      <w:r>
        <w:rPr>
          <w:rFonts w:ascii="仿宋_GB2312" w:hAnsi="仿宋_GB2312" w:eastAsia="仿宋_GB2312"/>
          <w:b w:val="0"/>
          <w:sz w:val="24"/>
        </w:rPr>
        <w:t>正是在这一背景下，橙源智鉴提出以高光谱成像为数据入口，以产地分类模型和品质回归模型为核心引擎，以可解释分析和图文化报告为输出形式，建设一套面向橙类及相关特色水果的智能检测与产地识别平台。项目并不试图简单替代传统理化检测，而是希望补上品牌果品在快速识别、批次留痕、产地判别和展示表达上的能力短板，让检测结果真正转化为生产管理、流通协同和品牌证明的一部分。</w:t>
      </w:r>
    </w:p>
    <w:p>
      <w:pPr>
        <w:pStyle w:val="Heading2"/>
        <w:spacing w:before="0" w:after="0" w:line="500" w:lineRule="exact"/>
        <w:ind w:firstLine="0"/>
        <w:jc w:val="left"/>
      </w:pPr>
      <w:r>
        <w:rPr>
          <w:rFonts w:ascii="楷体_GB2312" w:hAnsi="楷体_GB2312" w:eastAsia="楷体_GB2312"/>
          <w:b w:val="0"/>
          <w:sz w:val="32"/>
        </w:rPr>
        <w:t>1.2 政策支持</w:t>
      </w:r>
    </w:p>
    <w:p>
      <w:pPr>
        <w:pStyle w:val="Heading3"/>
        <w:spacing w:before="0" w:after="0" w:line="500" w:lineRule="exact"/>
        <w:ind w:firstLine="0"/>
        <w:jc w:val="left"/>
      </w:pPr>
      <w:r>
        <w:rPr>
          <w:rFonts w:ascii="仿宋_GB2312" w:hAnsi="仿宋_GB2312" w:eastAsia="仿宋_GB2312"/>
          <w:b w:val="0"/>
          <w:sz w:val="28"/>
        </w:rPr>
        <w:t>1.2.1 国家智慧农业与追溯政策支撑</w:t>
      </w:r>
    </w:p>
    <w:p>
      <w:pPr>
        <w:spacing w:before="0" w:after="0" w:line="500" w:lineRule="exact"/>
        <w:ind w:firstLine="480"/>
        <w:jc w:val="both"/>
      </w:pPr>
      <w:r>
        <w:rPr>
          <w:rFonts w:ascii="仿宋_GB2312" w:hAnsi="仿宋_GB2312" w:eastAsia="仿宋_GB2312"/>
          <w:b w:val="0"/>
          <w:sz w:val="24"/>
        </w:rPr>
        <w:t>农业农村部于2024年11月印发《全国智慧农业行动计划（2024—2028年）》，明确提出到2028年底农业生产信息化率达到32%以上，重点推动农业全链条数字化、智能化升级。该政策的核心导向并不是单纯增加设备数量，而是推动农业数据采集、智能分析、生产决策和服务交付形成闭环，这与橙源智鉴“采集—分析—解释—应用”的建设逻辑高度一致。</w:t>
      </w:r>
    </w:p>
    <w:p>
      <w:pPr>
        <w:spacing w:before="0" w:after="0" w:line="500" w:lineRule="exact"/>
        <w:ind w:firstLine="480"/>
        <w:jc w:val="both"/>
      </w:pPr>
      <w:r>
        <w:rPr>
          <w:rFonts w:ascii="仿宋_GB2312" w:hAnsi="仿宋_GB2312" w:eastAsia="仿宋_GB2312"/>
          <w:b w:val="0"/>
          <w:sz w:val="24"/>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pPr>
        <w:pStyle w:val="Heading3"/>
        <w:spacing w:before="0" w:after="0" w:line="500" w:lineRule="exact"/>
        <w:ind w:firstLine="0"/>
        <w:jc w:val="left"/>
      </w:pPr>
      <w:r>
        <w:rPr>
          <w:rFonts w:ascii="仿宋_GB2312" w:hAnsi="仿宋_GB2312" w:eastAsia="仿宋_GB2312"/>
          <w:b w:val="0"/>
          <w:sz w:val="28"/>
        </w:rPr>
        <w:t>1.2.2 海南区域产业与人工智能场景支撑</w:t>
      </w:r>
    </w:p>
    <w:p>
      <w:pPr>
        <w:spacing w:before="0" w:after="0" w:line="500" w:lineRule="exact"/>
        <w:ind w:firstLine="480"/>
        <w:jc w:val="both"/>
      </w:pPr>
      <w:r>
        <w:rPr>
          <w:rFonts w:ascii="仿宋_GB2312" w:hAnsi="仿宋_GB2312" w:eastAsia="仿宋_GB2312"/>
          <w:b w:val="0"/>
          <w:sz w:val="24"/>
        </w:rPr>
        <w:t>海南自由贸易港建设、热带特色高效农业发展以及“人工智能+”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pPr>
        <w:spacing w:before="0" w:after="0" w:line="500" w:lineRule="exact"/>
        <w:ind w:firstLine="480"/>
        <w:jc w:val="both"/>
      </w:pPr>
      <w:r>
        <w:rPr>
          <w:rFonts w:ascii="仿宋_GB2312" w:hAnsi="仿宋_GB2312" w:eastAsia="仿宋_GB2312"/>
          <w:b w:val="0"/>
          <w:sz w:val="24"/>
        </w:rPr>
        <w:t>以澄迈福橙、琼中绿橙等为代表的区域品牌果品，本身就兼具品牌传播、品质分级和产地识别三类需求。项目若能先在这些具有代表性的海南场景中形成样板，将更有利于后续向其他果品和其他地区复制推广。</w:t>
      </w:r>
    </w:p>
    <w:p>
      <w:pPr>
        <w:pStyle w:val="Heading2"/>
        <w:spacing w:before="0" w:after="0" w:line="500" w:lineRule="exact"/>
        <w:ind w:firstLine="0"/>
        <w:jc w:val="left"/>
      </w:pPr>
      <w:r>
        <w:rPr>
          <w:rFonts w:ascii="楷体_GB2312" w:hAnsi="楷体_GB2312" w:eastAsia="楷体_GB2312"/>
          <w:b w:val="0"/>
          <w:sz w:val="32"/>
        </w:rPr>
        <w:t>1.3 技术支撑</w:t>
      </w:r>
    </w:p>
    <w:p>
      <w:pPr>
        <w:pStyle w:val="Heading3"/>
        <w:spacing w:before="0" w:after="0" w:line="500" w:lineRule="exact"/>
        <w:ind w:firstLine="0"/>
        <w:jc w:val="left"/>
      </w:pPr>
      <w:r>
        <w:rPr>
          <w:rFonts w:ascii="仿宋_GB2312" w:hAnsi="仿宋_GB2312" w:eastAsia="仿宋_GB2312"/>
          <w:b w:val="0"/>
          <w:sz w:val="28"/>
        </w:rPr>
        <w:t>1.3.1 高光谱成像提供无损检测基础</w:t>
      </w:r>
    </w:p>
    <w:p>
      <w:pPr>
        <w:spacing w:before="0" w:after="0" w:line="500" w:lineRule="exact"/>
        <w:ind w:firstLine="480"/>
        <w:jc w:val="both"/>
      </w:pPr>
      <w:r>
        <w:rPr>
          <w:rFonts w:ascii="仿宋_GB2312" w:hAnsi="仿宋_GB2312" w:eastAsia="仿宋_GB2312"/>
          <w:b w:val="0"/>
          <w:sz w:val="24"/>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pPr>
        <w:pStyle w:val="Heading3"/>
        <w:spacing w:before="0" w:after="0" w:line="500" w:lineRule="exact"/>
        <w:ind w:firstLine="0"/>
        <w:jc w:val="left"/>
      </w:pPr>
      <w:r>
        <w:rPr>
          <w:rFonts w:ascii="仿宋_GB2312" w:hAnsi="仿宋_GB2312" w:eastAsia="仿宋_GB2312"/>
          <w:b w:val="0"/>
          <w:sz w:val="28"/>
        </w:rPr>
        <w:t>1.3.2 智能模型支撑分类与预测双任务</w:t>
      </w:r>
    </w:p>
    <w:p>
      <w:pPr>
        <w:spacing w:before="0" w:after="0" w:line="500" w:lineRule="exact"/>
        <w:ind w:firstLine="480"/>
        <w:jc w:val="both"/>
      </w:pPr>
      <w:r>
        <w:rPr>
          <w:rFonts w:ascii="仿宋_GB2312" w:hAnsi="仿宋_GB2312" w:eastAsia="仿宋_GB2312"/>
          <w:b w:val="0"/>
          <w:sz w:val="24"/>
        </w:rPr>
        <w:t>在算法层面，项目并非只关注单一分类结论，而是同时考虑产地识别与品质预测两类任务。一方面，通过分类模型识别不同区域样本的特征差异；另一方面，通过回归模型对糖度、酸度、糖酸比、维生素C等指标进行预测，再结合异常识别和可解释分析增强结果可信度。这种“双任务并行”的策略更符合真实业务场景。</w:t>
      </w:r>
    </w:p>
    <w:p>
      <w:pPr>
        <w:pStyle w:val="Heading3"/>
        <w:spacing w:before="0" w:after="0" w:line="500" w:lineRule="exact"/>
        <w:ind w:firstLine="0"/>
        <w:jc w:val="left"/>
      </w:pPr>
      <w:r>
        <w:rPr>
          <w:rFonts w:ascii="仿宋_GB2312" w:hAnsi="仿宋_GB2312" w:eastAsia="仿宋_GB2312"/>
          <w:b w:val="0"/>
          <w:sz w:val="28"/>
        </w:rPr>
        <w:t>1.3.3 平台原型为技术落地提供载体</w:t>
      </w:r>
    </w:p>
    <w:p>
      <w:pPr>
        <w:spacing w:before="0" w:after="0" w:line="500" w:lineRule="exact"/>
        <w:ind w:firstLine="480"/>
        <w:jc w:val="both"/>
      </w:pPr>
      <w:r>
        <w:rPr>
          <w:rFonts w:ascii="仿宋_GB2312" w:hAnsi="仿宋_GB2312" w:eastAsia="仿宋_GB2312"/>
          <w:b w:val="0"/>
          <w:sz w:val="24"/>
        </w:rPr>
        <w:t>当前项目已完成首页、可视化大屏、样本分析、模型解释、历史记录和技术原理等页面原型。也就是说，项目不仅有技术方向，也有比较具体的承载界面。后续模型能力、数据能力和报告能力可以直接在现有原型上持续叠加，这比从实验室结论重新做产品包装更有落地效率。</w:t>
      </w:r>
    </w:p>
    <w:p>
      <w:pPr>
        <w:pStyle w:val="Heading2"/>
        <w:spacing w:before="0" w:after="0" w:line="500" w:lineRule="exact"/>
        <w:ind w:firstLine="0"/>
        <w:jc w:val="left"/>
      </w:pPr>
      <w:r>
        <w:rPr>
          <w:rFonts w:ascii="楷体_GB2312" w:hAnsi="楷体_GB2312" w:eastAsia="楷体_GB2312"/>
          <w:b w:val="0"/>
          <w:sz w:val="32"/>
        </w:rPr>
        <w:t>1.4 项目基础与阶段目标</w:t>
      </w:r>
    </w:p>
    <w:p>
      <w:pPr>
        <w:spacing w:before="0" w:after="0" w:line="500" w:lineRule="exact"/>
        <w:ind w:firstLine="480"/>
        <w:jc w:val="both"/>
      </w:pPr>
      <w:r>
        <w:rPr>
          <w:rFonts w:ascii="仿宋_GB2312" w:hAnsi="仿宋_GB2312" w:eastAsia="仿宋_GB2312"/>
          <w:b w:val="0"/>
          <w:sz w:val="24"/>
        </w:rPr>
        <w:t>结合当前目录下的项目基础来看，橙源智鉴并不是从零搭概念，而是已经具备“页面结构 + 样本字段 + 分析流程”的雏形。现有项目采用 Next 16.2.2、React 19.2.4、ECharts 6 和 Framer Motion 构建，已经形成较为完整的展示与分析界面；在数据侧，也已沉淀糖度（SSC）、酸度（TA）、糖酸比、维生素C等品质指标样例，并建立了不同产地样本的高光谱曲线展示逻辑。这意味着项目下一步的重点不是重新设计概念，而是把样本规模、标签质量和跨批次稳定性逐步补强。</w:t>
      </w:r>
    </w:p>
    <w:p>
      <w:pPr>
        <w:pStyle w:val="ListBullet"/>
        <w:spacing w:before="0" w:after="0" w:line="500" w:lineRule="exact"/>
        <w:ind w:firstLine="0"/>
        <w:jc w:val="both"/>
      </w:pPr>
      <w:r>
        <w:rPr>
          <w:rFonts w:ascii="仿宋_GB2312" w:hAnsi="仿宋_GB2312" w:eastAsia="仿宋_GB2312"/>
          <w:b w:val="0"/>
          <w:sz w:val="24"/>
        </w:rPr>
        <w:t>阶段目标一：围绕橙类产品完善样本采集、理化标签和光谱数据的规范化体系。</w:t>
      </w:r>
    </w:p>
    <w:p>
      <w:pPr>
        <w:pStyle w:val="ListBullet"/>
        <w:spacing w:before="0" w:after="0" w:line="500" w:lineRule="exact"/>
        <w:ind w:firstLine="0"/>
        <w:jc w:val="both"/>
      </w:pPr>
      <w:r>
        <w:rPr>
          <w:rFonts w:ascii="仿宋_GB2312" w:hAnsi="仿宋_GB2312" w:eastAsia="仿宋_GB2312"/>
          <w:b w:val="0"/>
          <w:sz w:val="24"/>
        </w:rPr>
        <w:t>阶段目标二：形成产地识别、品质预测和异常预警三类核心分析能力。</w:t>
      </w:r>
    </w:p>
    <w:p>
      <w:pPr>
        <w:pStyle w:val="ListBullet"/>
        <w:spacing w:before="0" w:after="0" w:line="500" w:lineRule="exact"/>
        <w:ind w:firstLine="0"/>
        <w:jc w:val="both"/>
      </w:pPr>
      <w:r>
        <w:rPr>
          <w:rFonts w:ascii="仿宋_GB2312" w:hAnsi="仿宋_GB2312" w:eastAsia="仿宋_GB2312"/>
          <w:b w:val="0"/>
          <w:sz w:val="24"/>
        </w:rPr>
        <w:t>阶段目标三：把当前原型迭代为可用于展示、试点和合作洽谈的图文化平台版本。</w:t>
      </w:r>
    </w:p>
    <w:p>
      <w:pPr>
        <w:pStyle w:val="ListBullet"/>
        <w:spacing w:before="0" w:after="0" w:line="500" w:lineRule="exact"/>
        <w:ind w:firstLine="0"/>
        <w:jc w:val="both"/>
      </w:pPr>
      <w:r>
        <w:rPr>
          <w:rFonts w:ascii="仿宋_GB2312" w:hAnsi="仿宋_GB2312" w:eastAsia="仿宋_GB2312"/>
          <w:b w:val="0"/>
          <w:sz w:val="24"/>
        </w:rPr>
        <w:t>阶段目标四：优先围绕澄迈福橙、琼中绿橙等具备品牌基础的场景验证项目价值。</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第二章 产品效益</w:t>
      </w:r>
    </w:p>
    <w:p>
      <w:pPr>
        <w:pStyle w:val="Heading2"/>
        <w:spacing w:before="0" w:after="0" w:line="500" w:lineRule="exact"/>
        <w:ind w:firstLine="0"/>
        <w:jc w:val="left"/>
      </w:pPr>
      <w:r>
        <w:rPr>
          <w:rFonts w:ascii="楷体_GB2312" w:hAnsi="楷体_GB2312" w:eastAsia="楷体_GB2312"/>
          <w:b w:val="0"/>
          <w:sz w:val="32"/>
        </w:rPr>
        <w:t>2.1 社会效益</w:t>
      </w:r>
    </w:p>
    <w:p>
      <w:pPr>
        <w:spacing w:before="0" w:after="0" w:line="500" w:lineRule="exact"/>
        <w:ind w:firstLine="480"/>
        <w:jc w:val="both"/>
      </w:pPr>
      <w:r>
        <w:rPr>
          <w:rFonts w:ascii="仿宋_GB2312" w:hAnsi="仿宋_GB2312" w:eastAsia="仿宋_GB2312"/>
          <w:b w:val="0"/>
          <w:sz w:val="24"/>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靠人把关”逐步走向“数据辅助把关”。</w:t>
      </w:r>
    </w:p>
    <w:p>
      <w:pPr>
        <w:spacing w:before="0" w:after="0" w:line="500" w:lineRule="exact"/>
        <w:ind w:firstLine="480"/>
        <w:jc w:val="both"/>
      </w:pPr>
      <w:r>
        <w:rPr>
          <w:rFonts w:ascii="仿宋_GB2312" w:hAnsi="仿宋_GB2312" w:eastAsia="仿宋_GB2312"/>
          <w:b w:val="0"/>
          <w:sz w:val="24"/>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pPr>
        <w:spacing w:before="0" w:after="0" w:line="500" w:lineRule="exact"/>
        <w:ind w:firstLine="480"/>
        <w:jc w:val="both"/>
      </w:pPr>
      <w:r>
        <w:rPr>
          <w:rFonts w:ascii="仿宋_GB2312" w:hAnsi="仿宋_GB2312" w:eastAsia="仿宋_GB2312"/>
          <w:b w:val="0"/>
          <w:sz w:val="24"/>
        </w:rPr>
        <w:t>此外，高光谱与智能分析技术的引入，还能推动果品检测从单次结果输出走向持续数据积累。相比只出具一份静态报告，这种可长期沉淀、可持续迭代的能力更有助于区域产业形成自己的数据资产和标准化基础。</w:t>
      </w:r>
    </w:p>
    <w:p>
      <w:pPr>
        <w:pStyle w:val="Heading2"/>
        <w:spacing w:before="0" w:after="0" w:line="500" w:lineRule="exact"/>
        <w:ind w:firstLine="0"/>
        <w:jc w:val="left"/>
      </w:pPr>
      <w:r>
        <w:rPr>
          <w:rFonts w:ascii="楷体_GB2312" w:hAnsi="楷体_GB2312" w:eastAsia="楷体_GB2312"/>
          <w:b w:val="0"/>
          <w:sz w:val="32"/>
        </w:rPr>
        <w:t>2.2 经济效益</w:t>
      </w:r>
    </w:p>
    <w:p>
      <w:pPr>
        <w:spacing w:before="0" w:after="0" w:line="500" w:lineRule="exact"/>
        <w:ind w:firstLine="480"/>
        <w:jc w:val="both"/>
      </w:pPr>
      <w:r>
        <w:rPr>
          <w:rFonts w:ascii="仿宋_GB2312" w:hAnsi="仿宋_GB2312" w:eastAsia="仿宋_GB2312"/>
          <w:b w:val="0"/>
          <w:sz w:val="24"/>
        </w:rPr>
        <w:t>从经营端看，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pPr>
        <w:spacing w:before="0" w:after="0" w:line="500" w:lineRule="exact"/>
        <w:ind w:firstLine="480"/>
        <w:jc w:val="both"/>
      </w:pPr>
      <w:r>
        <w:rPr>
          <w:rFonts w:ascii="仿宋_GB2312" w:hAnsi="仿宋_GB2312" w:eastAsia="仿宋_GB2312"/>
          <w:b w:val="0"/>
          <w:sz w:val="24"/>
        </w:rPr>
        <w:t>对于品牌运营主体而言，项目的经济意义并不仅仅体现在“节省检测成本”，更体现在“增强议价能力”。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pPr>
        <w:spacing w:before="0" w:after="0" w:line="500" w:lineRule="exact"/>
        <w:ind w:firstLine="480"/>
        <w:jc w:val="both"/>
      </w:pPr>
      <w:r>
        <w:rPr>
          <w:rFonts w:ascii="仿宋_GB2312" w:hAnsi="仿宋_GB2312" w:eastAsia="仿宋_GB2312"/>
          <w:b w:val="0"/>
          <w:sz w:val="24"/>
        </w:rPr>
        <w:t>从项目自身的商业化角度看，平台后续也具备延伸出检测服务、试点合作、平台订阅和联合项目开发等多元收入路径的可能。也就是说，经济效益既体现在客户侧的降本增效，也体现在项目侧的可持续运营空间。</w:t>
      </w:r>
    </w:p>
    <w:p>
      <w:pPr>
        <w:pStyle w:val="Heading2"/>
        <w:spacing w:before="0" w:after="0" w:line="500" w:lineRule="exact"/>
        <w:ind w:firstLine="0"/>
        <w:jc w:val="left"/>
      </w:pPr>
      <w:r>
        <w:rPr>
          <w:rFonts w:ascii="楷体_GB2312" w:hAnsi="楷体_GB2312" w:eastAsia="楷体_GB2312"/>
          <w:b w:val="0"/>
          <w:sz w:val="32"/>
        </w:rPr>
        <w:t>2.3 教育引领</w:t>
      </w:r>
    </w:p>
    <w:p>
      <w:pPr>
        <w:spacing w:before="0" w:after="0" w:line="500" w:lineRule="exact"/>
        <w:ind w:firstLine="480"/>
        <w:jc w:val="both"/>
      </w:pPr>
      <w:r>
        <w:rPr>
          <w:rFonts w:ascii="仿宋_GB2312" w:hAnsi="仿宋_GB2312" w:eastAsia="仿宋_GB2312"/>
          <w:b w:val="0"/>
          <w:sz w:val="24"/>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pPr>
        <w:spacing w:before="0" w:after="0" w:line="500" w:lineRule="exact"/>
        <w:ind w:firstLine="480"/>
        <w:jc w:val="both"/>
      </w:pPr>
      <w:r>
        <w:rPr>
          <w:rFonts w:ascii="仿宋_GB2312" w:hAnsi="仿宋_GB2312" w:eastAsia="仿宋_GB2312"/>
          <w:b w:val="0"/>
          <w:sz w:val="24"/>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第三章 可行性分析</w:t>
      </w:r>
    </w:p>
    <w:p>
      <w:pPr>
        <w:pStyle w:val="Heading2"/>
        <w:spacing w:before="0" w:after="0" w:line="500" w:lineRule="exact"/>
        <w:ind w:firstLine="0"/>
        <w:jc w:val="left"/>
      </w:pPr>
      <w:r>
        <w:rPr>
          <w:rFonts w:ascii="楷体_GB2312" w:hAnsi="楷体_GB2312" w:eastAsia="楷体_GB2312"/>
          <w:b w:val="0"/>
          <w:sz w:val="32"/>
        </w:rPr>
        <w:t>3.1 市场与技术可行性</w:t>
      </w:r>
    </w:p>
    <w:p>
      <w:pPr>
        <w:spacing w:before="0" w:after="0" w:line="500" w:lineRule="exact"/>
        <w:ind w:firstLine="480"/>
        <w:jc w:val="both"/>
      </w:pPr>
      <w:r>
        <w:rPr>
          <w:rFonts w:ascii="仿宋_GB2312" w:hAnsi="仿宋_GB2312" w:eastAsia="仿宋_GB2312"/>
          <w:b w:val="0"/>
          <w:sz w:val="24"/>
        </w:rPr>
        <w:t>从需求侧看，品牌果、地理标志果和高价值果品愈发需要“可证明的品质”和“可验证的产地”；从供给侧看，当前项目已经具备页面原型、数据样本和模型展示雏形，能够支撑计划书中的技术路线、产品策略与阶段实施方案描述。</w:t>
      </w:r>
    </w:p>
    <w:p>
      <w:pPr>
        <w:spacing w:before="0" w:after="0" w:line="500" w:lineRule="exact"/>
        <w:ind w:firstLine="480"/>
        <w:jc w:val="both"/>
      </w:pPr>
      <w:r>
        <w:rPr>
          <w:rFonts w:ascii="仿宋_GB2312" w:hAnsi="仿宋_GB2312" w:eastAsia="仿宋_GB2312"/>
          <w:b w:val="0"/>
          <w:sz w:val="24"/>
        </w:rPr>
        <w:t>现有项目依托高光谱数据与理化指标数据，可逐步建立产地分类、糖度预测、酸度预测、糖酸比预测等多个任务模型，具备由原型走向试点验证的技术合理性。</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第四章 市场优势与需求分析</w:t>
      </w:r>
    </w:p>
    <w:p>
      <w:pPr>
        <w:pStyle w:val="Heading2"/>
        <w:spacing w:before="0" w:after="0" w:line="500" w:lineRule="exact"/>
        <w:ind w:firstLine="0"/>
        <w:jc w:val="left"/>
      </w:pPr>
      <w:r>
        <w:rPr>
          <w:rFonts w:ascii="楷体_GB2312" w:hAnsi="楷体_GB2312" w:eastAsia="楷体_GB2312"/>
          <w:b w:val="0"/>
          <w:sz w:val="32"/>
        </w:rPr>
        <w:t>4.1 行业痛点与差异化优势</w:t>
      </w:r>
    </w:p>
    <w:p>
      <w:pPr>
        <w:spacing w:before="0" w:after="0" w:line="500" w:lineRule="exact"/>
        <w:ind w:firstLine="480"/>
        <w:jc w:val="both"/>
      </w:pPr>
      <w:r>
        <w:rPr>
          <w:rFonts w:ascii="仿宋_GB2312" w:hAnsi="仿宋_GB2312" w:eastAsia="仿宋_GB2312"/>
          <w:b w:val="0"/>
          <w:sz w:val="24"/>
        </w:rPr>
        <w:t>传统检测方案更强调抽样和结果记录，而“橙源智鉴”更强调无损、快速、可解释和持续积累数据资产。对于品牌化运营较强的果品项目，这种差异意味着平台不仅是一个检测工具，更可以成为质量管理和品牌背书工具。</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第五章 技术策略</w:t>
      </w:r>
    </w:p>
    <w:p>
      <w:pPr>
        <w:pStyle w:val="Heading2"/>
        <w:spacing w:before="0" w:after="0" w:line="500" w:lineRule="exact"/>
        <w:ind w:firstLine="0"/>
        <w:jc w:val="left"/>
      </w:pPr>
      <w:r>
        <w:rPr>
          <w:rFonts w:ascii="楷体_GB2312" w:hAnsi="楷体_GB2312" w:eastAsia="楷体_GB2312"/>
          <w:b w:val="0"/>
          <w:sz w:val="32"/>
        </w:rPr>
        <w:t>5.1 总体技术路线</w:t>
      </w:r>
    </w:p>
    <w:p>
      <w:pPr>
        <w:spacing w:before="0" w:after="0" w:line="500" w:lineRule="exact"/>
        <w:ind w:firstLine="480"/>
        <w:jc w:val="both"/>
      </w:pPr>
      <w:r>
        <w:rPr>
          <w:rFonts w:ascii="仿宋_GB2312" w:hAnsi="仿宋_GB2312" w:eastAsia="仿宋_GB2312"/>
          <w:b w:val="0"/>
          <w:sz w:val="24"/>
        </w:rPr>
        <w:t>项目技术路线建议围绕“样本采集—数据处理—模型训练—可解释分析—平台展示”五个环节展开。通过对样本编号、采样规范、波段预处理和指标标注的标准化建设，可逐步提高模型泛化能力与结果可信度。</w:t>
      </w:r>
    </w:p>
    <w:p>
      <w:pPr>
        <w:pStyle w:val="Heading2"/>
        <w:spacing w:before="0" w:after="0" w:line="500" w:lineRule="exact"/>
        <w:ind w:firstLine="0"/>
        <w:jc w:val="left"/>
      </w:pPr>
      <w:r>
        <w:rPr>
          <w:rFonts w:ascii="楷体_GB2312" w:hAnsi="楷体_GB2312" w:eastAsia="楷体_GB2312"/>
          <w:b w:val="0"/>
          <w:sz w:val="32"/>
        </w:rPr>
        <w:t>5.2 平台系统架构</w:t>
      </w:r>
    </w:p>
    <w:p>
      <w:pPr>
        <w:spacing w:before="0" w:after="0" w:line="500" w:lineRule="exact"/>
        <w:ind w:firstLine="480"/>
        <w:jc w:val="both"/>
      </w:pPr>
      <w:r>
        <w:rPr>
          <w:rFonts w:ascii="仿宋_GB2312" w:hAnsi="仿宋_GB2312" w:eastAsia="仿宋_GB2312"/>
          <w:b w:val="0"/>
          <w:sz w:val="24"/>
        </w:rPr>
        <w:t>系统结构上，建议划分为展示层、服务层、算法层和数据层。展示层承载门户、大屏、分析与历史记录；服务层负责样本管理、分析任务与报告服务；算法层负责分类、回归及解释模型；数据层负责高光谱、理化和标签数据的长期沉淀。</w:t>
      </w:r>
    </w:p>
    <w:p>
      <w:pPr>
        <w:pStyle w:val="Heading2"/>
        <w:spacing w:before="0" w:after="0" w:line="500" w:lineRule="exact"/>
        <w:ind w:firstLine="0"/>
        <w:jc w:val="left"/>
      </w:pPr>
      <w:r>
        <w:rPr>
          <w:rFonts w:ascii="楷体_GB2312" w:hAnsi="楷体_GB2312" w:eastAsia="楷体_GB2312"/>
          <w:b w:val="0"/>
          <w:sz w:val="32"/>
        </w:rPr>
        <w:t>5.3 数据与模型示意</w:t>
      </w:r>
    </w:p>
    <w:p>
      <w:pPr>
        <w:spacing w:before="0" w:after="0" w:line="500" w:lineRule="exact"/>
        <w:ind w:firstLine="480"/>
        <w:jc w:val="both"/>
      </w:pPr>
      <w:r>
        <w:rPr>
          <w:rFonts w:ascii="仿宋_GB2312" w:hAnsi="仿宋_GB2312" w:eastAsia="仿宋_GB2312"/>
          <w:b w:val="0"/>
          <w:sz w:val="24"/>
        </w:rPr>
        <w:t>基于当前项目已有样本，可先形成光谱曲线示意图与理化指标分布图，作为计划书中“数据基础”和“实验基础”的视觉表达材料。这类图片能够明显提升计划书的可信度和完整度。</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第六章 产品策略</w:t>
      </w:r>
    </w:p>
    <w:p>
      <w:pPr>
        <w:pStyle w:val="Heading2"/>
        <w:spacing w:before="0" w:after="0" w:line="500" w:lineRule="exact"/>
        <w:ind w:firstLine="0"/>
        <w:jc w:val="left"/>
      </w:pPr>
      <w:r>
        <w:rPr>
          <w:rFonts w:ascii="楷体_GB2312" w:hAnsi="楷体_GB2312" w:eastAsia="楷体_GB2312"/>
          <w:b w:val="0"/>
          <w:sz w:val="32"/>
        </w:rPr>
        <w:t>6.1 产品形态与功能规划</w:t>
      </w:r>
    </w:p>
    <w:p>
      <w:pPr>
        <w:spacing w:before="0" w:after="0" w:line="500" w:lineRule="exact"/>
        <w:ind w:firstLine="480"/>
        <w:jc w:val="both"/>
      </w:pPr>
      <w:r>
        <w:rPr>
          <w:rFonts w:ascii="仿宋_GB2312" w:hAnsi="仿宋_GB2312" w:eastAsia="仿宋_GB2312"/>
          <w:b w:val="0"/>
          <w:sz w:val="24"/>
        </w:rPr>
        <w:t>从当前项目原型看，平台已经具备对外展示与内部分析的双重潜力。下一阶段产品策略可围绕样本录入、单样本分析、对比分析、模型解释、历史管理和报告输出构建闭环，并逐步延伸至管理后台或移动端辅助入口。</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第七章 运营策略</w:t>
      </w:r>
    </w:p>
    <w:p>
      <w:pPr>
        <w:pStyle w:val="Heading2"/>
        <w:spacing w:before="0" w:after="0" w:line="500" w:lineRule="exact"/>
        <w:ind w:firstLine="0"/>
        <w:jc w:val="left"/>
      </w:pPr>
      <w:r>
        <w:rPr>
          <w:rFonts w:ascii="楷体_GB2312" w:hAnsi="楷体_GB2312" w:eastAsia="楷体_GB2312"/>
          <w:b w:val="0"/>
          <w:sz w:val="32"/>
        </w:rPr>
        <w:t>7.1 试点到复制的运营路径</w:t>
      </w:r>
    </w:p>
    <w:p>
      <w:pPr>
        <w:spacing w:before="0" w:after="0" w:line="500" w:lineRule="exact"/>
        <w:ind w:firstLine="480"/>
        <w:jc w:val="both"/>
      </w:pPr>
      <w:r>
        <w:rPr>
          <w:rFonts w:ascii="仿宋_GB2312" w:hAnsi="仿宋_GB2312" w:eastAsia="仿宋_GB2312"/>
          <w:b w:val="0"/>
          <w:sz w:val="24"/>
        </w:rPr>
        <w:t>建议采用“演示验证—试点落地—区域复制”的推进路径。先通过演示版材料和原型系统建立可信度，再与基地、企业或科研单位形成试点验证，最终沉淀成可复制的交付流程和服务方案。</w:t>
      </w:r>
    </w:p>
    <w:p>
      <w:pPr>
        <w:sectPr>
          <w:pgSz w:w="11906" w:h="16838"/>
          <w:pgMar w:top="1417" w:right="1417" w:bottom="1417" w:left="1417" w:header="850" w:footer="992" w:gutter="0"/>
          <w:cols w:space="720"/>
          <w:docGrid w:linePitch="360"/>
        </w:sectPr>
      </w:pPr>
    </w:p>
    <w:p>
      <w:pPr>
        <w:pStyle w:val="Heading1"/>
        <w:spacing w:before="0" w:after="0" w:line="500" w:lineRule="exact"/>
        <w:ind w:firstLine="0"/>
        <w:jc w:val="left"/>
      </w:pPr>
      <w:r>
        <w:rPr>
          <w:rFonts w:ascii="黑体" w:hAnsi="黑体" w:eastAsia="黑体"/>
          <w:b w:val="0"/>
          <w:sz w:val="32"/>
        </w:rPr>
        <w:t>第八章 团队介绍</w:t>
      </w:r>
    </w:p>
    <w:p>
      <w:pPr>
        <w:spacing w:before="0" w:after="0" w:line="500" w:lineRule="exact"/>
        <w:ind w:firstLine="480"/>
        <w:jc w:val="both"/>
      </w:pPr>
      <w:r>
        <w:rPr>
          <w:rFonts w:ascii="仿宋_GB2312" w:hAnsi="仿宋_GB2312" w:eastAsia="仿宋_GB2312"/>
          <w:b w:val="0"/>
          <w:sz w:val="24"/>
        </w:rPr>
        <w:t>团队建议按“项目负责人—算法研发—平台开发—数据处理—市场商务”组织，计划书正式版可在此基础上补充成员履历、导师资源、合作单位与既有成果。</w:t>
      </w:r>
    </w:p>
    <w:p>
      <w:pPr>
        <w:pStyle w:val="Heading1"/>
        <w:spacing w:before="0" w:after="0" w:line="500" w:lineRule="exact"/>
        <w:ind w:firstLine="0"/>
        <w:jc w:val="left"/>
      </w:pPr>
      <w:r>
        <w:rPr>
          <w:rFonts w:ascii="黑体" w:hAnsi="黑体" w:eastAsia="黑体"/>
          <w:b w:val="0"/>
          <w:sz w:val="32"/>
        </w:rPr>
        <w:t>第九章 财务预测</w:t>
      </w:r>
    </w:p>
    <w:p>
      <w:pPr>
        <w:spacing w:before="0" w:after="0" w:line="500" w:lineRule="exact"/>
        <w:ind w:firstLine="480"/>
        <w:jc w:val="both"/>
      </w:pPr>
      <w:r>
        <w:rPr>
          <w:rFonts w:ascii="仿宋_GB2312" w:hAnsi="仿宋_GB2312" w:eastAsia="仿宋_GB2312"/>
          <w:b w:val="0"/>
          <w:sz w:val="24"/>
        </w:rPr>
        <w:t>建议围绕设备投入、研发成本、样本采集成本、平台订阅收入、检测服务收入和项目合作收入构建三情景预测模型。</w:t>
      </w:r>
    </w:p>
    <w:p>
      <w:pPr>
        <w:pStyle w:val="Heading1"/>
        <w:spacing w:before="0" w:after="0" w:line="500" w:lineRule="exact"/>
        <w:ind w:firstLine="0"/>
        <w:jc w:val="left"/>
      </w:pPr>
      <w:r>
        <w:rPr>
          <w:rFonts w:ascii="黑体" w:hAnsi="黑体" w:eastAsia="黑体"/>
          <w:b w:val="0"/>
          <w:sz w:val="32"/>
        </w:rPr>
        <w:t>第十章 风险分析</w:t>
      </w:r>
    </w:p>
    <w:p>
      <w:pPr>
        <w:pStyle w:val="ListBullet"/>
        <w:spacing w:before="0" w:after="0" w:line="500" w:lineRule="exact"/>
        <w:ind w:firstLine="0"/>
        <w:jc w:val="both"/>
      </w:pPr>
      <w:r>
        <w:rPr>
          <w:rFonts w:ascii="仿宋_GB2312" w:hAnsi="仿宋_GB2312" w:eastAsia="仿宋_GB2312"/>
          <w:b w:val="0"/>
          <w:sz w:val="24"/>
        </w:rPr>
        <w:t>数据风险：样本量、标签质量、跨批次泛化。</w:t>
      </w:r>
    </w:p>
    <w:p>
      <w:pPr>
        <w:pStyle w:val="ListBullet"/>
        <w:spacing w:before="0" w:after="0" w:line="500" w:lineRule="exact"/>
        <w:ind w:firstLine="0"/>
        <w:jc w:val="both"/>
      </w:pPr>
      <w:r>
        <w:rPr>
          <w:rFonts w:ascii="仿宋_GB2312" w:hAnsi="仿宋_GB2312" w:eastAsia="仿宋_GB2312"/>
          <w:b w:val="0"/>
          <w:sz w:val="24"/>
        </w:rPr>
        <w:t>技术风险：模型精度波动、设备差异、场景迁移偏差。</w:t>
      </w:r>
    </w:p>
    <w:p>
      <w:pPr>
        <w:pStyle w:val="ListBullet"/>
        <w:spacing w:before="0" w:after="0" w:line="500" w:lineRule="exact"/>
        <w:ind w:firstLine="0"/>
        <w:jc w:val="both"/>
      </w:pPr>
      <w:r>
        <w:rPr>
          <w:rFonts w:ascii="仿宋_GB2312" w:hAnsi="仿宋_GB2312" w:eastAsia="仿宋_GB2312"/>
          <w:b w:val="0"/>
          <w:sz w:val="24"/>
        </w:rPr>
        <w:t>市场风险：客户教育成本、付费意愿与竞品进入。</w:t>
      </w:r>
    </w:p>
    <w:p>
      <w:pPr>
        <w:pStyle w:val="ListBullet"/>
        <w:spacing w:before="0" w:after="0" w:line="500" w:lineRule="exact"/>
        <w:ind w:firstLine="0"/>
        <w:jc w:val="both"/>
      </w:pPr>
      <w:r>
        <w:rPr>
          <w:rFonts w:ascii="仿宋_GB2312" w:hAnsi="仿宋_GB2312" w:eastAsia="仿宋_GB2312"/>
          <w:b w:val="0"/>
          <w:sz w:val="24"/>
        </w:rPr>
        <w:t>运营风险：交付周期、采样协作与售后维护压力。</w:t>
      </w:r>
    </w:p>
    <w:sectPr w:rsidR="00FC693F" w:rsidRPr="0006063C" w:rsidSect="00034616">
      <w:pgSz w:w="11906" w:h="16838"/>
      <w:pgMar w:top="1417" w:right="1417" w:bottom="1417" w:left="1417" w:header="850" w:footer="992"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spacing w:before="0" w:after="0" w:line="500" w:lineRule="exact"/>
      <w:ind w:firstLine="0"/>
      <w:jc w:val="center"/>
    </w:pPr>
    <w:r>
      <w:rPr>
        <w:rFonts w:ascii="Times New Roman" w:hAnsi="Times New Roman" w:eastAsia="Times New Roman"/>
        <w:b w:val="0"/>
        <w:sz w:val="24"/>
      </w:rPr>
      <w:fldChar w:fldCharType="begin"/>
      <w:instrText xml:space="preserve">PAGE</w:instrText>
      <w:fldChar w:fldCharType="end"/>
    </w:r>
  </w:p>
</w:ft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0" w:line="500" w:lineRule="exact"/>
      <w:ind w:firstLine="480"/>
    </w:pPr>
    <w:rPr>
      <w:rFonts w:ascii="Times New Roman" w:hAnsi="Times New Roman" w:eastAsia="仿宋_GB2312"/>
      <w:sz w:val="24"/>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0" w:after="0" w:line="500" w:lineRule="exact"/>
      <w:outlineLvl w:val="0"/>
    </w:pPr>
    <w:rPr>
      <w:rFonts w:asciiTheme="majorHAnsi" w:eastAsiaTheme="majorEastAsia" w:hAnsiTheme="majorHAnsi" w:cstheme="majorBidi" w:ascii="Times New Roman" w:hAnsi="Times New Roman" w:eastAsia="黑体"/>
      <w:b w:val="0"/>
      <w:bCs/>
      <w:color w:val="365F91" w:themeColor="accent1" w:themeShade="BF"/>
      <w:sz w:val="32"/>
      <w:szCs w:val="28"/>
    </w:rPr>
  </w:style>
  <w:style w:type="paragraph" w:styleId="Heading2">
    <w:name w:val="heading 2"/>
    <w:basedOn w:val="Normal"/>
    <w:next w:val="Normal"/>
    <w:link w:val="Heading2Char"/>
    <w:uiPriority w:val="9"/>
    <w:unhideWhenUsed/>
    <w:qFormat/>
    <w:rsid w:val="00FC693F"/>
    <w:pPr>
      <w:keepNext/>
      <w:keepLines/>
      <w:spacing w:before="0" w:after="0" w:line="500" w:lineRule="exact"/>
      <w:outlineLvl w:val="1"/>
    </w:pPr>
    <w:rPr>
      <w:rFonts w:asciiTheme="majorHAnsi" w:eastAsiaTheme="majorEastAsia" w:hAnsiTheme="majorHAnsi" w:cstheme="majorBidi" w:ascii="Times New Roman" w:hAnsi="Times New Roman" w:eastAsia="楷体_GB2312"/>
      <w:b w:val="0"/>
      <w:bCs/>
      <w:color w:val="4F81BD" w:themeColor="accent1"/>
      <w:sz w:val="32"/>
      <w:szCs w:val="26"/>
    </w:rPr>
  </w:style>
  <w:style w:type="paragraph" w:styleId="Heading3">
    <w:name w:val="heading 3"/>
    <w:basedOn w:val="Normal"/>
    <w:next w:val="Normal"/>
    <w:link w:val="Heading3Char"/>
    <w:uiPriority w:val="9"/>
    <w:unhideWhenUsed/>
    <w:qFormat/>
    <w:rsid w:val="00FC693F"/>
    <w:pPr>
      <w:keepNext/>
      <w:keepLines/>
      <w:spacing w:before="0" w:after="0" w:line="500" w:lineRule="exact"/>
      <w:outlineLvl w:val="2"/>
    </w:pPr>
    <w:rPr>
      <w:rFonts w:asciiTheme="majorHAnsi" w:eastAsiaTheme="majorEastAsia" w:hAnsiTheme="majorHAnsi" w:cstheme="majorBidi" w:ascii="Times New Roman" w:hAnsi="Times New Roman" w:eastAsia="仿宋_GB2312"/>
      <w:b w:val="0"/>
      <w:bCs/>
      <w:color w:val="4F81BD" w:themeColor="accent1"/>
      <w:sz w:val="28"/>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