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79B56E4" w14:textId="77777777" w:rsidR="00D167C8" w:rsidRDefault="00B078DF">
      <w:pPr>
        <w:ind w:firstLine="0"/>
        <w:jc w:val="center"/>
      </w:pPr>
      <w:r>
        <w:rPr>
          <w:rFonts w:ascii="黑体" w:eastAsia="黑体" w:hAnsi="黑体"/>
          <w:sz w:val="36"/>
        </w:rPr>
        <w:t>橙源智鉴项目计划书</w:t>
      </w:r>
    </w:p>
    <w:p w14:paraId="4D614789" w14:textId="77777777" w:rsidR="00D167C8" w:rsidRDefault="00B078DF">
      <w:pPr>
        <w:ind w:firstLine="0"/>
        <w:jc w:val="center"/>
      </w:pPr>
      <w:r>
        <w:rPr>
          <w:rFonts w:ascii="仿宋_GB2312" w:hAnsi="仿宋_GB2312"/>
        </w:rPr>
        <w:t>版本：</w:t>
      </w:r>
      <w:r>
        <w:rPr>
          <w:rFonts w:ascii="仿宋_GB2312" w:hAnsi="仿宋_GB2312"/>
        </w:rPr>
        <w:t>V0.8</w:t>
      </w:r>
    </w:p>
    <w:p w14:paraId="28024363" w14:textId="77777777" w:rsidR="00D167C8" w:rsidRDefault="00B078DF">
      <w:pPr>
        <w:ind w:firstLine="0"/>
        <w:jc w:val="center"/>
      </w:pPr>
      <w:r>
        <w:rPr>
          <w:rFonts w:ascii="仿宋_GB2312" w:hAnsi="仿宋_GB2312"/>
        </w:rPr>
        <w:t>日期：</w:t>
      </w:r>
      <w:r>
        <w:rPr>
          <w:rFonts w:ascii="仿宋_GB2312" w:hAnsi="仿宋_GB2312"/>
        </w:rPr>
        <w:t>2026</w:t>
      </w:r>
      <w:r>
        <w:rPr>
          <w:rFonts w:ascii="仿宋_GB2312" w:hAnsi="仿宋_GB2312"/>
        </w:rPr>
        <w:t>年</w:t>
      </w:r>
      <w:r>
        <w:rPr>
          <w:rFonts w:ascii="仿宋_GB2312" w:hAnsi="仿宋_GB2312"/>
        </w:rPr>
        <w:t>4</w:t>
      </w:r>
      <w:r>
        <w:rPr>
          <w:rFonts w:ascii="仿宋_GB2312" w:hAnsi="仿宋_GB2312"/>
        </w:rPr>
        <w:t>月</w:t>
      </w:r>
      <w:r>
        <w:rPr>
          <w:rFonts w:ascii="仿宋_GB2312" w:hAnsi="仿宋_GB2312"/>
        </w:rPr>
        <w:t>6</w:t>
      </w:r>
      <w:r>
        <w:rPr>
          <w:rFonts w:ascii="仿宋_GB2312" w:hAnsi="仿宋_GB2312"/>
        </w:rPr>
        <w:t>日</w:t>
      </w:r>
    </w:p>
    <w:p w14:paraId="79E00707" w14:textId="77777777" w:rsidR="00D167C8" w:rsidRDefault="00B078DF">
      <w:pPr>
        <w:ind w:firstLine="0"/>
        <w:jc w:val="center"/>
      </w:pPr>
      <w:r>
        <w:rPr>
          <w:rFonts w:ascii="仿宋_GB2312" w:hAnsi="仿宋_GB2312"/>
        </w:rPr>
        <w:t>说明：本稿按</w:t>
      </w:r>
      <w:r>
        <w:rPr>
          <w:rFonts w:ascii="仿宋_GB2312" w:hAnsi="仿宋_GB2312"/>
        </w:rPr>
        <w:t>“</w:t>
      </w:r>
      <w:r>
        <w:rPr>
          <w:rFonts w:ascii="仿宋_GB2312" w:hAnsi="仿宋_GB2312"/>
        </w:rPr>
        <w:t>挑战杯</w:t>
      </w:r>
      <w:r>
        <w:rPr>
          <w:rFonts w:ascii="仿宋_GB2312" w:hAnsi="仿宋_GB2312"/>
        </w:rPr>
        <w:t>”</w:t>
      </w:r>
      <w:r>
        <w:rPr>
          <w:rFonts w:ascii="仿宋_GB2312" w:hAnsi="仿宋_GB2312"/>
        </w:rPr>
        <w:t>文档格式要求调整页面与正文样式，当前为去图文字版。</w:t>
      </w:r>
    </w:p>
    <w:p w14:paraId="227A7E1F" w14:textId="77777777" w:rsidR="00D167C8" w:rsidRDefault="00D167C8">
      <w:pPr>
        <w:sectPr w:rsidR="00D167C8">
          <w:footerReference w:type="default" r:id="rId8"/>
          <w:pgSz w:w="11906" w:h="16838"/>
          <w:pgMar w:top="1417" w:right="1417" w:bottom="1417" w:left="1417" w:header="850" w:footer="992" w:gutter="0"/>
          <w:cols w:space="720"/>
          <w:docGrid w:linePitch="360"/>
        </w:sectPr>
      </w:pPr>
    </w:p>
    <w:p w14:paraId="5045385D" w14:textId="77777777" w:rsidR="00D167C8" w:rsidRDefault="00B078DF">
      <w:pPr>
        <w:ind w:firstLine="0"/>
        <w:jc w:val="center"/>
      </w:pPr>
      <w:r>
        <w:rPr>
          <w:rFonts w:ascii="黑体" w:eastAsia="黑体" w:hAnsi="黑体"/>
          <w:sz w:val="32"/>
        </w:rPr>
        <w:lastRenderedPageBreak/>
        <w:t>目</w:t>
      </w:r>
      <w:r>
        <w:rPr>
          <w:rFonts w:ascii="黑体" w:eastAsia="黑体" w:hAnsi="黑体"/>
          <w:sz w:val="32"/>
        </w:rPr>
        <w:t xml:space="preserve"> </w:t>
      </w:r>
      <w:r>
        <w:rPr>
          <w:rFonts w:ascii="黑体" w:eastAsia="黑体" w:hAnsi="黑体"/>
          <w:sz w:val="32"/>
        </w:rPr>
        <w:t>录</w:t>
      </w:r>
    </w:p>
    <w:p w14:paraId="0A901E1B" w14:textId="77777777" w:rsidR="00D167C8" w:rsidRDefault="00B078DF">
      <w:pPr>
        <w:jc w:val="both"/>
      </w:pPr>
      <w:r>
        <w:rPr>
          <w:rFonts w:ascii="仿宋_GB2312" w:hAnsi="仿宋_GB2312"/>
        </w:rPr>
        <w:t>第一章</w:t>
      </w:r>
      <w:r>
        <w:rPr>
          <w:rFonts w:ascii="仿宋_GB2312" w:hAnsi="仿宋_GB2312"/>
        </w:rPr>
        <w:t xml:space="preserve"> </w:t>
      </w:r>
      <w:r>
        <w:rPr>
          <w:rFonts w:ascii="仿宋_GB2312" w:hAnsi="仿宋_GB2312"/>
        </w:rPr>
        <w:t>项目概述</w:t>
      </w:r>
    </w:p>
    <w:p w14:paraId="55DFAEE0" w14:textId="77777777" w:rsidR="00D167C8" w:rsidRDefault="00B078DF">
      <w:pPr>
        <w:jc w:val="both"/>
      </w:pPr>
      <w:r>
        <w:rPr>
          <w:rFonts w:ascii="仿宋_GB2312" w:hAnsi="仿宋_GB2312"/>
        </w:rPr>
        <w:t xml:space="preserve">1.1 </w:t>
      </w:r>
      <w:r>
        <w:rPr>
          <w:rFonts w:ascii="仿宋_GB2312" w:hAnsi="仿宋_GB2312"/>
        </w:rPr>
        <w:t>项目背景</w:t>
      </w:r>
    </w:p>
    <w:p w14:paraId="0144A2A4" w14:textId="77777777" w:rsidR="00D167C8" w:rsidRDefault="00B078DF">
      <w:pPr>
        <w:jc w:val="both"/>
      </w:pPr>
      <w:r>
        <w:rPr>
          <w:rFonts w:ascii="仿宋_GB2312" w:hAnsi="仿宋_GB2312"/>
        </w:rPr>
        <w:t xml:space="preserve">1.2 </w:t>
      </w:r>
      <w:r>
        <w:rPr>
          <w:rFonts w:ascii="仿宋_GB2312" w:hAnsi="仿宋_GB2312"/>
        </w:rPr>
        <w:t>政策支持</w:t>
      </w:r>
    </w:p>
    <w:p w14:paraId="41202A32" w14:textId="77777777" w:rsidR="00D167C8" w:rsidRDefault="00B078DF">
      <w:pPr>
        <w:jc w:val="both"/>
      </w:pPr>
      <w:r>
        <w:rPr>
          <w:rFonts w:ascii="仿宋_GB2312" w:hAnsi="仿宋_GB2312"/>
        </w:rPr>
        <w:t xml:space="preserve">1.2.1 </w:t>
      </w:r>
      <w:r>
        <w:rPr>
          <w:rFonts w:ascii="仿宋_GB2312" w:hAnsi="仿宋_GB2312"/>
        </w:rPr>
        <w:t>国家智慧农业与追溯政策支撑</w:t>
      </w:r>
    </w:p>
    <w:p w14:paraId="09FF97FC" w14:textId="77777777" w:rsidR="00D167C8" w:rsidRDefault="00B078DF">
      <w:pPr>
        <w:jc w:val="both"/>
      </w:pPr>
      <w:r>
        <w:rPr>
          <w:rFonts w:ascii="仿宋_GB2312" w:hAnsi="仿宋_GB2312"/>
        </w:rPr>
        <w:t xml:space="preserve">1.2.2 </w:t>
      </w:r>
      <w:r>
        <w:rPr>
          <w:rFonts w:ascii="仿宋_GB2312" w:hAnsi="仿宋_GB2312"/>
        </w:rPr>
        <w:t>海南区域产业与人工智能场景支撑</w:t>
      </w:r>
    </w:p>
    <w:p w14:paraId="2D7658FE" w14:textId="77777777" w:rsidR="00D167C8" w:rsidRDefault="00B078DF">
      <w:pPr>
        <w:jc w:val="both"/>
      </w:pPr>
      <w:r>
        <w:rPr>
          <w:rFonts w:ascii="仿宋_GB2312" w:hAnsi="仿宋_GB2312"/>
        </w:rPr>
        <w:t xml:space="preserve">1.3 </w:t>
      </w:r>
      <w:r>
        <w:rPr>
          <w:rFonts w:ascii="仿宋_GB2312" w:hAnsi="仿宋_GB2312"/>
        </w:rPr>
        <w:t>技术支撑</w:t>
      </w:r>
    </w:p>
    <w:p w14:paraId="3040D5D3" w14:textId="77777777" w:rsidR="00D167C8" w:rsidRDefault="00B078DF">
      <w:pPr>
        <w:jc w:val="both"/>
      </w:pPr>
      <w:r>
        <w:rPr>
          <w:rFonts w:ascii="仿宋_GB2312" w:hAnsi="仿宋_GB2312"/>
        </w:rPr>
        <w:t xml:space="preserve">1.3.1 </w:t>
      </w:r>
      <w:r>
        <w:rPr>
          <w:rFonts w:ascii="仿宋_GB2312" w:hAnsi="仿宋_GB2312"/>
        </w:rPr>
        <w:t>高光谱成像提供无损检测基础</w:t>
      </w:r>
    </w:p>
    <w:p w14:paraId="4257D96B" w14:textId="77777777" w:rsidR="00D167C8" w:rsidRDefault="00B078DF">
      <w:pPr>
        <w:jc w:val="both"/>
      </w:pPr>
      <w:r>
        <w:rPr>
          <w:rFonts w:ascii="仿宋_GB2312" w:hAnsi="仿宋_GB2312"/>
        </w:rPr>
        <w:t xml:space="preserve">1.3.2 </w:t>
      </w:r>
      <w:r>
        <w:rPr>
          <w:rFonts w:ascii="仿宋_GB2312" w:hAnsi="仿宋_GB2312"/>
        </w:rPr>
        <w:t>智能模型支撑分类与预测双任务</w:t>
      </w:r>
    </w:p>
    <w:p w14:paraId="3F3CA893" w14:textId="77777777" w:rsidR="00D167C8" w:rsidRDefault="00B078DF">
      <w:pPr>
        <w:jc w:val="both"/>
      </w:pPr>
      <w:r>
        <w:rPr>
          <w:rFonts w:ascii="仿宋_GB2312" w:hAnsi="仿宋_GB2312"/>
        </w:rPr>
        <w:t xml:space="preserve">1.3.3 </w:t>
      </w:r>
      <w:r>
        <w:rPr>
          <w:rFonts w:ascii="仿宋_GB2312" w:hAnsi="仿宋_GB2312"/>
        </w:rPr>
        <w:t>平台原型为技术落地提供载体</w:t>
      </w:r>
    </w:p>
    <w:p w14:paraId="151BECEA" w14:textId="77777777" w:rsidR="00D167C8" w:rsidRDefault="00B078DF">
      <w:pPr>
        <w:jc w:val="both"/>
      </w:pPr>
      <w:r>
        <w:rPr>
          <w:rFonts w:ascii="仿宋_GB2312" w:hAnsi="仿宋_GB2312"/>
        </w:rPr>
        <w:t xml:space="preserve">1.4 </w:t>
      </w:r>
      <w:r>
        <w:rPr>
          <w:rFonts w:ascii="仿宋_GB2312" w:hAnsi="仿宋_GB2312"/>
        </w:rPr>
        <w:t>项目基础与阶段目标</w:t>
      </w:r>
    </w:p>
    <w:p w14:paraId="6B5C9ADB" w14:textId="77777777" w:rsidR="00D167C8" w:rsidRDefault="00B078DF">
      <w:pPr>
        <w:jc w:val="both"/>
      </w:pPr>
      <w:r>
        <w:rPr>
          <w:rFonts w:ascii="仿宋_GB2312" w:hAnsi="仿宋_GB2312"/>
        </w:rPr>
        <w:t>第二章</w:t>
      </w:r>
      <w:r>
        <w:rPr>
          <w:rFonts w:ascii="仿宋_GB2312" w:hAnsi="仿宋_GB2312"/>
        </w:rPr>
        <w:t xml:space="preserve"> </w:t>
      </w:r>
      <w:r>
        <w:rPr>
          <w:rFonts w:ascii="仿宋_GB2312" w:hAnsi="仿宋_GB2312"/>
        </w:rPr>
        <w:t>产品效益</w:t>
      </w:r>
    </w:p>
    <w:p w14:paraId="5AADB932" w14:textId="77777777" w:rsidR="00D167C8" w:rsidRDefault="00B078DF">
      <w:pPr>
        <w:jc w:val="both"/>
      </w:pPr>
      <w:r>
        <w:rPr>
          <w:rFonts w:ascii="仿宋_GB2312" w:hAnsi="仿宋_GB2312"/>
        </w:rPr>
        <w:t xml:space="preserve">2.1 </w:t>
      </w:r>
      <w:r>
        <w:rPr>
          <w:rFonts w:ascii="仿宋_GB2312" w:hAnsi="仿宋_GB2312"/>
        </w:rPr>
        <w:t>社会效益</w:t>
      </w:r>
    </w:p>
    <w:p w14:paraId="55A693E5" w14:textId="77777777" w:rsidR="00D167C8" w:rsidRDefault="00B078DF">
      <w:pPr>
        <w:jc w:val="both"/>
      </w:pPr>
      <w:r>
        <w:rPr>
          <w:rFonts w:ascii="仿宋_GB2312" w:hAnsi="仿宋_GB2312"/>
        </w:rPr>
        <w:t xml:space="preserve">2.1.1 </w:t>
      </w:r>
      <w:r>
        <w:rPr>
          <w:rFonts w:ascii="仿宋_GB2312" w:hAnsi="仿宋_GB2312"/>
        </w:rPr>
        <w:t>质量治理效益</w:t>
      </w:r>
    </w:p>
    <w:p w14:paraId="7284A522" w14:textId="77777777" w:rsidR="00D167C8" w:rsidRDefault="00B078DF">
      <w:pPr>
        <w:jc w:val="both"/>
      </w:pPr>
      <w:r>
        <w:rPr>
          <w:rFonts w:ascii="仿宋_GB2312" w:hAnsi="仿宋_GB2312"/>
        </w:rPr>
        <w:t xml:space="preserve">2.1.2 </w:t>
      </w:r>
      <w:r>
        <w:rPr>
          <w:rFonts w:ascii="仿宋_GB2312" w:hAnsi="仿宋_GB2312"/>
        </w:rPr>
        <w:t>品牌信任效益</w:t>
      </w:r>
    </w:p>
    <w:p w14:paraId="65C00D99" w14:textId="77777777" w:rsidR="00D167C8" w:rsidRDefault="00B078DF">
      <w:pPr>
        <w:jc w:val="both"/>
      </w:pPr>
      <w:r>
        <w:rPr>
          <w:rFonts w:ascii="仿宋_GB2312" w:hAnsi="仿宋_GB2312"/>
        </w:rPr>
        <w:t xml:space="preserve">2.1.3 </w:t>
      </w:r>
      <w:r>
        <w:rPr>
          <w:rFonts w:ascii="仿宋_GB2312" w:hAnsi="仿宋_GB2312"/>
        </w:rPr>
        <w:t>数据沉淀效益</w:t>
      </w:r>
    </w:p>
    <w:p w14:paraId="13D6975A" w14:textId="77777777" w:rsidR="00D167C8" w:rsidRDefault="00B078DF">
      <w:pPr>
        <w:jc w:val="both"/>
      </w:pPr>
      <w:r>
        <w:rPr>
          <w:rFonts w:ascii="仿宋_GB2312" w:hAnsi="仿宋_GB2312"/>
        </w:rPr>
        <w:t xml:space="preserve">2.2 </w:t>
      </w:r>
      <w:r>
        <w:rPr>
          <w:rFonts w:ascii="仿宋_GB2312" w:hAnsi="仿宋_GB2312"/>
        </w:rPr>
        <w:t>经济效益</w:t>
      </w:r>
    </w:p>
    <w:p w14:paraId="2A791956" w14:textId="77777777" w:rsidR="00D167C8" w:rsidRDefault="00B078DF">
      <w:pPr>
        <w:jc w:val="both"/>
      </w:pPr>
      <w:r>
        <w:rPr>
          <w:rFonts w:ascii="仿宋_GB2312" w:hAnsi="仿宋_GB2312"/>
        </w:rPr>
        <w:t xml:space="preserve">2.2.1 </w:t>
      </w:r>
      <w:r>
        <w:rPr>
          <w:rFonts w:ascii="仿宋_GB2312" w:hAnsi="仿宋_GB2312"/>
        </w:rPr>
        <w:t>降本增效效益</w:t>
      </w:r>
    </w:p>
    <w:p w14:paraId="02CDB038" w14:textId="77777777" w:rsidR="00D167C8" w:rsidRDefault="00B078DF">
      <w:pPr>
        <w:jc w:val="both"/>
      </w:pPr>
      <w:r>
        <w:rPr>
          <w:rFonts w:ascii="仿宋_GB2312" w:hAnsi="仿宋_GB2312"/>
        </w:rPr>
        <w:t xml:space="preserve">2.2.2 </w:t>
      </w:r>
      <w:r>
        <w:rPr>
          <w:rFonts w:ascii="仿宋_GB2312" w:hAnsi="仿宋_GB2312"/>
        </w:rPr>
        <w:t>溢价与议价效益</w:t>
      </w:r>
    </w:p>
    <w:p w14:paraId="27EDFBC2" w14:textId="77777777" w:rsidR="00D167C8" w:rsidRDefault="00B078DF">
      <w:pPr>
        <w:jc w:val="both"/>
      </w:pPr>
      <w:r>
        <w:rPr>
          <w:rFonts w:ascii="仿宋_GB2312" w:hAnsi="仿宋_GB2312"/>
        </w:rPr>
        <w:t xml:space="preserve">2.2.3 </w:t>
      </w:r>
      <w:r>
        <w:rPr>
          <w:rFonts w:ascii="仿宋_GB2312" w:hAnsi="仿宋_GB2312"/>
        </w:rPr>
        <w:t>项目商业延伸效益</w:t>
      </w:r>
    </w:p>
    <w:p w14:paraId="6FE009C8" w14:textId="77777777" w:rsidR="00D167C8" w:rsidRDefault="00B078DF">
      <w:pPr>
        <w:jc w:val="both"/>
      </w:pPr>
      <w:r>
        <w:rPr>
          <w:rFonts w:ascii="仿宋_GB2312" w:hAnsi="仿宋_GB2312"/>
        </w:rPr>
        <w:t xml:space="preserve">2.3 </w:t>
      </w:r>
      <w:r>
        <w:rPr>
          <w:rFonts w:ascii="仿宋_GB2312" w:hAnsi="仿宋_GB2312"/>
        </w:rPr>
        <w:t>教育引领</w:t>
      </w:r>
    </w:p>
    <w:p w14:paraId="00E4395E" w14:textId="77777777" w:rsidR="00D167C8" w:rsidRDefault="00B078DF">
      <w:pPr>
        <w:jc w:val="both"/>
      </w:pPr>
      <w:r>
        <w:rPr>
          <w:rFonts w:ascii="仿宋_GB2312" w:hAnsi="仿宋_GB2312"/>
        </w:rPr>
        <w:t xml:space="preserve">2.3.1 </w:t>
      </w:r>
      <w:r>
        <w:rPr>
          <w:rFonts w:ascii="仿宋_GB2312" w:hAnsi="仿宋_GB2312"/>
        </w:rPr>
        <w:t>人才培养效益</w:t>
      </w:r>
    </w:p>
    <w:p w14:paraId="4E797A6D" w14:textId="77777777" w:rsidR="00D167C8" w:rsidRDefault="00B078DF">
      <w:pPr>
        <w:jc w:val="both"/>
      </w:pPr>
      <w:r>
        <w:rPr>
          <w:rFonts w:ascii="仿宋_GB2312" w:hAnsi="仿宋_GB2312"/>
        </w:rPr>
        <w:t xml:space="preserve">2.3.2 </w:t>
      </w:r>
      <w:r>
        <w:rPr>
          <w:rFonts w:ascii="仿宋_GB2312" w:hAnsi="仿宋_GB2312"/>
        </w:rPr>
        <w:t>区域示范效益</w:t>
      </w:r>
    </w:p>
    <w:p w14:paraId="255A990B" w14:textId="77777777" w:rsidR="00D167C8" w:rsidRDefault="00B078DF">
      <w:pPr>
        <w:jc w:val="both"/>
      </w:pPr>
      <w:r>
        <w:rPr>
          <w:rFonts w:ascii="仿宋_GB2312" w:hAnsi="仿宋_GB2312"/>
        </w:rPr>
        <w:t xml:space="preserve">2.3.3 </w:t>
      </w:r>
      <w:r>
        <w:rPr>
          <w:rFonts w:ascii="仿宋_GB2312" w:hAnsi="仿宋_GB2312"/>
        </w:rPr>
        <w:t>竞赛与传播效益</w:t>
      </w:r>
    </w:p>
    <w:p w14:paraId="1FADFA17" w14:textId="77777777" w:rsidR="00D167C8" w:rsidRDefault="00B078DF">
      <w:pPr>
        <w:jc w:val="both"/>
      </w:pPr>
      <w:r>
        <w:rPr>
          <w:rFonts w:ascii="仿宋_GB2312" w:hAnsi="仿宋_GB2312"/>
        </w:rPr>
        <w:t>第三章</w:t>
      </w:r>
      <w:r>
        <w:rPr>
          <w:rFonts w:ascii="仿宋_GB2312" w:hAnsi="仿宋_GB2312"/>
        </w:rPr>
        <w:t xml:space="preserve"> </w:t>
      </w:r>
      <w:r>
        <w:rPr>
          <w:rFonts w:ascii="仿宋_GB2312" w:hAnsi="仿宋_GB2312"/>
        </w:rPr>
        <w:t>可行性分析</w:t>
      </w:r>
    </w:p>
    <w:p w14:paraId="705FF595" w14:textId="77777777" w:rsidR="00D167C8" w:rsidRDefault="00B078DF">
      <w:pPr>
        <w:jc w:val="both"/>
      </w:pPr>
      <w:r>
        <w:rPr>
          <w:rFonts w:ascii="仿宋_GB2312" w:hAnsi="仿宋_GB2312"/>
        </w:rPr>
        <w:t xml:space="preserve">3.1 </w:t>
      </w:r>
      <w:r>
        <w:rPr>
          <w:rFonts w:ascii="仿宋_GB2312" w:hAnsi="仿宋_GB2312"/>
        </w:rPr>
        <w:t>市场可行性</w:t>
      </w:r>
    </w:p>
    <w:p w14:paraId="2C5D3BEF" w14:textId="77777777" w:rsidR="00D167C8" w:rsidRDefault="00B078DF">
      <w:pPr>
        <w:jc w:val="both"/>
      </w:pPr>
      <w:r>
        <w:rPr>
          <w:rFonts w:ascii="仿宋_GB2312" w:hAnsi="仿宋_GB2312"/>
        </w:rPr>
        <w:t xml:space="preserve">3.1.1 </w:t>
      </w:r>
      <w:r>
        <w:rPr>
          <w:rFonts w:ascii="仿宋_GB2312" w:hAnsi="仿宋_GB2312"/>
        </w:rPr>
        <w:t>需求基础明确</w:t>
      </w:r>
    </w:p>
    <w:p w14:paraId="0FD0FB65" w14:textId="77777777" w:rsidR="00D167C8" w:rsidRDefault="00B078DF">
      <w:pPr>
        <w:jc w:val="both"/>
      </w:pPr>
      <w:r>
        <w:rPr>
          <w:rFonts w:ascii="仿宋_GB2312" w:hAnsi="仿宋_GB2312"/>
        </w:rPr>
        <w:lastRenderedPageBreak/>
        <w:t xml:space="preserve">3.1.2 </w:t>
      </w:r>
      <w:r>
        <w:rPr>
          <w:rFonts w:ascii="仿宋_GB2312" w:hAnsi="仿宋_GB2312"/>
        </w:rPr>
        <w:t>场景对象清晰</w:t>
      </w:r>
    </w:p>
    <w:p w14:paraId="5F4914AD" w14:textId="77777777" w:rsidR="00D167C8" w:rsidRDefault="00B078DF">
      <w:pPr>
        <w:jc w:val="both"/>
      </w:pPr>
      <w:r>
        <w:rPr>
          <w:rFonts w:ascii="仿宋_GB2312" w:hAnsi="仿宋_GB2312"/>
        </w:rPr>
        <w:t xml:space="preserve">3.1.3 </w:t>
      </w:r>
      <w:r>
        <w:rPr>
          <w:rFonts w:ascii="仿宋_GB2312" w:hAnsi="仿宋_GB2312"/>
        </w:rPr>
        <w:t>政策导向与场景需求形成同向拉动</w:t>
      </w:r>
    </w:p>
    <w:p w14:paraId="11AB1987" w14:textId="77777777" w:rsidR="00D167C8" w:rsidRDefault="00B078DF">
      <w:pPr>
        <w:jc w:val="both"/>
      </w:pPr>
      <w:r>
        <w:rPr>
          <w:rFonts w:ascii="仿宋_GB2312" w:hAnsi="仿宋_GB2312"/>
        </w:rPr>
        <w:t xml:space="preserve">3.2 </w:t>
      </w:r>
      <w:r>
        <w:rPr>
          <w:rFonts w:ascii="仿宋_GB2312" w:hAnsi="仿宋_GB2312"/>
        </w:rPr>
        <w:t>技术可行性</w:t>
      </w:r>
    </w:p>
    <w:p w14:paraId="6BFEFA00" w14:textId="77777777" w:rsidR="00D167C8" w:rsidRDefault="00B078DF">
      <w:pPr>
        <w:jc w:val="both"/>
      </w:pPr>
      <w:r>
        <w:rPr>
          <w:rFonts w:ascii="仿宋_GB2312" w:hAnsi="仿宋_GB2312"/>
        </w:rPr>
        <w:t xml:space="preserve">3.2.1 </w:t>
      </w:r>
      <w:r>
        <w:rPr>
          <w:rFonts w:ascii="仿宋_GB2312" w:hAnsi="仿宋_GB2312"/>
        </w:rPr>
        <w:t>技术路径合理</w:t>
      </w:r>
    </w:p>
    <w:p w14:paraId="2FC9C76A" w14:textId="77777777" w:rsidR="00D167C8" w:rsidRDefault="00B078DF">
      <w:pPr>
        <w:jc w:val="both"/>
      </w:pPr>
      <w:r>
        <w:rPr>
          <w:rFonts w:ascii="仿宋_GB2312" w:hAnsi="仿宋_GB2312"/>
        </w:rPr>
        <w:t xml:space="preserve">3.2.2 </w:t>
      </w:r>
      <w:r>
        <w:rPr>
          <w:rFonts w:ascii="仿宋_GB2312" w:hAnsi="仿宋_GB2312"/>
        </w:rPr>
        <w:t>原型基础已具备</w:t>
      </w:r>
    </w:p>
    <w:p w14:paraId="6AF3F942" w14:textId="77777777" w:rsidR="00D167C8" w:rsidRDefault="00B078DF">
      <w:pPr>
        <w:jc w:val="both"/>
      </w:pPr>
      <w:r>
        <w:rPr>
          <w:rFonts w:ascii="仿宋_GB2312" w:hAnsi="仿宋_GB2312"/>
        </w:rPr>
        <w:t xml:space="preserve">3.2.3 </w:t>
      </w:r>
      <w:r>
        <w:rPr>
          <w:rFonts w:ascii="仿宋_GB2312" w:hAnsi="仿宋_GB2312"/>
        </w:rPr>
        <w:t>后续优化方向明确</w:t>
      </w:r>
    </w:p>
    <w:p w14:paraId="2CAE4B52" w14:textId="77777777" w:rsidR="00D167C8" w:rsidRDefault="00B078DF">
      <w:pPr>
        <w:jc w:val="both"/>
      </w:pPr>
      <w:r>
        <w:rPr>
          <w:rFonts w:ascii="仿宋_GB2312" w:hAnsi="仿宋_GB2312"/>
        </w:rPr>
        <w:t xml:space="preserve">3.3 </w:t>
      </w:r>
      <w:r>
        <w:rPr>
          <w:rFonts w:ascii="仿宋_GB2312" w:hAnsi="仿宋_GB2312"/>
        </w:rPr>
        <w:t>经济可行性</w:t>
      </w:r>
    </w:p>
    <w:p w14:paraId="358C4375" w14:textId="77777777" w:rsidR="00D167C8" w:rsidRDefault="00B078DF">
      <w:pPr>
        <w:jc w:val="both"/>
      </w:pPr>
      <w:r>
        <w:rPr>
          <w:rFonts w:ascii="仿宋_GB2312" w:hAnsi="仿宋_GB2312"/>
        </w:rPr>
        <w:t xml:space="preserve">3.3.1 </w:t>
      </w:r>
      <w:r>
        <w:rPr>
          <w:rFonts w:ascii="仿宋_GB2312" w:hAnsi="仿宋_GB2312"/>
        </w:rPr>
        <w:t>早期投入具有可控性</w:t>
      </w:r>
    </w:p>
    <w:p w14:paraId="6104C1F5" w14:textId="77777777" w:rsidR="00D167C8" w:rsidRDefault="00B078DF">
      <w:pPr>
        <w:jc w:val="both"/>
      </w:pPr>
      <w:r>
        <w:rPr>
          <w:rFonts w:ascii="仿宋_GB2312" w:hAnsi="仿宋_GB2312"/>
        </w:rPr>
        <w:t xml:space="preserve">3.3.2 </w:t>
      </w:r>
      <w:r>
        <w:rPr>
          <w:rFonts w:ascii="仿宋_GB2312" w:hAnsi="仿宋_GB2312"/>
        </w:rPr>
        <w:t>收入路径具备扩展性</w:t>
      </w:r>
    </w:p>
    <w:p w14:paraId="0E91C7C5" w14:textId="77777777" w:rsidR="00D167C8" w:rsidRDefault="00B078DF">
      <w:pPr>
        <w:jc w:val="both"/>
      </w:pPr>
      <w:r>
        <w:rPr>
          <w:rFonts w:ascii="仿宋_GB2312" w:hAnsi="仿宋_GB2312"/>
        </w:rPr>
        <w:t xml:space="preserve">3.3.3 </w:t>
      </w:r>
      <w:r>
        <w:rPr>
          <w:rFonts w:ascii="仿宋_GB2312" w:hAnsi="仿宋_GB2312"/>
        </w:rPr>
        <w:t>分阶段商业化更符合项目当前边界</w:t>
      </w:r>
    </w:p>
    <w:p w14:paraId="09A99C66" w14:textId="77777777" w:rsidR="00D167C8" w:rsidRDefault="00B078DF">
      <w:pPr>
        <w:jc w:val="both"/>
      </w:pPr>
      <w:r>
        <w:rPr>
          <w:rFonts w:ascii="仿宋_GB2312" w:hAnsi="仿宋_GB2312"/>
        </w:rPr>
        <w:t xml:space="preserve">3.4 </w:t>
      </w:r>
      <w:r>
        <w:rPr>
          <w:rFonts w:ascii="仿宋_GB2312" w:hAnsi="仿宋_GB2312"/>
        </w:rPr>
        <w:t>运营可行性</w:t>
      </w:r>
    </w:p>
    <w:p w14:paraId="4AE1A1A3" w14:textId="77777777" w:rsidR="00D167C8" w:rsidRDefault="00B078DF">
      <w:pPr>
        <w:jc w:val="both"/>
      </w:pPr>
      <w:r>
        <w:rPr>
          <w:rFonts w:ascii="仿宋_GB2312" w:hAnsi="仿宋_GB2312"/>
        </w:rPr>
        <w:t xml:space="preserve">3.4.1 </w:t>
      </w:r>
      <w:r>
        <w:rPr>
          <w:rFonts w:ascii="仿宋_GB2312" w:hAnsi="仿宋_GB2312"/>
        </w:rPr>
        <w:t>团队与组织基础具备支撑</w:t>
      </w:r>
    </w:p>
    <w:p w14:paraId="4D02C6FA" w14:textId="77777777" w:rsidR="00D167C8" w:rsidRDefault="00B078DF">
      <w:pPr>
        <w:jc w:val="both"/>
      </w:pPr>
      <w:r>
        <w:rPr>
          <w:rFonts w:ascii="仿宋_GB2312" w:hAnsi="仿宋_GB2312"/>
        </w:rPr>
        <w:t xml:space="preserve">3.4.2 </w:t>
      </w:r>
      <w:r>
        <w:rPr>
          <w:rFonts w:ascii="仿宋_GB2312" w:hAnsi="仿宋_GB2312"/>
        </w:rPr>
        <w:t>推进路径相对清晰</w:t>
      </w:r>
    </w:p>
    <w:p w14:paraId="7E9839B6" w14:textId="77777777" w:rsidR="00D167C8" w:rsidRDefault="00B078DF">
      <w:pPr>
        <w:jc w:val="both"/>
      </w:pPr>
      <w:r>
        <w:rPr>
          <w:rFonts w:ascii="仿宋_GB2312" w:hAnsi="仿宋_GB2312"/>
        </w:rPr>
        <w:t xml:space="preserve">3.4.3 Web </w:t>
      </w:r>
      <w:r>
        <w:rPr>
          <w:rFonts w:ascii="仿宋_GB2312" w:hAnsi="仿宋_GB2312"/>
        </w:rPr>
        <w:t>原型有助于缩短合作转化周期</w:t>
      </w:r>
    </w:p>
    <w:p w14:paraId="30EAF39A" w14:textId="77777777" w:rsidR="00D167C8" w:rsidRDefault="00B078DF">
      <w:pPr>
        <w:jc w:val="both"/>
      </w:pPr>
      <w:r>
        <w:rPr>
          <w:rFonts w:ascii="仿宋_GB2312" w:hAnsi="仿宋_GB2312"/>
        </w:rPr>
        <w:t>第四章</w:t>
      </w:r>
      <w:r>
        <w:rPr>
          <w:rFonts w:ascii="仿宋_GB2312" w:hAnsi="仿宋_GB2312"/>
        </w:rPr>
        <w:t xml:space="preserve"> </w:t>
      </w:r>
      <w:r>
        <w:rPr>
          <w:rFonts w:ascii="仿宋_GB2312" w:hAnsi="仿宋_GB2312"/>
        </w:rPr>
        <w:t>市场优势</w:t>
      </w:r>
    </w:p>
    <w:p w14:paraId="409037C8" w14:textId="77777777" w:rsidR="00D167C8" w:rsidRDefault="00B078DF">
      <w:pPr>
        <w:jc w:val="both"/>
      </w:pPr>
      <w:r>
        <w:rPr>
          <w:rFonts w:ascii="仿宋_GB2312" w:hAnsi="仿宋_GB2312"/>
        </w:rPr>
        <w:t xml:space="preserve">4.1 </w:t>
      </w:r>
      <w:r>
        <w:rPr>
          <w:rFonts w:ascii="仿宋_GB2312" w:hAnsi="仿宋_GB2312"/>
        </w:rPr>
        <w:t>检测市场分析</w:t>
      </w:r>
    </w:p>
    <w:p w14:paraId="77B8CF84" w14:textId="77777777" w:rsidR="00D167C8" w:rsidRDefault="00B078DF">
      <w:pPr>
        <w:jc w:val="both"/>
      </w:pPr>
      <w:r>
        <w:rPr>
          <w:rFonts w:ascii="仿宋_GB2312" w:hAnsi="仿宋_GB2312"/>
        </w:rPr>
        <w:t xml:space="preserve">4.1.1 </w:t>
      </w:r>
      <w:r>
        <w:rPr>
          <w:rFonts w:ascii="仿宋_GB2312" w:hAnsi="仿宋_GB2312"/>
        </w:rPr>
        <w:t>产业规模与需求牵引</w:t>
      </w:r>
    </w:p>
    <w:p w14:paraId="07FDEF52" w14:textId="77777777" w:rsidR="00D167C8" w:rsidRDefault="00B078DF">
      <w:pPr>
        <w:jc w:val="both"/>
      </w:pPr>
      <w:r>
        <w:rPr>
          <w:rFonts w:ascii="仿宋_GB2312" w:hAnsi="仿宋_GB2312"/>
        </w:rPr>
        <w:t xml:space="preserve">4.1.2 </w:t>
      </w:r>
      <w:r>
        <w:rPr>
          <w:rFonts w:ascii="仿宋_GB2312" w:hAnsi="仿宋_GB2312"/>
        </w:rPr>
        <w:t>区域品牌果品场景扩张</w:t>
      </w:r>
    </w:p>
    <w:p w14:paraId="33D2D3B6" w14:textId="77777777" w:rsidR="00D167C8" w:rsidRDefault="00B078DF">
      <w:pPr>
        <w:jc w:val="both"/>
      </w:pPr>
      <w:r>
        <w:rPr>
          <w:rFonts w:ascii="仿宋_GB2312" w:hAnsi="仿宋_GB2312"/>
        </w:rPr>
        <w:t xml:space="preserve">4.1.3 </w:t>
      </w:r>
      <w:r>
        <w:rPr>
          <w:rFonts w:ascii="仿宋_GB2312" w:hAnsi="仿宋_GB2312"/>
        </w:rPr>
        <w:t>检测方式演进趋势</w:t>
      </w:r>
    </w:p>
    <w:p w14:paraId="3A10CC6D" w14:textId="77777777" w:rsidR="00D167C8" w:rsidRDefault="00B078DF">
      <w:pPr>
        <w:jc w:val="both"/>
      </w:pPr>
      <w:r>
        <w:rPr>
          <w:rFonts w:ascii="仿宋_GB2312" w:hAnsi="仿宋_GB2312"/>
        </w:rPr>
        <w:t xml:space="preserve">4.2 </w:t>
      </w:r>
      <w:r>
        <w:rPr>
          <w:rFonts w:ascii="仿宋_GB2312" w:hAnsi="仿宋_GB2312"/>
        </w:rPr>
        <w:t>行业痛点与需求结构</w:t>
      </w:r>
    </w:p>
    <w:p w14:paraId="317F4D3C" w14:textId="77777777" w:rsidR="00D167C8" w:rsidRDefault="00B078DF">
      <w:pPr>
        <w:jc w:val="both"/>
      </w:pPr>
      <w:r>
        <w:rPr>
          <w:rFonts w:ascii="仿宋_GB2312" w:hAnsi="仿宋_GB2312"/>
        </w:rPr>
        <w:t xml:space="preserve">4.2.1 </w:t>
      </w:r>
      <w:r>
        <w:rPr>
          <w:rFonts w:ascii="仿宋_GB2312" w:hAnsi="仿宋_GB2312"/>
        </w:rPr>
        <w:t>传统理化检测周期偏长</w:t>
      </w:r>
    </w:p>
    <w:p w14:paraId="7BC2D641" w14:textId="77777777" w:rsidR="00D167C8" w:rsidRDefault="00B078DF">
      <w:pPr>
        <w:jc w:val="both"/>
      </w:pPr>
      <w:r>
        <w:rPr>
          <w:rFonts w:ascii="仿宋_GB2312" w:hAnsi="仿宋_GB2312"/>
        </w:rPr>
        <w:t xml:space="preserve">4.2.2 </w:t>
      </w:r>
      <w:r>
        <w:rPr>
          <w:rFonts w:ascii="仿宋_GB2312" w:hAnsi="仿宋_GB2312"/>
        </w:rPr>
        <w:t>人工经验分级标准不一</w:t>
      </w:r>
    </w:p>
    <w:p w14:paraId="7CA2652F" w14:textId="77777777" w:rsidR="00D167C8" w:rsidRDefault="00B078DF">
      <w:pPr>
        <w:jc w:val="both"/>
      </w:pPr>
      <w:r>
        <w:rPr>
          <w:rFonts w:ascii="仿宋_GB2312" w:hAnsi="仿宋_GB2312"/>
        </w:rPr>
        <w:t xml:space="preserve">4.2.3 </w:t>
      </w:r>
      <w:r>
        <w:rPr>
          <w:rFonts w:ascii="仿宋_GB2312" w:hAnsi="仿宋_GB2312"/>
        </w:rPr>
        <w:t>品牌表达与数据留痕不足</w:t>
      </w:r>
    </w:p>
    <w:p w14:paraId="7D10B9BA" w14:textId="77777777" w:rsidR="00D167C8" w:rsidRDefault="00B078DF">
      <w:pPr>
        <w:jc w:val="both"/>
      </w:pPr>
      <w:r>
        <w:rPr>
          <w:rFonts w:ascii="仿宋_GB2312" w:hAnsi="仿宋_GB2312"/>
        </w:rPr>
        <w:t xml:space="preserve">4.3 </w:t>
      </w:r>
      <w:r>
        <w:rPr>
          <w:rFonts w:ascii="仿宋_GB2312" w:hAnsi="仿宋_GB2312"/>
        </w:rPr>
        <w:t>用户分析</w:t>
      </w:r>
    </w:p>
    <w:p w14:paraId="05B205F1" w14:textId="77777777" w:rsidR="00D167C8" w:rsidRDefault="00B078DF">
      <w:pPr>
        <w:jc w:val="both"/>
      </w:pPr>
      <w:r>
        <w:rPr>
          <w:rFonts w:ascii="仿宋_GB2312" w:hAnsi="仿宋_GB2312"/>
        </w:rPr>
        <w:t xml:space="preserve">4.3.1 </w:t>
      </w:r>
      <w:r>
        <w:rPr>
          <w:rFonts w:ascii="仿宋_GB2312" w:hAnsi="仿宋_GB2312"/>
        </w:rPr>
        <w:t>产地端用户</w:t>
      </w:r>
    </w:p>
    <w:p w14:paraId="199A9B49" w14:textId="77777777" w:rsidR="00D167C8" w:rsidRDefault="00B078DF">
      <w:pPr>
        <w:jc w:val="both"/>
      </w:pPr>
      <w:r>
        <w:rPr>
          <w:rFonts w:ascii="仿宋_GB2312" w:hAnsi="仿宋_GB2312"/>
        </w:rPr>
        <w:t xml:space="preserve">4.3.2 </w:t>
      </w:r>
      <w:r>
        <w:rPr>
          <w:rFonts w:ascii="仿宋_GB2312" w:hAnsi="仿宋_GB2312"/>
        </w:rPr>
        <w:t>渠道端与品牌端用户</w:t>
      </w:r>
    </w:p>
    <w:p w14:paraId="5B4403DA" w14:textId="77777777" w:rsidR="00D167C8" w:rsidRDefault="00B078DF">
      <w:pPr>
        <w:jc w:val="both"/>
      </w:pPr>
      <w:r>
        <w:rPr>
          <w:rFonts w:ascii="仿宋_GB2312" w:hAnsi="仿宋_GB2312"/>
        </w:rPr>
        <w:t xml:space="preserve">4.3.3 </w:t>
      </w:r>
      <w:r>
        <w:rPr>
          <w:rFonts w:ascii="仿宋_GB2312" w:hAnsi="仿宋_GB2312"/>
        </w:rPr>
        <w:t>公共服务与科研用户</w:t>
      </w:r>
    </w:p>
    <w:p w14:paraId="5B54B535" w14:textId="77777777" w:rsidR="00D167C8" w:rsidRDefault="00B078DF">
      <w:pPr>
        <w:jc w:val="both"/>
      </w:pPr>
      <w:r>
        <w:rPr>
          <w:rFonts w:ascii="仿宋_GB2312" w:hAnsi="仿宋_GB2312"/>
        </w:rPr>
        <w:lastRenderedPageBreak/>
        <w:t xml:space="preserve">4.4 </w:t>
      </w:r>
      <w:r>
        <w:rPr>
          <w:rFonts w:ascii="仿宋_GB2312" w:hAnsi="仿宋_GB2312"/>
        </w:rPr>
        <w:t>竞争分析</w:t>
      </w:r>
    </w:p>
    <w:p w14:paraId="5BB8AB7D" w14:textId="77777777" w:rsidR="00D167C8" w:rsidRDefault="00B078DF">
      <w:pPr>
        <w:jc w:val="both"/>
      </w:pPr>
      <w:r>
        <w:rPr>
          <w:rFonts w:ascii="仿宋_GB2312" w:hAnsi="仿宋_GB2312"/>
        </w:rPr>
        <w:t xml:space="preserve">4.4.1 </w:t>
      </w:r>
      <w:r>
        <w:rPr>
          <w:rFonts w:ascii="仿宋_GB2312" w:hAnsi="仿宋_GB2312"/>
        </w:rPr>
        <w:t>传统检测机构与实验室方案</w:t>
      </w:r>
    </w:p>
    <w:p w14:paraId="5697B034" w14:textId="77777777" w:rsidR="00D167C8" w:rsidRDefault="00B078DF">
      <w:pPr>
        <w:jc w:val="both"/>
      </w:pPr>
      <w:r>
        <w:rPr>
          <w:rFonts w:ascii="仿宋_GB2312" w:hAnsi="仿宋_GB2312"/>
        </w:rPr>
        <w:t xml:space="preserve">4.4.2 </w:t>
      </w:r>
      <w:r>
        <w:rPr>
          <w:rFonts w:ascii="仿宋_GB2312" w:hAnsi="仿宋_GB2312"/>
        </w:rPr>
        <w:t>通用视觉设备与单点光谱设备</w:t>
      </w:r>
    </w:p>
    <w:p w14:paraId="144F93E9" w14:textId="77777777" w:rsidR="00D167C8" w:rsidRDefault="00B078DF">
      <w:pPr>
        <w:jc w:val="both"/>
      </w:pPr>
      <w:r>
        <w:rPr>
          <w:rFonts w:ascii="仿宋_GB2312" w:hAnsi="仿宋_GB2312"/>
        </w:rPr>
        <w:t xml:space="preserve">4.4.3 </w:t>
      </w:r>
      <w:r>
        <w:rPr>
          <w:rFonts w:ascii="仿宋_GB2312" w:hAnsi="仿宋_GB2312"/>
        </w:rPr>
        <w:t>项目差异化优势与阶段性壁垒</w:t>
      </w:r>
    </w:p>
    <w:p w14:paraId="4BE9FD07" w14:textId="77777777" w:rsidR="00D167C8" w:rsidRDefault="00B078DF">
      <w:pPr>
        <w:jc w:val="both"/>
      </w:pPr>
      <w:r>
        <w:rPr>
          <w:rFonts w:ascii="仿宋_GB2312" w:hAnsi="仿宋_GB2312"/>
        </w:rPr>
        <w:t>第五章</w:t>
      </w:r>
      <w:r>
        <w:rPr>
          <w:rFonts w:ascii="仿宋_GB2312" w:hAnsi="仿宋_GB2312"/>
        </w:rPr>
        <w:t xml:space="preserve"> </w:t>
      </w:r>
      <w:r>
        <w:rPr>
          <w:rFonts w:ascii="仿宋_GB2312" w:hAnsi="仿宋_GB2312"/>
        </w:rPr>
        <w:t>技术策略</w:t>
      </w:r>
    </w:p>
    <w:p w14:paraId="6A9CD5E6" w14:textId="77777777" w:rsidR="00D167C8" w:rsidRDefault="00B078DF">
      <w:pPr>
        <w:jc w:val="both"/>
      </w:pPr>
      <w:r>
        <w:rPr>
          <w:rFonts w:ascii="仿宋_GB2312" w:hAnsi="仿宋_GB2312"/>
        </w:rPr>
        <w:t xml:space="preserve">5.1 </w:t>
      </w:r>
      <w:r>
        <w:rPr>
          <w:rFonts w:ascii="仿宋_GB2312" w:hAnsi="仿宋_GB2312"/>
        </w:rPr>
        <w:t>总体技术路线</w:t>
      </w:r>
    </w:p>
    <w:p w14:paraId="1DC6C906" w14:textId="77777777" w:rsidR="00D167C8" w:rsidRDefault="00B078DF">
      <w:pPr>
        <w:jc w:val="both"/>
      </w:pPr>
      <w:r>
        <w:rPr>
          <w:rFonts w:ascii="仿宋_GB2312" w:hAnsi="仿宋_GB2312"/>
        </w:rPr>
        <w:t xml:space="preserve">5.1.1 </w:t>
      </w:r>
      <w:r>
        <w:rPr>
          <w:rFonts w:ascii="仿宋_GB2312" w:hAnsi="仿宋_GB2312"/>
        </w:rPr>
        <w:t>样本采集与标签体系</w:t>
      </w:r>
    </w:p>
    <w:p w14:paraId="6E1AB74E" w14:textId="77777777" w:rsidR="00D167C8" w:rsidRDefault="00B078DF">
      <w:pPr>
        <w:jc w:val="both"/>
      </w:pPr>
      <w:r>
        <w:rPr>
          <w:rFonts w:ascii="仿宋_GB2312" w:hAnsi="仿宋_GB2312"/>
        </w:rPr>
        <w:t xml:space="preserve">5.1.2 </w:t>
      </w:r>
      <w:r>
        <w:rPr>
          <w:rFonts w:ascii="仿宋_GB2312" w:hAnsi="仿宋_GB2312"/>
        </w:rPr>
        <w:t>数据处理与多任务建模</w:t>
      </w:r>
    </w:p>
    <w:p w14:paraId="11F71A28" w14:textId="77777777" w:rsidR="00D167C8" w:rsidRDefault="00B078DF">
      <w:pPr>
        <w:jc w:val="both"/>
      </w:pPr>
      <w:r>
        <w:rPr>
          <w:rFonts w:ascii="仿宋_GB2312" w:hAnsi="仿宋_GB2312"/>
        </w:rPr>
        <w:t xml:space="preserve">5.1.3 </w:t>
      </w:r>
      <w:r>
        <w:rPr>
          <w:rFonts w:ascii="仿宋_GB2312" w:hAnsi="仿宋_GB2312"/>
        </w:rPr>
        <w:t>平台集成与结果输出</w:t>
      </w:r>
    </w:p>
    <w:p w14:paraId="4FB33CE2" w14:textId="77777777" w:rsidR="00D167C8" w:rsidRDefault="00B078DF">
      <w:pPr>
        <w:jc w:val="both"/>
      </w:pPr>
      <w:r>
        <w:rPr>
          <w:rFonts w:ascii="仿宋_GB2312" w:hAnsi="仿宋_GB2312"/>
        </w:rPr>
        <w:t xml:space="preserve">5.2 </w:t>
      </w:r>
      <w:r>
        <w:rPr>
          <w:rFonts w:ascii="仿宋_GB2312" w:hAnsi="仿宋_GB2312"/>
        </w:rPr>
        <w:t>实验设计与标准化流程</w:t>
      </w:r>
    </w:p>
    <w:p w14:paraId="2A338777" w14:textId="77777777" w:rsidR="00D167C8" w:rsidRDefault="00B078DF">
      <w:pPr>
        <w:jc w:val="both"/>
      </w:pPr>
      <w:r>
        <w:rPr>
          <w:rFonts w:ascii="仿宋_GB2312" w:hAnsi="仿宋_GB2312"/>
        </w:rPr>
        <w:t xml:space="preserve">5.2.1 </w:t>
      </w:r>
      <w:r>
        <w:rPr>
          <w:rFonts w:ascii="仿宋_GB2312" w:hAnsi="仿宋_GB2312"/>
        </w:rPr>
        <w:t>样本分层设计</w:t>
      </w:r>
    </w:p>
    <w:p w14:paraId="15E0A026" w14:textId="77777777" w:rsidR="00D167C8" w:rsidRDefault="00B078DF">
      <w:pPr>
        <w:jc w:val="both"/>
      </w:pPr>
      <w:r>
        <w:rPr>
          <w:rFonts w:ascii="仿宋_GB2312" w:hAnsi="仿宋_GB2312"/>
        </w:rPr>
        <w:t xml:space="preserve">5.2.2 </w:t>
      </w:r>
      <w:r>
        <w:rPr>
          <w:rFonts w:ascii="仿宋_GB2312" w:hAnsi="仿宋_GB2312"/>
        </w:rPr>
        <w:t>采集环境与流程规范</w:t>
      </w:r>
    </w:p>
    <w:p w14:paraId="656C82F5" w14:textId="77777777" w:rsidR="00D167C8" w:rsidRDefault="00B078DF">
      <w:pPr>
        <w:jc w:val="both"/>
      </w:pPr>
      <w:r>
        <w:rPr>
          <w:rFonts w:ascii="仿宋_GB2312" w:hAnsi="仿宋_GB2312"/>
        </w:rPr>
        <w:t xml:space="preserve">5.2.3 </w:t>
      </w:r>
      <w:r>
        <w:rPr>
          <w:rFonts w:ascii="仿宋_GB2312" w:hAnsi="仿宋_GB2312"/>
        </w:rPr>
        <w:t>训练验证与迭代机制</w:t>
      </w:r>
    </w:p>
    <w:p w14:paraId="0EE8D0D7" w14:textId="77777777" w:rsidR="00D167C8" w:rsidRDefault="00B078DF">
      <w:pPr>
        <w:jc w:val="both"/>
      </w:pPr>
      <w:r>
        <w:rPr>
          <w:rFonts w:ascii="仿宋_GB2312" w:hAnsi="仿宋_GB2312"/>
        </w:rPr>
        <w:t xml:space="preserve">5.3 </w:t>
      </w:r>
      <w:r>
        <w:rPr>
          <w:rFonts w:ascii="仿宋_GB2312" w:hAnsi="仿宋_GB2312"/>
        </w:rPr>
        <w:t>核心算法与模型策略</w:t>
      </w:r>
    </w:p>
    <w:p w14:paraId="14A087CC" w14:textId="77777777" w:rsidR="00D167C8" w:rsidRDefault="00B078DF">
      <w:pPr>
        <w:jc w:val="both"/>
      </w:pPr>
      <w:r>
        <w:rPr>
          <w:rFonts w:ascii="仿宋_GB2312" w:hAnsi="仿宋_GB2312"/>
        </w:rPr>
        <w:t xml:space="preserve">5.3.1 </w:t>
      </w:r>
      <w:r>
        <w:rPr>
          <w:rFonts w:ascii="仿宋_GB2312" w:hAnsi="仿宋_GB2312"/>
        </w:rPr>
        <w:t>产地分类模型路径</w:t>
      </w:r>
    </w:p>
    <w:p w14:paraId="6D865FB8" w14:textId="77777777" w:rsidR="00D167C8" w:rsidRDefault="00B078DF">
      <w:pPr>
        <w:jc w:val="both"/>
      </w:pPr>
      <w:r>
        <w:rPr>
          <w:rFonts w:ascii="仿宋_GB2312" w:hAnsi="仿宋_GB2312"/>
        </w:rPr>
        <w:t xml:space="preserve">5.3.2 </w:t>
      </w:r>
      <w:r>
        <w:rPr>
          <w:rFonts w:ascii="仿宋_GB2312" w:hAnsi="仿宋_GB2312"/>
        </w:rPr>
        <w:t>品质回归模型路径</w:t>
      </w:r>
    </w:p>
    <w:p w14:paraId="5713020A" w14:textId="77777777" w:rsidR="00D167C8" w:rsidRDefault="00B078DF">
      <w:pPr>
        <w:jc w:val="both"/>
      </w:pPr>
      <w:r>
        <w:rPr>
          <w:rFonts w:ascii="仿宋_GB2312" w:hAnsi="仿宋_GB2312"/>
        </w:rPr>
        <w:t xml:space="preserve">5.3.3 </w:t>
      </w:r>
      <w:r>
        <w:rPr>
          <w:rFonts w:ascii="仿宋_GB2312" w:hAnsi="仿宋_GB2312"/>
        </w:rPr>
        <w:t>可解释分析与异常预警</w:t>
      </w:r>
    </w:p>
    <w:p w14:paraId="0F421E91" w14:textId="77777777" w:rsidR="00D167C8" w:rsidRDefault="00B078DF">
      <w:pPr>
        <w:jc w:val="both"/>
      </w:pPr>
      <w:r>
        <w:rPr>
          <w:rFonts w:ascii="仿宋_GB2312" w:hAnsi="仿宋_GB2312"/>
        </w:rPr>
        <w:t xml:space="preserve">5.4 </w:t>
      </w:r>
      <w:r>
        <w:rPr>
          <w:rFonts w:ascii="仿宋_GB2312" w:hAnsi="仿宋_GB2312"/>
        </w:rPr>
        <w:t>光谱机理与特征指纹</w:t>
      </w:r>
    </w:p>
    <w:p w14:paraId="769B477C" w14:textId="77777777" w:rsidR="00D167C8" w:rsidRDefault="00B078DF">
      <w:pPr>
        <w:jc w:val="both"/>
      </w:pPr>
      <w:r>
        <w:rPr>
          <w:rFonts w:ascii="仿宋_GB2312" w:hAnsi="仿宋_GB2312"/>
        </w:rPr>
        <w:t xml:space="preserve">5.4.1 </w:t>
      </w:r>
      <w:r>
        <w:rPr>
          <w:rFonts w:ascii="仿宋_GB2312" w:hAnsi="仿宋_GB2312"/>
        </w:rPr>
        <w:t>色素变化与成熟度响应</w:t>
      </w:r>
    </w:p>
    <w:p w14:paraId="3E1263B2" w14:textId="77777777" w:rsidR="00D167C8" w:rsidRDefault="00B078DF">
      <w:pPr>
        <w:jc w:val="both"/>
      </w:pPr>
      <w:r>
        <w:rPr>
          <w:rFonts w:ascii="仿宋_GB2312" w:hAnsi="仿宋_GB2312"/>
        </w:rPr>
        <w:t xml:space="preserve">5.4.2 </w:t>
      </w:r>
      <w:r>
        <w:rPr>
          <w:rFonts w:ascii="仿宋_GB2312" w:hAnsi="仿宋_GB2312"/>
        </w:rPr>
        <w:t>水分、糖酸与组织结构信息</w:t>
      </w:r>
    </w:p>
    <w:p w14:paraId="6287830C" w14:textId="77777777" w:rsidR="00D167C8" w:rsidRDefault="00B078DF">
      <w:pPr>
        <w:jc w:val="both"/>
      </w:pPr>
      <w:r>
        <w:rPr>
          <w:rFonts w:ascii="仿宋_GB2312" w:hAnsi="仿宋_GB2312"/>
        </w:rPr>
        <w:t xml:space="preserve">5.4.3 </w:t>
      </w:r>
      <w:r>
        <w:rPr>
          <w:rFonts w:ascii="仿宋_GB2312" w:hAnsi="仿宋_GB2312"/>
        </w:rPr>
        <w:t>特征波段库与区域指纹沉淀</w:t>
      </w:r>
    </w:p>
    <w:p w14:paraId="03BB45F8" w14:textId="77777777" w:rsidR="00D167C8" w:rsidRDefault="00B078DF">
      <w:pPr>
        <w:jc w:val="both"/>
      </w:pPr>
      <w:r>
        <w:rPr>
          <w:rFonts w:ascii="仿宋_GB2312" w:hAnsi="仿宋_GB2312"/>
        </w:rPr>
        <w:t>第六章</w:t>
      </w:r>
      <w:r>
        <w:rPr>
          <w:rFonts w:ascii="仿宋_GB2312" w:hAnsi="仿宋_GB2312"/>
        </w:rPr>
        <w:t xml:space="preserve"> </w:t>
      </w:r>
      <w:r>
        <w:rPr>
          <w:rFonts w:ascii="仿宋_GB2312" w:hAnsi="仿宋_GB2312"/>
        </w:rPr>
        <w:t>产品策略</w:t>
      </w:r>
    </w:p>
    <w:p w14:paraId="4277F011" w14:textId="77777777" w:rsidR="00D167C8" w:rsidRDefault="00B078DF">
      <w:pPr>
        <w:jc w:val="both"/>
      </w:pPr>
      <w:r>
        <w:rPr>
          <w:rFonts w:ascii="仿宋_GB2312" w:hAnsi="仿宋_GB2312"/>
        </w:rPr>
        <w:t xml:space="preserve">6.1 </w:t>
      </w:r>
      <w:r>
        <w:rPr>
          <w:rFonts w:ascii="仿宋_GB2312" w:hAnsi="仿宋_GB2312"/>
        </w:rPr>
        <w:t>产品形态与功能规划</w:t>
      </w:r>
    </w:p>
    <w:p w14:paraId="0E41A621" w14:textId="77777777" w:rsidR="00D167C8" w:rsidRDefault="00B078DF">
      <w:pPr>
        <w:jc w:val="both"/>
      </w:pPr>
      <w:r>
        <w:rPr>
          <w:rFonts w:ascii="仿宋_GB2312" w:hAnsi="仿宋_GB2312"/>
        </w:rPr>
        <w:t>第七章</w:t>
      </w:r>
      <w:r>
        <w:rPr>
          <w:rFonts w:ascii="仿宋_GB2312" w:hAnsi="仿宋_GB2312"/>
        </w:rPr>
        <w:t xml:space="preserve"> </w:t>
      </w:r>
      <w:r>
        <w:rPr>
          <w:rFonts w:ascii="仿宋_GB2312" w:hAnsi="仿宋_GB2312"/>
        </w:rPr>
        <w:t>运营策略</w:t>
      </w:r>
    </w:p>
    <w:p w14:paraId="078EED53" w14:textId="77777777" w:rsidR="00D167C8" w:rsidRDefault="00B078DF">
      <w:pPr>
        <w:jc w:val="both"/>
      </w:pPr>
      <w:r>
        <w:rPr>
          <w:rFonts w:ascii="仿宋_GB2312" w:hAnsi="仿宋_GB2312"/>
        </w:rPr>
        <w:t xml:space="preserve">7.1 </w:t>
      </w:r>
      <w:r>
        <w:rPr>
          <w:rFonts w:ascii="仿宋_GB2312" w:hAnsi="仿宋_GB2312"/>
        </w:rPr>
        <w:t>试点到复制的运营路径</w:t>
      </w:r>
    </w:p>
    <w:p w14:paraId="11333883" w14:textId="77777777" w:rsidR="00D167C8" w:rsidRDefault="00B078DF">
      <w:pPr>
        <w:jc w:val="both"/>
      </w:pPr>
      <w:r>
        <w:rPr>
          <w:rFonts w:ascii="仿宋_GB2312" w:hAnsi="仿宋_GB2312"/>
        </w:rPr>
        <w:t>第八章</w:t>
      </w:r>
      <w:r>
        <w:rPr>
          <w:rFonts w:ascii="仿宋_GB2312" w:hAnsi="仿宋_GB2312"/>
        </w:rPr>
        <w:t xml:space="preserve"> </w:t>
      </w:r>
      <w:r>
        <w:rPr>
          <w:rFonts w:ascii="仿宋_GB2312" w:hAnsi="仿宋_GB2312"/>
        </w:rPr>
        <w:t>团队介绍</w:t>
      </w:r>
    </w:p>
    <w:p w14:paraId="750BA545" w14:textId="77777777" w:rsidR="00D167C8" w:rsidRDefault="00B078DF">
      <w:pPr>
        <w:jc w:val="both"/>
      </w:pPr>
      <w:r>
        <w:rPr>
          <w:rFonts w:ascii="仿宋_GB2312" w:hAnsi="仿宋_GB2312"/>
        </w:rPr>
        <w:t>第九章</w:t>
      </w:r>
      <w:r>
        <w:rPr>
          <w:rFonts w:ascii="仿宋_GB2312" w:hAnsi="仿宋_GB2312"/>
        </w:rPr>
        <w:t xml:space="preserve"> </w:t>
      </w:r>
      <w:r>
        <w:rPr>
          <w:rFonts w:ascii="仿宋_GB2312" w:hAnsi="仿宋_GB2312"/>
        </w:rPr>
        <w:t>财务预测</w:t>
      </w:r>
    </w:p>
    <w:p w14:paraId="5AD0444C" w14:textId="77777777" w:rsidR="00D167C8" w:rsidRDefault="00B078DF">
      <w:pPr>
        <w:jc w:val="both"/>
      </w:pPr>
      <w:r>
        <w:rPr>
          <w:rFonts w:ascii="仿宋_GB2312" w:hAnsi="仿宋_GB2312"/>
        </w:rPr>
        <w:lastRenderedPageBreak/>
        <w:t>第十章</w:t>
      </w:r>
      <w:r>
        <w:rPr>
          <w:rFonts w:ascii="仿宋_GB2312" w:hAnsi="仿宋_GB2312"/>
        </w:rPr>
        <w:t xml:space="preserve"> </w:t>
      </w:r>
      <w:r>
        <w:rPr>
          <w:rFonts w:ascii="仿宋_GB2312" w:hAnsi="仿宋_GB2312"/>
        </w:rPr>
        <w:t>风险分析</w:t>
      </w:r>
    </w:p>
    <w:p w14:paraId="02D8F7BF" w14:textId="77777777" w:rsidR="00D167C8" w:rsidRDefault="00D167C8">
      <w:pPr>
        <w:sectPr w:rsidR="00D167C8">
          <w:pgSz w:w="11906" w:h="16838"/>
          <w:pgMar w:top="1417" w:right="1417" w:bottom="1417" w:left="1417" w:header="850" w:footer="992" w:gutter="0"/>
          <w:cols w:space="720"/>
          <w:docGrid w:linePitch="360"/>
        </w:sectPr>
      </w:pPr>
    </w:p>
    <w:p w14:paraId="58A50F96" w14:textId="77777777" w:rsidR="00D167C8" w:rsidRDefault="00B078DF">
      <w:pPr>
        <w:ind w:firstLine="0"/>
        <w:jc w:val="both"/>
      </w:pPr>
      <w:r>
        <w:rPr>
          <w:rFonts w:ascii="仿宋_GB2312" w:hAnsi="仿宋_GB2312"/>
          <w:b/>
        </w:rPr>
        <w:lastRenderedPageBreak/>
        <w:t>摘要</w:t>
      </w:r>
      <w:r>
        <w:rPr>
          <w:rFonts w:ascii="仿宋_GB2312" w:hAnsi="仿宋_GB2312"/>
          <w:b/>
        </w:rPr>
        <w:t xml:space="preserve"> </w:t>
      </w:r>
      <w:r>
        <w:rPr>
          <w:rFonts w:ascii="仿宋_GB2312" w:hAnsi="仿宋_GB2312"/>
        </w:rPr>
        <w:t>橙源智鉴项目面向橙类及相关特色水果在品质分级、产地识别、批次留痕和品牌表达中的现实需求，提出以高光谱成像为数据入口、以分类与回归模型为核心能力、以可解释分析和图文化报告为主要输出的智能检测平台方案。项目以农业农村部智慧农业与农产品追溯相关政策为方向依据，结合我国柑橘产业规模持续扩大、海南特色水果产业基础较好以及品牌果品在快速识别、可信表达和标准化管理中的现实痛点，尝试构建</w:t>
      </w:r>
      <w:r>
        <w:rPr>
          <w:rFonts w:ascii="仿宋_GB2312" w:hAnsi="仿宋_GB2312"/>
        </w:rPr>
        <w:t>“</w:t>
      </w:r>
      <w:r>
        <w:rPr>
          <w:rFonts w:ascii="仿宋_GB2312" w:hAnsi="仿宋_GB2312"/>
        </w:rPr>
        <w:t>样本采集</w:t>
      </w:r>
      <w:r>
        <w:rPr>
          <w:rFonts w:ascii="仿宋_GB2312" w:hAnsi="仿宋_GB2312"/>
        </w:rPr>
        <w:t>—</w:t>
      </w:r>
      <w:r>
        <w:rPr>
          <w:rFonts w:ascii="仿宋_GB2312" w:hAnsi="仿宋_GB2312"/>
        </w:rPr>
        <w:t>数据处理</w:t>
      </w:r>
      <w:r>
        <w:rPr>
          <w:rFonts w:ascii="仿宋_GB2312" w:hAnsi="仿宋_GB2312"/>
        </w:rPr>
        <w:t>—</w:t>
      </w:r>
      <w:r>
        <w:rPr>
          <w:rFonts w:ascii="仿宋_GB2312" w:hAnsi="仿宋_GB2312"/>
        </w:rPr>
        <w:t>模型训练</w:t>
      </w:r>
      <w:r>
        <w:rPr>
          <w:rFonts w:ascii="仿宋_GB2312" w:hAnsi="仿宋_GB2312"/>
        </w:rPr>
        <w:t>—</w:t>
      </w:r>
      <w:r>
        <w:rPr>
          <w:rFonts w:ascii="仿宋_GB2312" w:hAnsi="仿宋_GB2312"/>
        </w:rPr>
        <w:t>结果解释</w:t>
      </w:r>
      <w:r>
        <w:rPr>
          <w:rFonts w:ascii="仿宋_GB2312" w:hAnsi="仿宋_GB2312"/>
        </w:rPr>
        <w:t>—</w:t>
      </w:r>
      <w:r>
        <w:rPr>
          <w:rFonts w:ascii="仿宋_GB2312" w:hAnsi="仿宋_GB2312"/>
        </w:rPr>
        <w:t>平台应用</w:t>
      </w:r>
      <w:r>
        <w:rPr>
          <w:rFonts w:ascii="仿宋_GB2312" w:hAnsi="仿宋_GB2312"/>
        </w:rPr>
        <w:t>”</w:t>
      </w:r>
      <w:r>
        <w:rPr>
          <w:rFonts w:ascii="仿宋_GB2312" w:hAnsi="仿宋_GB2312"/>
        </w:rPr>
        <w:t>的完整技术与产品路径。当前项目已具备首页门户、可视化大屏、智能样本分析、模型解释、历史记录等前端原型，也已沉淀糖度、酸度、糖酸比、维生素</w:t>
      </w:r>
      <w:r>
        <w:rPr>
          <w:rFonts w:ascii="仿宋_GB2312" w:hAnsi="仿宋_GB2312"/>
        </w:rPr>
        <w:t>C</w:t>
      </w:r>
      <w:r>
        <w:rPr>
          <w:rFonts w:ascii="仿宋_GB2312" w:hAnsi="仿宋_GB2312"/>
        </w:rPr>
        <w:t>等基础字段与高光谱曲线展示逻辑，具备由展示型原型走向试点型系统的现实基础。项目现阶段更适合围绕澄迈福橙、琼中绿橙等具有区域品牌属性的场景先做技术验证、场景展示和试点孵化，再逐步形成可用于合作洽谈、成果展示和后续复制推广的阶段性方案，并为区域品牌果品的数字化管理、品质证明和溯源表达提供新的技术支撑。</w:t>
      </w:r>
    </w:p>
    <w:p w14:paraId="4F53C5FC" w14:textId="77777777" w:rsidR="00D167C8" w:rsidRDefault="00B078DF">
      <w:pPr>
        <w:ind w:firstLine="0"/>
        <w:jc w:val="both"/>
      </w:pPr>
      <w:r>
        <w:rPr>
          <w:rFonts w:ascii="仿宋_GB2312" w:hAnsi="仿宋_GB2312"/>
          <w:b/>
        </w:rPr>
        <w:t>关键词</w:t>
      </w:r>
      <w:r>
        <w:rPr>
          <w:rFonts w:ascii="仿宋_GB2312" w:hAnsi="仿宋_GB2312"/>
          <w:b/>
        </w:rPr>
        <w:t xml:space="preserve"> </w:t>
      </w:r>
      <w:r>
        <w:rPr>
          <w:rFonts w:ascii="仿宋_GB2312" w:hAnsi="仿宋_GB2312"/>
        </w:rPr>
        <w:t>高光谱成像；橙类品质检测；产地识别；智慧农业；可解释</w:t>
      </w:r>
      <w:r>
        <w:rPr>
          <w:rFonts w:ascii="仿宋_GB2312" w:hAnsi="仿宋_GB2312"/>
        </w:rPr>
        <w:t>AI</w:t>
      </w:r>
    </w:p>
    <w:p w14:paraId="5BDF32E1" w14:textId="77777777" w:rsidR="00D167C8" w:rsidRDefault="00B078DF">
      <w:pPr>
        <w:ind w:firstLine="0"/>
        <w:jc w:val="both"/>
      </w:pPr>
      <w:r>
        <w:rPr>
          <w:rFonts w:eastAsia="Times New Roman"/>
          <w:b/>
        </w:rPr>
        <w:t xml:space="preserve">Abstract </w:t>
      </w:r>
      <w:r>
        <w:rPr>
          <w:rFonts w:eastAsia="Times New Roman"/>
        </w:rPr>
        <w:t>Chengyuan Insight focuses on the practical needs of citrus and other specialty fruits in quality grading, origin identification, batch traceability and brand-oriented evidence presentation. The project proposes an intelligent inspection platform based on hyperspectral imaging, classification and regression models, explainable analysis and visual reports. Guided by current policies on smart agriculture and traceability, and supported by Hainan's regional fruit industry and the existing web prototype, the pro</w:t>
      </w:r>
      <w:r>
        <w:rPr>
          <w:rFonts w:eastAsia="Times New Roman"/>
        </w:rPr>
        <w:t>ject aims to build a practical path from sample collection and data processing to model application and scenario validation.</w:t>
      </w:r>
    </w:p>
    <w:p w14:paraId="1CAFD5E1" w14:textId="77777777" w:rsidR="00D167C8" w:rsidRDefault="00B078DF">
      <w:pPr>
        <w:ind w:firstLine="0"/>
        <w:jc w:val="both"/>
      </w:pPr>
      <w:r>
        <w:rPr>
          <w:rFonts w:eastAsia="Times New Roman"/>
          <w:b/>
        </w:rPr>
        <w:t xml:space="preserve">Key words </w:t>
      </w:r>
      <w:r>
        <w:rPr>
          <w:rFonts w:eastAsia="Times New Roman"/>
        </w:rPr>
        <w:t>hyperspectral imaging; citrus quality inspection; origin identification; smart agriculture; explainable AI</w:t>
      </w:r>
    </w:p>
    <w:p w14:paraId="20ACE10C" w14:textId="77777777" w:rsidR="00D167C8" w:rsidRDefault="00D167C8">
      <w:pPr>
        <w:sectPr w:rsidR="00D167C8">
          <w:pgSz w:w="11906" w:h="16838"/>
          <w:pgMar w:top="1417" w:right="1417" w:bottom="1417" w:left="1417" w:header="850" w:footer="992" w:gutter="0"/>
          <w:cols w:space="720"/>
          <w:docGrid w:linePitch="360"/>
        </w:sectPr>
      </w:pPr>
    </w:p>
    <w:p w14:paraId="234247B4" w14:textId="77777777" w:rsidR="00D167C8" w:rsidRDefault="00B078DF">
      <w:pPr>
        <w:pStyle w:val="1"/>
        <w:ind w:firstLine="0"/>
      </w:pPr>
      <w:r>
        <w:rPr>
          <w:rFonts w:ascii="黑体" w:eastAsia="黑体" w:hAnsi="黑体"/>
        </w:rPr>
        <w:lastRenderedPageBreak/>
        <w:t>第一章</w:t>
      </w:r>
      <w:r>
        <w:rPr>
          <w:rFonts w:ascii="黑体" w:eastAsia="黑体" w:hAnsi="黑体"/>
        </w:rPr>
        <w:t xml:space="preserve"> </w:t>
      </w:r>
      <w:r>
        <w:rPr>
          <w:rFonts w:ascii="黑体" w:eastAsia="黑体" w:hAnsi="黑体"/>
        </w:rPr>
        <w:t>项目概述</w:t>
      </w:r>
    </w:p>
    <w:p w14:paraId="40C57CA9" w14:textId="77777777" w:rsidR="00D167C8" w:rsidRDefault="00B078DF">
      <w:pPr>
        <w:pStyle w:val="21"/>
        <w:ind w:firstLine="0"/>
      </w:pPr>
      <w:r>
        <w:rPr>
          <w:rFonts w:ascii="楷体_GB2312" w:eastAsia="楷体_GB2312" w:hAnsi="楷体_GB2312"/>
        </w:rPr>
        <w:t xml:space="preserve">1.1 </w:t>
      </w:r>
      <w:r>
        <w:rPr>
          <w:rFonts w:ascii="楷体_GB2312" w:eastAsia="楷体_GB2312" w:hAnsi="楷体_GB2312"/>
        </w:rPr>
        <w:t>项目背景</w:t>
      </w:r>
    </w:p>
    <w:p w14:paraId="734C490A" w14:textId="77777777" w:rsidR="00D167C8" w:rsidRDefault="00B078DF">
      <w:pPr>
        <w:jc w:val="both"/>
      </w:pPr>
      <w:r>
        <w:rPr>
          <w:rFonts w:ascii="仿宋_GB2312" w:hAnsi="仿宋_GB2312"/>
        </w:rPr>
        <w:t>近年来，我国水果产业正在从</w:t>
      </w:r>
      <w:r>
        <w:rPr>
          <w:rFonts w:ascii="仿宋_GB2312" w:hAnsi="仿宋_GB2312"/>
        </w:rPr>
        <w:t>“</w:t>
      </w:r>
      <w:r>
        <w:rPr>
          <w:rFonts w:ascii="仿宋_GB2312" w:hAnsi="仿宋_GB2312"/>
        </w:rPr>
        <w:t>规模扩张</w:t>
      </w:r>
      <w:r>
        <w:rPr>
          <w:rFonts w:ascii="仿宋_GB2312" w:hAnsi="仿宋_GB2312"/>
        </w:rPr>
        <w:t>”</w:t>
      </w:r>
      <w:r>
        <w:rPr>
          <w:rFonts w:ascii="仿宋_GB2312" w:hAnsi="仿宋_GB2312"/>
        </w:rPr>
        <w:t>转向</w:t>
      </w:r>
      <w:r>
        <w:rPr>
          <w:rFonts w:ascii="仿宋_GB2312" w:hAnsi="仿宋_GB2312"/>
        </w:rPr>
        <w:t>“</w:t>
      </w:r>
      <w:r>
        <w:rPr>
          <w:rFonts w:ascii="仿宋_GB2312" w:hAnsi="仿宋_GB2312"/>
        </w:rPr>
        <w:t>品质提升</w:t>
      </w:r>
      <w:r>
        <w:rPr>
          <w:rFonts w:ascii="仿宋_GB2312" w:hAnsi="仿宋_GB2312"/>
        </w:rPr>
        <w:t>”</w:t>
      </w:r>
      <w:r>
        <w:rPr>
          <w:rFonts w:ascii="仿宋_GB2312" w:hAnsi="仿宋_GB2312"/>
        </w:rPr>
        <w:t>和</w:t>
      </w:r>
      <w:r>
        <w:rPr>
          <w:rFonts w:ascii="仿宋_GB2312" w:hAnsi="仿宋_GB2312"/>
        </w:rPr>
        <w:t>“</w:t>
      </w:r>
      <w:r>
        <w:rPr>
          <w:rFonts w:ascii="仿宋_GB2312" w:hAnsi="仿宋_GB2312"/>
        </w:rPr>
        <w:t>品牌经营</w:t>
      </w:r>
      <w:r>
        <w:rPr>
          <w:rFonts w:ascii="仿宋_GB2312" w:hAnsi="仿宋_GB2312"/>
        </w:rPr>
        <w:t>”</w:t>
      </w:r>
      <w:r>
        <w:rPr>
          <w:rFonts w:ascii="仿宋_GB2312" w:hAnsi="仿宋_GB2312"/>
        </w:rPr>
        <w:t>并重的发展阶段。对于橙类产品而言，传统分级更多依赖人工经验、抽样理化检测和外观判断，这种方式在小规模场景中尚可维持，但一旦进入品牌果、电商果、礼盒果、节令果等对稳定性和证明力要求更高的场景，就容易暴露出效率偏低、标准不一、结果难留痕等问题。</w:t>
      </w:r>
    </w:p>
    <w:p w14:paraId="509B092E" w14:textId="77777777" w:rsidR="00D167C8" w:rsidRDefault="00B078DF">
      <w:pPr>
        <w:jc w:val="both"/>
      </w:pPr>
      <w:r>
        <w:rPr>
          <w:rFonts w:ascii="仿宋_GB2312" w:hAnsi="仿宋_GB2312"/>
        </w:rPr>
        <w:t>从产业规模看，柑橘依然是我国最具代表性的优势水果之一。农业农村部</w:t>
      </w:r>
      <w:r>
        <w:rPr>
          <w:rFonts w:ascii="仿宋_GB2312" w:hAnsi="仿宋_GB2312"/>
        </w:rPr>
        <w:t>2024</w:t>
      </w:r>
      <w:r>
        <w:rPr>
          <w:rFonts w:ascii="仿宋_GB2312" w:hAnsi="仿宋_GB2312"/>
        </w:rPr>
        <w:t>年公开资料显示，我国柑橘种植面积约</w:t>
      </w:r>
      <w:r>
        <w:rPr>
          <w:rFonts w:ascii="仿宋_GB2312" w:hAnsi="仿宋_GB2312"/>
        </w:rPr>
        <w:t>4493.72</w:t>
      </w:r>
      <w:r>
        <w:rPr>
          <w:rFonts w:ascii="仿宋_GB2312" w:hAnsi="仿宋_GB2312"/>
        </w:rPr>
        <w:t>万亩、年产量约</w:t>
      </w:r>
      <w:r>
        <w:rPr>
          <w:rFonts w:ascii="仿宋_GB2312" w:hAnsi="仿宋_GB2312"/>
        </w:rPr>
        <w:t>6003.89</w:t>
      </w:r>
      <w:r>
        <w:rPr>
          <w:rFonts w:ascii="仿宋_GB2312" w:hAnsi="仿宋_GB2312"/>
        </w:rPr>
        <w:t>万吨，约占全球总产量</w:t>
      </w:r>
      <w:r>
        <w:rPr>
          <w:rFonts w:ascii="仿宋_GB2312" w:hAnsi="仿宋_GB2312"/>
        </w:rPr>
        <w:t>28%</w:t>
      </w:r>
      <w:r>
        <w:rPr>
          <w:rFonts w:ascii="仿宋_GB2312" w:hAnsi="仿宋_GB2312"/>
        </w:rPr>
        <w:t>。与此同时，农业农村部《</w:t>
      </w:r>
      <w:r>
        <w:rPr>
          <w:rFonts w:ascii="仿宋_GB2312" w:hAnsi="仿宋_GB2312"/>
        </w:rPr>
        <w:t>2024</w:t>
      </w:r>
      <w:r>
        <w:rPr>
          <w:rFonts w:ascii="仿宋_GB2312" w:hAnsi="仿宋_GB2312"/>
        </w:rPr>
        <w:t>年</w:t>
      </w:r>
      <w:r>
        <w:rPr>
          <w:rFonts w:ascii="仿宋_GB2312" w:hAnsi="仿宋_GB2312"/>
        </w:rPr>
        <w:t>4</w:t>
      </w:r>
      <w:r>
        <w:rPr>
          <w:rFonts w:ascii="仿宋_GB2312" w:hAnsi="仿宋_GB2312"/>
        </w:rPr>
        <w:t>月农产品供需形势分析月报（水果）》指出，</w:t>
      </w:r>
      <w:r>
        <w:rPr>
          <w:rFonts w:ascii="仿宋_GB2312" w:hAnsi="仿宋_GB2312"/>
        </w:rPr>
        <w:t>2023</w:t>
      </w:r>
      <w:r>
        <w:rPr>
          <w:rFonts w:ascii="仿宋_GB2312" w:hAnsi="仿宋_GB2312"/>
        </w:rPr>
        <w:t>产季主产区天气总体良好，柑橘普遍丰产，</w:t>
      </w:r>
      <w:r>
        <w:rPr>
          <w:rFonts w:ascii="仿宋_GB2312" w:hAnsi="仿宋_GB2312"/>
        </w:rPr>
        <w:t>2024</w:t>
      </w:r>
      <w:r>
        <w:rPr>
          <w:rFonts w:ascii="仿宋_GB2312" w:hAnsi="仿宋_GB2312"/>
        </w:rPr>
        <w:t>年</w:t>
      </w:r>
      <w:r>
        <w:rPr>
          <w:rFonts w:ascii="仿宋_GB2312" w:hAnsi="仿宋_GB2312"/>
        </w:rPr>
        <w:t>3</w:t>
      </w:r>
      <w:r>
        <w:rPr>
          <w:rFonts w:ascii="仿宋_GB2312" w:hAnsi="仿宋_GB2312"/>
        </w:rPr>
        <w:t>月全国重点监测批发市场柑橘均价为</w:t>
      </w:r>
      <w:r>
        <w:rPr>
          <w:rFonts w:ascii="仿宋_GB2312" w:hAnsi="仿宋_GB2312"/>
        </w:rPr>
        <w:t>7.03</w:t>
      </w:r>
      <w:r>
        <w:rPr>
          <w:rFonts w:ascii="仿宋_GB2312" w:hAnsi="仿宋_GB2312"/>
        </w:rPr>
        <w:t>元</w:t>
      </w:r>
      <w:r>
        <w:rPr>
          <w:rFonts w:ascii="仿宋_GB2312" w:hAnsi="仿宋_GB2312"/>
        </w:rPr>
        <w:t>/</w:t>
      </w:r>
      <w:r>
        <w:rPr>
          <w:rFonts w:ascii="仿宋_GB2312" w:hAnsi="仿宋_GB2312"/>
        </w:rPr>
        <w:t>公斤，同比下跌</w:t>
      </w:r>
      <w:r>
        <w:rPr>
          <w:rFonts w:ascii="仿宋_GB2312" w:hAnsi="仿宋_GB2312"/>
        </w:rPr>
        <w:t>12.5%</w:t>
      </w:r>
      <w:r>
        <w:rPr>
          <w:rFonts w:ascii="仿宋_GB2312" w:hAnsi="仿宋_GB2312"/>
        </w:rPr>
        <w:t>。供给端充足、价格端承压，意味着产业竞争正在从</w:t>
      </w:r>
      <w:r>
        <w:rPr>
          <w:rFonts w:ascii="仿宋_GB2312" w:hAnsi="仿宋_GB2312"/>
        </w:rPr>
        <w:t>“</w:t>
      </w:r>
      <w:r>
        <w:rPr>
          <w:rFonts w:ascii="仿宋_GB2312" w:hAnsi="仿宋_GB2312"/>
        </w:rPr>
        <w:t>有没有货</w:t>
      </w:r>
      <w:r>
        <w:rPr>
          <w:rFonts w:ascii="仿宋_GB2312" w:hAnsi="仿宋_GB2312"/>
        </w:rPr>
        <w:t>”</w:t>
      </w:r>
      <w:r>
        <w:rPr>
          <w:rFonts w:ascii="仿宋_GB2312" w:hAnsi="仿宋_GB2312"/>
        </w:rPr>
        <w:t>转向</w:t>
      </w:r>
      <w:r>
        <w:rPr>
          <w:rFonts w:ascii="仿宋_GB2312" w:hAnsi="仿宋_GB2312"/>
        </w:rPr>
        <w:t>“</w:t>
      </w:r>
      <w:r>
        <w:rPr>
          <w:rFonts w:ascii="仿宋_GB2312" w:hAnsi="仿宋_GB2312"/>
        </w:rPr>
        <w:t>能不能稳定证明品质更好、来源更真、分级更清晰</w:t>
      </w:r>
      <w:r>
        <w:rPr>
          <w:rFonts w:ascii="仿宋_GB2312" w:hAnsi="仿宋_GB2312"/>
        </w:rPr>
        <w:t>”</w:t>
      </w:r>
      <w:r>
        <w:rPr>
          <w:rFonts w:ascii="仿宋_GB2312" w:hAnsi="仿宋_GB2312"/>
        </w:rPr>
        <w:t>。</w:t>
      </w:r>
    </w:p>
    <w:p w14:paraId="66BC0FFC" w14:textId="77777777" w:rsidR="00D167C8" w:rsidRDefault="00B078DF">
      <w:pPr>
        <w:jc w:val="both"/>
      </w:pPr>
      <w:r>
        <w:rPr>
          <w:rFonts w:ascii="仿宋_GB2312" w:hAnsi="仿宋_GB2312"/>
        </w:rPr>
        <w:t>从区域基础看，海南特色水果产业仍处于稳步增长阶段。根据海南省统计局</w:t>
      </w:r>
      <w:r>
        <w:rPr>
          <w:rFonts w:ascii="仿宋_GB2312" w:hAnsi="仿宋_GB2312"/>
        </w:rPr>
        <w:t>2025</w:t>
      </w:r>
      <w:r>
        <w:rPr>
          <w:rFonts w:ascii="仿宋_GB2312" w:hAnsi="仿宋_GB2312"/>
        </w:rPr>
        <w:t>年</w:t>
      </w:r>
      <w:r>
        <w:rPr>
          <w:rFonts w:ascii="仿宋_GB2312" w:hAnsi="仿宋_GB2312"/>
        </w:rPr>
        <w:t>1</w:t>
      </w:r>
      <w:r>
        <w:rPr>
          <w:rFonts w:ascii="仿宋_GB2312" w:hAnsi="仿宋_GB2312"/>
        </w:rPr>
        <w:t>月发布的《海南省</w:t>
      </w:r>
      <w:r>
        <w:rPr>
          <w:rFonts w:ascii="仿宋_GB2312" w:hAnsi="仿宋_GB2312"/>
        </w:rPr>
        <w:t>2024</w:t>
      </w:r>
      <w:r>
        <w:rPr>
          <w:rFonts w:ascii="仿宋_GB2312" w:hAnsi="仿宋_GB2312"/>
        </w:rPr>
        <w:t>年国民经济和社会发展统计公报》，</w:t>
      </w:r>
      <w:r>
        <w:rPr>
          <w:rFonts w:ascii="仿宋_GB2312" w:hAnsi="仿宋_GB2312"/>
        </w:rPr>
        <w:t>2024</w:t>
      </w:r>
      <w:r>
        <w:rPr>
          <w:rFonts w:ascii="仿宋_GB2312" w:hAnsi="仿宋_GB2312"/>
        </w:rPr>
        <w:t>年海南水果总产量</w:t>
      </w:r>
      <w:r>
        <w:rPr>
          <w:rFonts w:ascii="仿宋_GB2312" w:hAnsi="仿宋_GB2312"/>
        </w:rPr>
        <w:t>617.66</w:t>
      </w:r>
      <w:r>
        <w:rPr>
          <w:rFonts w:ascii="仿宋_GB2312" w:hAnsi="仿宋_GB2312"/>
        </w:rPr>
        <w:t>万吨，同比增长</w:t>
      </w:r>
      <w:r>
        <w:rPr>
          <w:rFonts w:ascii="仿宋_GB2312" w:hAnsi="仿宋_GB2312"/>
        </w:rPr>
        <w:t>4.2%</w:t>
      </w:r>
      <w:r>
        <w:rPr>
          <w:rFonts w:ascii="仿宋_GB2312" w:hAnsi="仿宋_GB2312"/>
        </w:rPr>
        <w:t>；海南农业农村领域公开资料也显示，全省热带水果种植面积约</w:t>
      </w:r>
      <w:r>
        <w:rPr>
          <w:rFonts w:ascii="仿宋_GB2312" w:hAnsi="仿宋_GB2312"/>
        </w:rPr>
        <w:t>312</w:t>
      </w:r>
      <w:r>
        <w:rPr>
          <w:rFonts w:ascii="仿宋_GB2312" w:hAnsi="仿宋_GB2312"/>
        </w:rPr>
        <w:t>万亩、年产量约</w:t>
      </w:r>
      <w:r>
        <w:rPr>
          <w:rFonts w:ascii="仿宋_GB2312" w:hAnsi="仿宋_GB2312"/>
        </w:rPr>
        <w:t>412</w:t>
      </w:r>
      <w:r>
        <w:rPr>
          <w:rFonts w:ascii="仿宋_GB2312" w:hAnsi="仿宋_GB2312"/>
        </w:rPr>
        <w:t>万吨。对澄迈福橙、琼中绿橙这类具有地域辨识度、品牌属性和溢价空间的产品而言，品质分级、产地可信表达和检测数据留痕，已经不只是检测环节的技术问题，更是品牌经营和产业升级中的关键环节。</w:t>
      </w:r>
    </w:p>
    <w:p w14:paraId="57BE346D" w14:textId="77777777" w:rsidR="00D167C8" w:rsidRDefault="00B078DF">
      <w:pPr>
        <w:jc w:val="both"/>
      </w:pPr>
      <w:r>
        <w:rPr>
          <w:rFonts w:ascii="仿宋_GB2312" w:hAnsi="仿宋_GB2312"/>
        </w:rPr>
        <w:t>正是在这一背景下，橙源智鉴提出以高光谱成像为数据入口，以产地分类模型和品质回归模型为核心引擎，以可解释分析和图文化报告为输出形式，建设一套面向橙类及相关特色水果的智能检测与产地识别平台。项目并不试图简单替代传统理化检测，而是希望补上品牌果品在快速识别、批次留痕、产地判别和展示表达上的能力短板，让检测结果真正转化为生产管理、流通协同和品牌证明的一部分。</w:t>
      </w:r>
    </w:p>
    <w:p w14:paraId="36EE196F" w14:textId="77777777" w:rsidR="00D167C8" w:rsidRDefault="00B078DF">
      <w:pPr>
        <w:pStyle w:val="21"/>
        <w:ind w:firstLine="0"/>
      </w:pPr>
      <w:r>
        <w:rPr>
          <w:rFonts w:ascii="楷体_GB2312" w:eastAsia="楷体_GB2312" w:hAnsi="楷体_GB2312"/>
        </w:rPr>
        <w:lastRenderedPageBreak/>
        <w:t xml:space="preserve">1.2 </w:t>
      </w:r>
      <w:r>
        <w:rPr>
          <w:rFonts w:ascii="楷体_GB2312" w:eastAsia="楷体_GB2312" w:hAnsi="楷体_GB2312"/>
        </w:rPr>
        <w:t>政策支持</w:t>
      </w:r>
    </w:p>
    <w:p w14:paraId="67527703" w14:textId="77777777" w:rsidR="00D167C8" w:rsidRDefault="00B078DF">
      <w:pPr>
        <w:pStyle w:val="31"/>
        <w:ind w:firstLine="0"/>
      </w:pPr>
      <w:r>
        <w:rPr>
          <w:rFonts w:ascii="仿宋_GB2312" w:eastAsia="仿宋_GB2312" w:hAnsi="仿宋_GB2312"/>
        </w:rPr>
        <w:t xml:space="preserve">1.2.1 </w:t>
      </w:r>
      <w:r>
        <w:rPr>
          <w:rFonts w:ascii="仿宋_GB2312" w:eastAsia="仿宋_GB2312" w:hAnsi="仿宋_GB2312"/>
        </w:rPr>
        <w:t>国家智慧农业与追溯政策支撑</w:t>
      </w:r>
    </w:p>
    <w:p w14:paraId="61AC9710" w14:textId="77777777" w:rsidR="00D167C8" w:rsidRDefault="00B078DF">
      <w:pPr>
        <w:jc w:val="both"/>
      </w:pPr>
      <w:r>
        <w:rPr>
          <w:rFonts w:ascii="仿宋_GB2312" w:hAnsi="仿宋_GB2312"/>
        </w:rPr>
        <w:t>农业农村部于</w:t>
      </w:r>
      <w:r>
        <w:rPr>
          <w:rFonts w:ascii="仿宋_GB2312" w:hAnsi="仿宋_GB2312"/>
        </w:rPr>
        <w:t>2024</w:t>
      </w:r>
      <w:r>
        <w:rPr>
          <w:rFonts w:ascii="仿宋_GB2312" w:hAnsi="仿宋_GB2312"/>
        </w:rPr>
        <w:t>年</w:t>
      </w:r>
      <w:r>
        <w:rPr>
          <w:rFonts w:ascii="仿宋_GB2312" w:hAnsi="仿宋_GB2312"/>
        </w:rPr>
        <w:t>11</w:t>
      </w:r>
      <w:r>
        <w:rPr>
          <w:rFonts w:ascii="仿宋_GB2312" w:hAnsi="仿宋_GB2312"/>
        </w:rPr>
        <w:t>月印发《全国智慧农业行动计划（</w:t>
      </w:r>
      <w:r>
        <w:rPr>
          <w:rFonts w:ascii="仿宋_GB2312" w:hAnsi="仿宋_GB2312"/>
        </w:rPr>
        <w:t>2024—2028</w:t>
      </w:r>
      <w:r>
        <w:rPr>
          <w:rFonts w:ascii="仿宋_GB2312" w:hAnsi="仿宋_GB2312"/>
        </w:rPr>
        <w:t>年）》，明确提出到</w:t>
      </w:r>
      <w:r>
        <w:rPr>
          <w:rFonts w:ascii="仿宋_GB2312" w:hAnsi="仿宋_GB2312"/>
        </w:rPr>
        <w:t>2028</w:t>
      </w:r>
      <w:r>
        <w:rPr>
          <w:rFonts w:ascii="仿宋_GB2312" w:hAnsi="仿宋_GB2312"/>
        </w:rPr>
        <w:t>年底农业生产信息化率达到</w:t>
      </w:r>
      <w:r>
        <w:rPr>
          <w:rFonts w:ascii="仿宋_GB2312" w:hAnsi="仿宋_GB2312"/>
        </w:rPr>
        <w:t>32%</w:t>
      </w:r>
      <w:r>
        <w:rPr>
          <w:rFonts w:ascii="仿宋_GB2312" w:hAnsi="仿宋_GB2312"/>
        </w:rPr>
        <w:t>以上，重点推动农业全链条数字化、智能化升级。该政策的核心导向并不是单纯增加设备数量，而是推动农业数据采集、智能分析、生产决策和服务交付形成闭环，这与橙源智鉴</w:t>
      </w:r>
      <w:r>
        <w:rPr>
          <w:rFonts w:ascii="仿宋_GB2312" w:hAnsi="仿宋_GB2312"/>
        </w:rPr>
        <w:t>“</w:t>
      </w:r>
      <w:r>
        <w:rPr>
          <w:rFonts w:ascii="仿宋_GB2312" w:hAnsi="仿宋_GB2312"/>
        </w:rPr>
        <w:t>采集</w:t>
      </w:r>
      <w:r>
        <w:rPr>
          <w:rFonts w:ascii="仿宋_GB2312" w:hAnsi="仿宋_GB2312"/>
        </w:rPr>
        <w:t>—</w:t>
      </w:r>
      <w:r>
        <w:rPr>
          <w:rFonts w:ascii="仿宋_GB2312" w:hAnsi="仿宋_GB2312"/>
        </w:rPr>
        <w:t>分析</w:t>
      </w:r>
      <w:r>
        <w:rPr>
          <w:rFonts w:ascii="仿宋_GB2312" w:hAnsi="仿宋_GB2312"/>
        </w:rPr>
        <w:t>—</w:t>
      </w:r>
      <w:r>
        <w:rPr>
          <w:rFonts w:ascii="仿宋_GB2312" w:hAnsi="仿宋_GB2312"/>
        </w:rPr>
        <w:t>解释</w:t>
      </w:r>
      <w:r>
        <w:rPr>
          <w:rFonts w:ascii="仿宋_GB2312" w:hAnsi="仿宋_GB2312"/>
        </w:rPr>
        <w:t>—</w:t>
      </w:r>
      <w:r>
        <w:rPr>
          <w:rFonts w:ascii="仿宋_GB2312" w:hAnsi="仿宋_GB2312"/>
        </w:rPr>
        <w:t>应用</w:t>
      </w:r>
      <w:r>
        <w:rPr>
          <w:rFonts w:ascii="仿宋_GB2312" w:hAnsi="仿宋_GB2312"/>
        </w:rPr>
        <w:t>”</w:t>
      </w:r>
      <w:r>
        <w:rPr>
          <w:rFonts w:ascii="仿宋_GB2312" w:hAnsi="仿宋_GB2312"/>
        </w:rPr>
        <w:t>的建设逻辑高度一致。</w:t>
      </w:r>
    </w:p>
    <w:p w14:paraId="352C2D03" w14:textId="77777777" w:rsidR="00D167C8" w:rsidRDefault="00B078DF">
      <w:pPr>
        <w:jc w:val="both"/>
      </w:pPr>
      <w:r>
        <w:rPr>
          <w:rFonts w:ascii="仿宋_GB2312" w:hAnsi="仿宋_GB2312"/>
        </w:rPr>
        <w:t>与此同时，农业农村部《农产品质量安全信息化追溯管理办法（试行）》对追溯主体、信息采集、流向记录和真实性管理提出了明确要求。对品牌果品而言，后续竞争不会停留在一纸检测证明，而是会越来越依赖成体系的数据记录与过程留痕。橙源智鉴将检测结果、批次记录、历史样本和可视化报告整合到同一平台中，本质上就是在为后续追溯化、标准化和品牌化经营提供基础设施。</w:t>
      </w:r>
    </w:p>
    <w:p w14:paraId="7AC78AA7" w14:textId="77777777" w:rsidR="00D167C8" w:rsidRDefault="00B078DF">
      <w:pPr>
        <w:pStyle w:val="31"/>
        <w:ind w:firstLine="0"/>
      </w:pPr>
      <w:r>
        <w:rPr>
          <w:rFonts w:ascii="仿宋_GB2312" w:eastAsia="仿宋_GB2312" w:hAnsi="仿宋_GB2312"/>
        </w:rPr>
        <w:t xml:space="preserve">1.2.2 </w:t>
      </w:r>
      <w:r>
        <w:rPr>
          <w:rFonts w:ascii="仿宋_GB2312" w:eastAsia="仿宋_GB2312" w:hAnsi="仿宋_GB2312"/>
        </w:rPr>
        <w:t>海南区域产业与人工智能场景支撑</w:t>
      </w:r>
    </w:p>
    <w:p w14:paraId="541F1C35" w14:textId="77777777" w:rsidR="00D167C8" w:rsidRDefault="00B078DF">
      <w:pPr>
        <w:jc w:val="both"/>
      </w:pPr>
      <w:r>
        <w:rPr>
          <w:rFonts w:ascii="仿宋_GB2312" w:hAnsi="仿宋_GB2312"/>
        </w:rPr>
        <w:t>海南自由贸易港建设、热带特色高效农业发展以及</w:t>
      </w:r>
      <w:r>
        <w:rPr>
          <w:rFonts w:ascii="仿宋_GB2312" w:hAnsi="仿宋_GB2312"/>
        </w:rPr>
        <w:t>“</w:t>
      </w:r>
      <w:r>
        <w:rPr>
          <w:rFonts w:ascii="仿宋_GB2312" w:hAnsi="仿宋_GB2312"/>
        </w:rPr>
        <w:t>人工智能</w:t>
      </w:r>
      <w:r>
        <w:rPr>
          <w:rFonts w:ascii="仿宋_GB2312" w:hAnsi="仿宋_GB2312"/>
        </w:rPr>
        <w:t>+”</w:t>
      </w:r>
      <w:r>
        <w:rPr>
          <w:rFonts w:ascii="仿宋_GB2312" w:hAnsi="仿宋_GB2312"/>
        </w:rPr>
        <w:t>场景扩展，为项目提供了较明确的区域落点。一方面，海南特色水果产业规模持续扩大，区域品牌化需求越来越突出；另一方面，地方层面对智慧监管、数字农业和绿色低碳技术的重视，也为高光谱无损检测这类新技术提供了应用土壤。</w:t>
      </w:r>
    </w:p>
    <w:p w14:paraId="4889FAB0" w14:textId="77777777" w:rsidR="00D167C8" w:rsidRDefault="00B078DF">
      <w:pPr>
        <w:jc w:val="both"/>
      </w:pPr>
      <w:r>
        <w:rPr>
          <w:rFonts w:ascii="仿宋_GB2312" w:hAnsi="仿宋_GB2312"/>
        </w:rPr>
        <w:t>以澄迈福橙、琼中绿橙等为代表的区域品牌果品，本身就兼具品牌传播、品质分级和产地识别三类需求。项目若能先在这些具有代表性的海南场景中形成样板，将更有利于后续向其他果品和其他地区复制推广。</w:t>
      </w:r>
    </w:p>
    <w:p w14:paraId="70631F2E" w14:textId="77777777" w:rsidR="00D167C8" w:rsidRDefault="00B078DF">
      <w:pPr>
        <w:pStyle w:val="21"/>
        <w:ind w:firstLine="0"/>
      </w:pPr>
      <w:r>
        <w:rPr>
          <w:rFonts w:ascii="楷体_GB2312" w:eastAsia="楷体_GB2312" w:hAnsi="楷体_GB2312"/>
        </w:rPr>
        <w:t xml:space="preserve">1.3 </w:t>
      </w:r>
      <w:r>
        <w:rPr>
          <w:rFonts w:ascii="楷体_GB2312" w:eastAsia="楷体_GB2312" w:hAnsi="楷体_GB2312"/>
        </w:rPr>
        <w:t>技术支撑</w:t>
      </w:r>
    </w:p>
    <w:p w14:paraId="25B02179" w14:textId="77777777" w:rsidR="00D167C8" w:rsidRDefault="00B078DF">
      <w:pPr>
        <w:pStyle w:val="31"/>
        <w:ind w:firstLine="0"/>
      </w:pPr>
      <w:r>
        <w:rPr>
          <w:rFonts w:ascii="仿宋_GB2312" w:eastAsia="仿宋_GB2312" w:hAnsi="仿宋_GB2312"/>
        </w:rPr>
        <w:t xml:space="preserve">1.3.1 </w:t>
      </w:r>
      <w:r>
        <w:rPr>
          <w:rFonts w:ascii="仿宋_GB2312" w:eastAsia="仿宋_GB2312" w:hAnsi="仿宋_GB2312"/>
        </w:rPr>
        <w:t>高光谱成像提供无损检测基础</w:t>
      </w:r>
    </w:p>
    <w:p w14:paraId="7100D8E0" w14:textId="77777777" w:rsidR="00D167C8" w:rsidRDefault="00B078DF">
      <w:pPr>
        <w:jc w:val="both"/>
      </w:pPr>
      <w:r>
        <w:rPr>
          <w:rFonts w:ascii="仿宋_GB2312" w:hAnsi="仿宋_GB2312"/>
        </w:rPr>
        <w:t>高光谱成像的核心优势，在于能够同时获取样本的空间信息和连续光谱信息，为果品内部品质分析和差异识别提供比普通图像更丰富的特征依据。对于橙类产品来说，这种能力尤其适合承接糖度、酸度、成熟度、产地差异等多维任务，是构建无损检测系统的合理技术底座。</w:t>
      </w:r>
    </w:p>
    <w:p w14:paraId="488CF2E0" w14:textId="77777777" w:rsidR="00D167C8" w:rsidRDefault="00B078DF">
      <w:pPr>
        <w:pStyle w:val="31"/>
        <w:ind w:firstLine="0"/>
      </w:pPr>
      <w:r>
        <w:rPr>
          <w:rFonts w:ascii="仿宋_GB2312" w:eastAsia="仿宋_GB2312" w:hAnsi="仿宋_GB2312"/>
        </w:rPr>
        <w:lastRenderedPageBreak/>
        <w:t xml:space="preserve">1.3.2 </w:t>
      </w:r>
      <w:r>
        <w:rPr>
          <w:rFonts w:ascii="仿宋_GB2312" w:eastAsia="仿宋_GB2312" w:hAnsi="仿宋_GB2312"/>
        </w:rPr>
        <w:t>智能模型支撑分类与预测双任务</w:t>
      </w:r>
    </w:p>
    <w:p w14:paraId="624E4B9F" w14:textId="77777777" w:rsidR="00D167C8" w:rsidRDefault="00B078DF">
      <w:pPr>
        <w:jc w:val="both"/>
      </w:pPr>
      <w:r>
        <w:rPr>
          <w:rFonts w:ascii="仿宋_GB2312" w:hAnsi="仿宋_GB2312"/>
        </w:rPr>
        <w:t>在算法层面，项目并非只关注单一分类结论，而是同时考虑产地识别与品质预测两类任务。一方面，通过分类模型识别不同区域样本的特征差异；另一方面，通过回归模型对糖度、酸度、糖酸比、维生素</w:t>
      </w:r>
      <w:r>
        <w:rPr>
          <w:rFonts w:ascii="仿宋_GB2312" w:hAnsi="仿宋_GB2312"/>
        </w:rPr>
        <w:t>C</w:t>
      </w:r>
      <w:r>
        <w:rPr>
          <w:rFonts w:ascii="仿宋_GB2312" w:hAnsi="仿宋_GB2312"/>
        </w:rPr>
        <w:t>等指标进行预测，再结合异常识别和可解释分析增强结果可信度。这种</w:t>
      </w:r>
      <w:r>
        <w:rPr>
          <w:rFonts w:ascii="仿宋_GB2312" w:hAnsi="仿宋_GB2312"/>
        </w:rPr>
        <w:t>“</w:t>
      </w:r>
      <w:r>
        <w:rPr>
          <w:rFonts w:ascii="仿宋_GB2312" w:hAnsi="仿宋_GB2312"/>
        </w:rPr>
        <w:t>双任务并行</w:t>
      </w:r>
      <w:r>
        <w:rPr>
          <w:rFonts w:ascii="仿宋_GB2312" w:hAnsi="仿宋_GB2312"/>
        </w:rPr>
        <w:t>”</w:t>
      </w:r>
      <w:r>
        <w:rPr>
          <w:rFonts w:ascii="仿宋_GB2312" w:hAnsi="仿宋_GB2312"/>
        </w:rPr>
        <w:t>的策略更符合真实业务场景。</w:t>
      </w:r>
    </w:p>
    <w:p w14:paraId="70B80134" w14:textId="77777777" w:rsidR="00D167C8" w:rsidRDefault="00B078DF">
      <w:pPr>
        <w:pStyle w:val="31"/>
        <w:ind w:firstLine="0"/>
      </w:pPr>
      <w:r>
        <w:rPr>
          <w:rFonts w:ascii="仿宋_GB2312" w:eastAsia="仿宋_GB2312" w:hAnsi="仿宋_GB2312"/>
        </w:rPr>
        <w:t xml:space="preserve">1.3.3 </w:t>
      </w:r>
      <w:r>
        <w:rPr>
          <w:rFonts w:ascii="仿宋_GB2312" w:eastAsia="仿宋_GB2312" w:hAnsi="仿宋_GB2312"/>
        </w:rPr>
        <w:t>平台原型为技术落地提供载体</w:t>
      </w:r>
    </w:p>
    <w:p w14:paraId="5E131E0D" w14:textId="77777777" w:rsidR="00D167C8" w:rsidRDefault="00B078DF">
      <w:pPr>
        <w:jc w:val="both"/>
      </w:pPr>
      <w:r>
        <w:rPr>
          <w:rFonts w:ascii="仿宋_GB2312" w:hAnsi="仿宋_GB2312"/>
        </w:rPr>
        <w:t>当前项目已完成首页、可视化大屏、样本分析、模型解释、历史记录和技术原理等页面原型。也就是说，项目不仅有技术方向，也有比较具体的承载界面。后续模型能力、数据能力和报告能力可以直接在现有原型上持续叠加，这比从实验室结论重新做产品包装更有落地效率。</w:t>
      </w:r>
    </w:p>
    <w:p w14:paraId="1E74C3CC" w14:textId="77777777" w:rsidR="00D167C8" w:rsidRDefault="00B078DF">
      <w:pPr>
        <w:pStyle w:val="21"/>
        <w:ind w:firstLine="0"/>
      </w:pPr>
      <w:r>
        <w:rPr>
          <w:rFonts w:ascii="楷体_GB2312" w:eastAsia="楷体_GB2312" w:hAnsi="楷体_GB2312"/>
        </w:rPr>
        <w:t xml:space="preserve">1.4 </w:t>
      </w:r>
      <w:r>
        <w:rPr>
          <w:rFonts w:ascii="楷体_GB2312" w:eastAsia="楷体_GB2312" w:hAnsi="楷体_GB2312"/>
        </w:rPr>
        <w:t>项目基础与阶段目标</w:t>
      </w:r>
    </w:p>
    <w:p w14:paraId="0088323E" w14:textId="77777777" w:rsidR="00D167C8" w:rsidRDefault="00B078DF">
      <w:pPr>
        <w:jc w:val="both"/>
      </w:pPr>
      <w:r>
        <w:rPr>
          <w:rFonts w:ascii="仿宋_GB2312" w:hAnsi="仿宋_GB2312"/>
        </w:rPr>
        <w:t>结合当前目录下的项目基础来看，橙源智鉴并不是从零搭概念，而是已经具备</w:t>
      </w:r>
      <w:r>
        <w:rPr>
          <w:rFonts w:ascii="仿宋_GB2312" w:hAnsi="仿宋_GB2312"/>
        </w:rPr>
        <w:t>“</w:t>
      </w:r>
      <w:r>
        <w:rPr>
          <w:rFonts w:ascii="仿宋_GB2312" w:hAnsi="仿宋_GB2312"/>
        </w:rPr>
        <w:t>页面结构</w:t>
      </w:r>
      <w:r>
        <w:rPr>
          <w:rFonts w:ascii="仿宋_GB2312" w:hAnsi="仿宋_GB2312"/>
        </w:rPr>
        <w:t xml:space="preserve"> + </w:t>
      </w:r>
      <w:r>
        <w:rPr>
          <w:rFonts w:ascii="仿宋_GB2312" w:hAnsi="仿宋_GB2312"/>
        </w:rPr>
        <w:t>样本字段</w:t>
      </w:r>
      <w:r>
        <w:rPr>
          <w:rFonts w:ascii="仿宋_GB2312" w:hAnsi="仿宋_GB2312"/>
        </w:rPr>
        <w:t xml:space="preserve"> + </w:t>
      </w:r>
      <w:r>
        <w:rPr>
          <w:rFonts w:ascii="仿宋_GB2312" w:hAnsi="仿宋_GB2312"/>
        </w:rPr>
        <w:t>分析流程</w:t>
      </w:r>
      <w:r>
        <w:rPr>
          <w:rFonts w:ascii="仿宋_GB2312" w:hAnsi="仿宋_GB2312"/>
        </w:rPr>
        <w:t>”</w:t>
      </w:r>
      <w:r>
        <w:rPr>
          <w:rFonts w:ascii="仿宋_GB2312" w:hAnsi="仿宋_GB2312"/>
        </w:rPr>
        <w:t>的雏形。现有项目采用</w:t>
      </w:r>
      <w:r>
        <w:rPr>
          <w:rFonts w:ascii="仿宋_GB2312" w:hAnsi="仿宋_GB2312"/>
        </w:rPr>
        <w:t xml:space="preserve"> Next 16.2.2</w:t>
      </w:r>
      <w:r>
        <w:rPr>
          <w:rFonts w:ascii="仿宋_GB2312" w:hAnsi="仿宋_GB2312"/>
        </w:rPr>
        <w:t>、</w:t>
      </w:r>
      <w:r>
        <w:rPr>
          <w:rFonts w:ascii="仿宋_GB2312" w:hAnsi="仿宋_GB2312"/>
        </w:rPr>
        <w:t>React 19.2.4</w:t>
      </w:r>
      <w:r>
        <w:rPr>
          <w:rFonts w:ascii="仿宋_GB2312" w:hAnsi="仿宋_GB2312"/>
        </w:rPr>
        <w:t>、</w:t>
      </w:r>
      <w:r>
        <w:rPr>
          <w:rFonts w:ascii="仿宋_GB2312" w:hAnsi="仿宋_GB2312"/>
        </w:rPr>
        <w:t xml:space="preserve">ECharts 6 </w:t>
      </w:r>
      <w:r>
        <w:rPr>
          <w:rFonts w:ascii="仿宋_GB2312" w:hAnsi="仿宋_GB2312"/>
        </w:rPr>
        <w:t>和</w:t>
      </w:r>
      <w:r>
        <w:rPr>
          <w:rFonts w:ascii="仿宋_GB2312" w:hAnsi="仿宋_GB2312"/>
        </w:rPr>
        <w:t xml:space="preserve"> Framer Motion </w:t>
      </w:r>
      <w:r>
        <w:rPr>
          <w:rFonts w:ascii="仿宋_GB2312" w:hAnsi="仿宋_GB2312"/>
        </w:rPr>
        <w:t>构建，已经形成较为完整的展示与分析界面；在数据侧，也已沉淀糖度（</w:t>
      </w:r>
      <w:r>
        <w:rPr>
          <w:rFonts w:ascii="仿宋_GB2312" w:hAnsi="仿宋_GB2312"/>
        </w:rPr>
        <w:t>SSC</w:t>
      </w:r>
      <w:r>
        <w:rPr>
          <w:rFonts w:ascii="仿宋_GB2312" w:hAnsi="仿宋_GB2312"/>
        </w:rPr>
        <w:t>）、酸度（</w:t>
      </w:r>
      <w:r>
        <w:rPr>
          <w:rFonts w:ascii="仿宋_GB2312" w:hAnsi="仿宋_GB2312"/>
        </w:rPr>
        <w:t>TA</w:t>
      </w:r>
      <w:r>
        <w:rPr>
          <w:rFonts w:ascii="仿宋_GB2312" w:hAnsi="仿宋_GB2312"/>
        </w:rPr>
        <w:t>）、糖酸比、维生素</w:t>
      </w:r>
      <w:r>
        <w:rPr>
          <w:rFonts w:ascii="仿宋_GB2312" w:hAnsi="仿宋_GB2312"/>
        </w:rPr>
        <w:t>C</w:t>
      </w:r>
      <w:r>
        <w:rPr>
          <w:rFonts w:ascii="仿宋_GB2312" w:hAnsi="仿宋_GB2312"/>
        </w:rPr>
        <w:t>等品质指标样例，并建立了不同产地样本的高光谱曲线展示逻辑。这意味着项目下一步的重点不是重新设计概念，而是把样本规模、标签质量和跨批次稳定性逐步补强。</w:t>
      </w:r>
    </w:p>
    <w:p w14:paraId="03FC32CB" w14:textId="77777777" w:rsidR="00D167C8" w:rsidRDefault="00B078DF">
      <w:pPr>
        <w:pStyle w:val="a0"/>
        <w:ind w:firstLine="0"/>
        <w:jc w:val="both"/>
      </w:pPr>
      <w:r>
        <w:rPr>
          <w:rFonts w:ascii="仿宋_GB2312" w:hAnsi="仿宋_GB2312"/>
        </w:rPr>
        <w:t>阶段目标一：围绕橙类产品完善样本采集、理化标签和光谱数据的规范化体系。</w:t>
      </w:r>
    </w:p>
    <w:p w14:paraId="7D35470C" w14:textId="77777777" w:rsidR="00D167C8" w:rsidRDefault="00B078DF">
      <w:pPr>
        <w:pStyle w:val="a0"/>
        <w:ind w:firstLine="0"/>
        <w:jc w:val="both"/>
      </w:pPr>
      <w:r>
        <w:rPr>
          <w:rFonts w:ascii="仿宋_GB2312" w:hAnsi="仿宋_GB2312"/>
        </w:rPr>
        <w:t>阶段目标二：形成产地识别、品质预测和异常预警三类核心分析能力。</w:t>
      </w:r>
    </w:p>
    <w:p w14:paraId="7FF3909F" w14:textId="77777777" w:rsidR="00D167C8" w:rsidRDefault="00B078DF">
      <w:pPr>
        <w:pStyle w:val="a0"/>
        <w:ind w:firstLine="0"/>
        <w:jc w:val="both"/>
      </w:pPr>
      <w:r>
        <w:rPr>
          <w:rFonts w:ascii="仿宋_GB2312" w:hAnsi="仿宋_GB2312"/>
        </w:rPr>
        <w:t>阶段目标三：把当前原型迭代为可用于展示、试点和合作洽谈的图文化平台版本。</w:t>
      </w:r>
    </w:p>
    <w:p w14:paraId="3E002F0E" w14:textId="77777777" w:rsidR="00D167C8" w:rsidRDefault="00B078DF">
      <w:pPr>
        <w:pStyle w:val="a0"/>
        <w:ind w:firstLine="0"/>
        <w:jc w:val="both"/>
      </w:pPr>
      <w:r>
        <w:rPr>
          <w:rFonts w:ascii="仿宋_GB2312" w:hAnsi="仿宋_GB2312"/>
        </w:rPr>
        <w:t>阶段目标四：优先围绕澄迈福橙、琼中绿橙等具备品牌基础的场景验证项目价值。</w:t>
      </w:r>
    </w:p>
    <w:p w14:paraId="2819F957" w14:textId="77777777" w:rsidR="00D167C8" w:rsidRDefault="00D167C8">
      <w:pPr>
        <w:sectPr w:rsidR="00D167C8">
          <w:pgSz w:w="11906" w:h="16838"/>
          <w:pgMar w:top="1417" w:right="1417" w:bottom="1417" w:left="1417" w:header="850" w:footer="992" w:gutter="0"/>
          <w:cols w:space="720"/>
          <w:docGrid w:linePitch="360"/>
        </w:sectPr>
      </w:pPr>
    </w:p>
    <w:p w14:paraId="077F3C80" w14:textId="77777777" w:rsidR="00D167C8" w:rsidRDefault="00B078DF">
      <w:pPr>
        <w:pStyle w:val="1"/>
        <w:ind w:firstLine="0"/>
      </w:pPr>
      <w:r>
        <w:rPr>
          <w:rFonts w:ascii="黑体" w:eastAsia="黑体" w:hAnsi="黑体"/>
        </w:rPr>
        <w:lastRenderedPageBreak/>
        <w:t>第二章</w:t>
      </w:r>
      <w:r>
        <w:rPr>
          <w:rFonts w:ascii="黑体" w:eastAsia="黑体" w:hAnsi="黑体"/>
        </w:rPr>
        <w:t xml:space="preserve"> </w:t>
      </w:r>
      <w:r>
        <w:rPr>
          <w:rFonts w:ascii="黑体" w:eastAsia="黑体" w:hAnsi="黑体"/>
        </w:rPr>
        <w:t>产品效益</w:t>
      </w:r>
    </w:p>
    <w:p w14:paraId="3740AF53" w14:textId="77777777" w:rsidR="00D167C8" w:rsidRDefault="00B078DF">
      <w:pPr>
        <w:pStyle w:val="21"/>
        <w:ind w:firstLine="0"/>
      </w:pPr>
      <w:r>
        <w:rPr>
          <w:rFonts w:ascii="楷体_GB2312" w:eastAsia="楷体_GB2312" w:hAnsi="楷体_GB2312"/>
        </w:rPr>
        <w:t xml:space="preserve">2.1 </w:t>
      </w:r>
      <w:r>
        <w:rPr>
          <w:rFonts w:ascii="楷体_GB2312" w:eastAsia="楷体_GB2312" w:hAnsi="楷体_GB2312"/>
        </w:rPr>
        <w:t>社会效益</w:t>
      </w:r>
    </w:p>
    <w:p w14:paraId="4792DF2A" w14:textId="77777777" w:rsidR="00D167C8" w:rsidRDefault="00B078DF">
      <w:pPr>
        <w:pStyle w:val="31"/>
        <w:ind w:firstLine="0"/>
      </w:pPr>
      <w:r>
        <w:rPr>
          <w:rFonts w:ascii="仿宋_GB2312" w:eastAsia="仿宋_GB2312" w:hAnsi="仿宋_GB2312"/>
        </w:rPr>
        <w:t xml:space="preserve">2.1.1 </w:t>
      </w:r>
      <w:r>
        <w:rPr>
          <w:rFonts w:ascii="仿宋_GB2312" w:eastAsia="仿宋_GB2312" w:hAnsi="仿宋_GB2312"/>
        </w:rPr>
        <w:t>质量治理效益</w:t>
      </w:r>
    </w:p>
    <w:p w14:paraId="68882A31" w14:textId="77777777" w:rsidR="00D167C8" w:rsidRDefault="00B078DF">
      <w:pPr>
        <w:jc w:val="both"/>
      </w:pPr>
      <w:r>
        <w:rPr>
          <w:rFonts w:ascii="仿宋_GB2312" w:hAnsi="仿宋_GB2312"/>
        </w:rPr>
        <w:t>橙源智鉴的首要价值，在于把原本较为分散、较难固化的果品品质判断过程，逐步转化为可记录、可解释、可复核的数据化过程。对于区域品牌果品而言，这不仅有助于提高品质分级的一致性，也有助于减少流通争议、弱化纯经验判断带来的不确定性，使果品质量管理从</w:t>
      </w:r>
      <w:r>
        <w:rPr>
          <w:rFonts w:ascii="仿宋_GB2312" w:hAnsi="仿宋_GB2312"/>
        </w:rPr>
        <w:t>“</w:t>
      </w:r>
      <w:r>
        <w:rPr>
          <w:rFonts w:ascii="仿宋_GB2312" w:hAnsi="仿宋_GB2312"/>
        </w:rPr>
        <w:t>靠人把关</w:t>
      </w:r>
      <w:r>
        <w:rPr>
          <w:rFonts w:ascii="仿宋_GB2312" w:hAnsi="仿宋_GB2312"/>
        </w:rPr>
        <w:t>”</w:t>
      </w:r>
      <w:r>
        <w:rPr>
          <w:rFonts w:ascii="仿宋_GB2312" w:hAnsi="仿宋_GB2312"/>
        </w:rPr>
        <w:t>逐步走向</w:t>
      </w:r>
      <w:r>
        <w:rPr>
          <w:rFonts w:ascii="仿宋_GB2312" w:hAnsi="仿宋_GB2312"/>
        </w:rPr>
        <w:t>“</w:t>
      </w:r>
      <w:r>
        <w:rPr>
          <w:rFonts w:ascii="仿宋_GB2312" w:hAnsi="仿宋_GB2312"/>
        </w:rPr>
        <w:t>数据辅助把关</w:t>
      </w:r>
      <w:r>
        <w:rPr>
          <w:rFonts w:ascii="仿宋_GB2312" w:hAnsi="仿宋_GB2312"/>
        </w:rPr>
        <w:t>”</w:t>
      </w:r>
      <w:r>
        <w:rPr>
          <w:rFonts w:ascii="仿宋_GB2312" w:hAnsi="仿宋_GB2312"/>
        </w:rPr>
        <w:t>。</w:t>
      </w:r>
    </w:p>
    <w:p w14:paraId="4AC79522" w14:textId="77777777" w:rsidR="00D167C8" w:rsidRDefault="00B078DF">
      <w:pPr>
        <w:pStyle w:val="31"/>
        <w:ind w:firstLine="0"/>
      </w:pPr>
      <w:r>
        <w:rPr>
          <w:rFonts w:ascii="仿宋_GB2312" w:eastAsia="仿宋_GB2312" w:hAnsi="仿宋_GB2312"/>
        </w:rPr>
        <w:t xml:space="preserve">2.1.2 </w:t>
      </w:r>
      <w:r>
        <w:rPr>
          <w:rFonts w:ascii="仿宋_GB2312" w:eastAsia="仿宋_GB2312" w:hAnsi="仿宋_GB2312"/>
        </w:rPr>
        <w:t>品牌信任效益</w:t>
      </w:r>
    </w:p>
    <w:p w14:paraId="65B11270" w14:textId="77777777" w:rsidR="00D167C8" w:rsidRDefault="00B078DF">
      <w:pPr>
        <w:jc w:val="both"/>
      </w:pPr>
      <w:r>
        <w:rPr>
          <w:rFonts w:ascii="仿宋_GB2312" w:hAnsi="仿宋_GB2312"/>
        </w:rPr>
        <w:t>在治理层面，项目与农产品追溯、智慧农业和品牌化管理的政策导向具有较高一致性。平台一旦形成稳定的样本记录、检测结果和历史查询能力，便能够为区域品牌建设、批次管理、质量抽检优化和风险问题回溯提供基础数据支撑。对消费者和渠道方来说，更直观的品质表达与来源表达，也有助于提升品牌果品的信任度。</w:t>
      </w:r>
    </w:p>
    <w:p w14:paraId="551D51C4" w14:textId="77777777" w:rsidR="00D167C8" w:rsidRDefault="00B078DF">
      <w:pPr>
        <w:pStyle w:val="31"/>
        <w:ind w:firstLine="0"/>
      </w:pPr>
      <w:r>
        <w:rPr>
          <w:rFonts w:ascii="仿宋_GB2312" w:eastAsia="仿宋_GB2312" w:hAnsi="仿宋_GB2312"/>
        </w:rPr>
        <w:t xml:space="preserve">2.1.3 </w:t>
      </w:r>
      <w:r>
        <w:rPr>
          <w:rFonts w:ascii="仿宋_GB2312" w:eastAsia="仿宋_GB2312" w:hAnsi="仿宋_GB2312"/>
        </w:rPr>
        <w:t>数据沉淀效益</w:t>
      </w:r>
    </w:p>
    <w:p w14:paraId="60D6A870" w14:textId="77777777" w:rsidR="00D167C8" w:rsidRDefault="00B078DF">
      <w:pPr>
        <w:jc w:val="both"/>
      </w:pPr>
      <w:r>
        <w:rPr>
          <w:rFonts w:ascii="仿宋_GB2312" w:hAnsi="仿宋_GB2312"/>
        </w:rPr>
        <w:t>高光谱与智能分析技术的引入，还能推动果品检测从单次结果输出走向持续数据积累。相比只出具一份静态报告，这种可长期沉淀、可持续迭代的能力更有助于区域产业形成自己的数据资产和标准化基础，也更有利于后续品牌管理、基地管理和质量标准建设。</w:t>
      </w:r>
    </w:p>
    <w:p w14:paraId="2608C188" w14:textId="77777777" w:rsidR="00D167C8" w:rsidRDefault="00B078DF">
      <w:pPr>
        <w:pStyle w:val="21"/>
        <w:ind w:firstLine="0"/>
      </w:pPr>
      <w:r>
        <w:rPr>
          <w:rFonts w:ascii="楷体_GB2312" w:eastAsia="楷体_GB2312" w:hAnsi="楷体_GB2312"/>
        </w:rPr>
        <w:t xml:space="preserve">2.2 </w:t>
      </w:r>
      <w:r>
        <w:rPr>
          <w:rFonts w:ascii="楷体_GB2312" w:eastAsia="楷体_GB2312" w:hAnsi="楷体_GB2312"/>
        </w:rPr>
        <w:t>经济效益</w:t>
      </w:r>
    </w:p>
    <w:p w14:paraId="38F54703" w14:textId="77777777" w:rsidR="00D167C8" w:rsidRDefault="00B078DF">
      <w:pPr>
        <w:pStyle w:val="31"/>
        <w:ind w:firstLine="0"/>
      </w:pPr>
      <w:r>
        <w:rPr>
          <w:rFonts w:ascii="仿宋_GB2312" w:eastAsia="仿宋_GB2312" w:hAnsi="仿宋_GB2312"/>
        </w:rPr>
        <w:t xml:space="preserve">2.2.1 </w:t>
      </w:r>
      <w:r>
        <w:rPr>
          <w:rFonts w:ascii="仿宋_GB2312" w:eastAsia="仿宋_GB2312" w:hAnsi="仿宋_GB2312"/>
        </w:rPr>
        <w:t>降本增效效益</w:t>
      </w:r>
    </w:p>
    <w:p w14:paraId="34B2184E" w14:textId="77777777" w:rsidR="00D167C8" w:rsidRDefault="00B078DF">
      <w:pPr>
        <w:jc w:val="both"/>
      </w:pPr>
      <w:r>
        <w:rPr>
          <w:rFonts w:ascii="仿宋_GB2312" w:hAnsi="仿宋_GB2312"/>
        </w:rPr>
        <w:t>从经营端看，橙源智鉴能够在分选、定级、对外沟通和品牌销售几个关键环节创造直接价值。对于果园、合作社和分选主体而言，若平台能够稳定输出产地识别和品质预测结果，就有望减少重复抽检、错分级和错定价带来的损失，提升优质果筛选效率，从而改善整体经营收益。</w:t>
      </w:r>
    </w:p>
    <w:p w14:paraId="2F5B367D" w14:textId="77777777" w:rsidR="00D167C8" w:rsidRDefault="00B078DF">
      <w:pPr>
        <w:pStyle w:val="31"/>
        <w:ind w:firstLine="0"/>
      </w:pPr>
      <w:r>
        <w:rPr>
          <w:rFonts w:ascii="仿宋_GB2312" w:eastAsia="仿宋_GB2312" w:hAnsi="仿宋_GB2312"/>
        </w:rPr>
        <w:t xml:space="preserve">2.2.2 </w:t>
      </w:r>
      <w:r>
        <w:rPr>
          <w:rFonts w:ascii="仿宋_GB2312" w:eastAsia="仿宋_GB2312" w:hAnsi="仿宋_GB2312"/>
        </w:rPr>
        <w:t>溢价与议价效益</w:t>
      </w:r>
    </w:p>
    <w:p w14:paraId="59461E31" w14:textId="77777777" w:rsidR="00D167C8" w:rsidRDefault="00B078DF">
      <w:pPr>
        <w:jc w:val="both"/>
      </w:pPr>
      <w:r>
        <w:rPr>
          <w:rFonts w:ascii="仿宋_GB2312" w:hAnsi="仿宋_GB2312"/>
        </w:rPr>
        <w:t>对于品牌运营主体而言，项目的经济意义并不仅仅体现在</w:t>
      </w:r>
      <w:r>
        <w:rPr>
          <w:rFonts w:ascii="仿宋_GB2312" w:hAnsi="仿宋_GB2312"/>
        </w:rPr>
        <w:t>“</w:t>
      </w:r>
      <w:r>
        <w:rPr>
          <w:rFonts w:ascii="仿宋_GB2312" w:hAnsi="仿宋_GB2312"/>
        </w:rPr>
        <w:t>节省检测成本</w:t>
      </w:r>
      <w:r>
        <w:rPr>
          <w:rFonts w:ascii="仿宋_GB2312" w:hAnsi="仿宋_GB2312"/>
        </w:rPr>
        <w:t>”</w:t>
      </w:r>
      <w:r>
        <w:rPr>
          <w:rFonts w:ascii="仿宋_GB2312" w:hAnsi="仿宋_GB2312"/>
        </w:rPr>
        <w:t>，更体现在</w:t>
      </w:r>
      <w:r>
        <w:rPr>
          <w:rFonts w:ascii="仿宋_GB2312" w:hAnsi="仿宋_GB2312"/>
        </w:rPr>
        <w:t>“</w:t>
      </w:r>
      <w:r>
        <w:rPr>
          <w:rFonts w:ascii="仿宋_GB2312" w:hAnsi="仿宋_GB2312"/>
        </w:rPr>
        <w:t>增强议价能力</w:t>
      </w:r>
      <w:r>
        <w:rPr>
          <w:rFonts w:ascii="仿宋_GB2312" w:hAnsi="仿宋_GB2312"/>
        </w:rPr>
        <w:t>”</w:t>
      </w:r>
      <w:r>
        <w:rPr>
          <w:rFonts w:ascii="仿宋_GB2312" w:hAnsi="仿宋_GB2312"/>
        </w:rPr>
        <w:t>。当品质结果、来源信息和批次记录能够被更系统地表达出来时，品牌果、电商果、礼盒果和渠道定制果更容易形成差异化价值。特别是在市场</w:t>
      </w:r>
      <w:r>
        <w:rPr>
          <w:rFonts w:ascii="仿宋_GB2312" w:hAnsi="仿宋_GB2312"/>
        </w:rPr>
        <w:lastRenderedPageBreak/>
        <w:t>价格承压的背景下，谁能更清晰地证明品质稳定、来源可靠，谁就更有机会获得更高溢价和更稳合作。</w:t>
      </w:r>
    </w:p>
    <w:p w14:paraId="72013442" w14:textId="77777777" w:rsidR="00D167C8" w:rsidRDefault="00B078DF">
      <w:pPr>
        <w:pStyle w:val="31"/>
        <w:ind w:firstLine="0"/>
      </w:pPr>
      <w:r>
        <w:rPr>
          <w:rFonts w:ascii="仿宋_GB2312" w:eastAsia="仿宋_GB2312" w:hAnsi="仿宋_GB2312"/>
        </w:rPr>
        <w:t xml:space="preserve">2.2.3 </w:t>
      </w:r>
      <w:r>
        <w:rPr>
          <w:rFonts w:ascii="仿宋_GB2312" w:eastAsia="仿宋_GB2312" w:hAnsi="仿宋_GB2312"/>
        </w:rPr>
        <w:t>项目商业延伸效益</w:t>
      </w:r>
    </w:p>
    <w:p w14:paraId="333ECED9" w14:textId="77777777" w:rsidR="00D167C8" w:rsidRDefault="00B078DF">
      <w:pPr>
        <w:jc w:val="both"/>
      </w:pPr>
      <w:r>
        <w:rPr>
          <w:rFonts w:ascii="仿宋_GB2312" w:hAnsi="仿宋_GB2312"/>
        </w:rPr>
        <w:t>从项目自身的商业化角度看，平台后续也具备延伸出检测服务、试点合作、平台订阅和联合项目开发等多元收入路径的可能。也就是说，经济效益既体现在客户侧的降本增效，也体现在项目侧的可持续运营空间。随着样本积累、模型优化和试点案例完善，项目的服务价值和合作价值还有进一步放大的可能。</w:t>
      </w:r>
    </w:p>
    <w:p w14:paraId="0B9232E0" w14:textId="77777777" w:rsidR="00D167C8" w:rsidRDefault="00B078DF">
      <w:pPr>
        <w:pStyle w:val="21"/>
        <w:ind w:firstLine="0"/>
      </w:pPr>
      <w:r>
        <w:rPr>
          <w:rFonts w:ascii="楷体_GB2312" w:eastAsia="楷体_GB2312" w:hAnsi="楷体_GB2312"/>
        </w:rPr>
        <w:t xml:space="preserve">2.3 </w:t>
      </w:r>
      <w:r>
        <w:rPr>
          <w:rFonts w:ascii="楷体_GB2312" w:eastAsia="楷体_GB2312" w:hAnsi="楷体_GB2312"/>
        </w:rPr>
        <w:t>教育引领</w:t>
      </w:r>
    </w:p>
    <w:p w14:paraId="02B67F44" w14:textId="77777777" w:rsidR="00D167C8" w:rsidRDefault="00B078DF">
      <w:pPr>
        <w:pStyle w:val="31"/>
        <w:ind w:firstLine="0"/>
      </w:pPr>
      <w:r>
        <w:rPr>
          <w:rFonts w:ascii="仿宋_GB2312" w:eastAsia="仿宋_GB2312" w:hAnsi="仿宋_GB2312"/>
        </w:rPr>
        <w:t xml:space="preserve">2.3.1 </w:t>
      </w:r>
      <w:r>
        <w:rPr>
          <w:rFonts w:ascii="仿宋_GB2312" w:eastAsia="仿宋_GB2312" w:hAnsi="仿宋_GB2312"/>
        </w:rPr>
        <w:t>人才培养效益</w:t>
      </w:r>
    </w:p>
    <w:p w14:paraId="2E3CF68C" w14:textId="77777777" w:rsidR="00D167C8" w:rsidRDefault="00B078DF">
      <w:pPr>
        <w:jc w:val="both"/>
      </w:pPr>
      <w:r>
        <w:rPr>
          <w:rFonts w:ascii="仿宋_GB2312" w:hAnsi="仿宋_GB2312"/>
        </w:rPr>
        <w:t>橙源智鉴具有较强的产学研融合属性。项目将高光谱成像、人工智能算法、农业场景分析、产品设计与商业表达结合在一起，本身就是一个典型的跨学科训练载体。对于高校团队来说，它不仅可以服务于竞赛、路演和项目孵化，也可以反向促进学生在数据处理、模型构建、场景理解和成果转化方面形成更完整的能力结构。</w:t>
      </w:r>
    </w:p>
    <w:p w14:paraId="73CB1E18" w14:textId="77777777" w:rsidR="00D167C8" w:rsidRDefault="00B078DF">
      <w:pPr>
        <w:pStyle w:val="31"/>
        <w:ind w:firstLine="0"/>
      </w:pPr>
      <w:r>
        <w:rPr>
          <w:rFonts w:ascii="仿宋_GB2312" w:eastAsia="仿宋_GB2312" w:hAnsi="仿宋_GB2312"/>
        </w:rPr>
        <w:t xml:space="preserve">2.3.2 </w:t>
      </w:r>
      <w:r>
        <w:rPr>
          <w:rFonts w:ascii="仿宋_GB2312" w:eastAsia="仿宋_GB2312" w:hAnsi="仿宋_GB2312"/>
        </w:rPr>
        <w:t>区域示范效益</w:t>
      </w:r>
    </w:p>
    <w:p w14:paraId="524E6944" w14:textId="77777777" w:rsidR="00D167C8" w:rsidRDefault="00B078DF">
      <w:pPr>
        <w:jc w:val="both"/>
      </w:pPr>
      <w:r>
        <w:rPr>
          <w:rFonts w:ascii="仿宋_GB2312" w:hAnsi="仿宋_GB2312"/>
        </w:rPr>
        <w:t>在示范层面，项目若能围绕澄迈福橙、琼中绿橙等区域品牌形成较成熟的验证案例，将对地方高校服务区域产业、青年团队参与科技创新和智慧农业场景落地起到较强的带动作用。这种价值不完全体现在短期财务指标上，但对项目后续资源链接、合作拓展和社会影响力提升具有现实意义。</w:t>
      </w:r>
    </w:p>
    <w:p w14:paraId="25293AEF" w14:textId="77777777" w:rsidR="00D167C8" w:rsidRDefault="00B078DF">
      <w:pPr>
        <w:pStyle w:val="31"/>
        <w:ind w:firstLine="0"/>
      </w:pPr>
      <w:r>
        <w:rPr>
          <w:rFonts w:ascii="仿宋_GB2312" w:eastAsia="仿宋_GB2312" w:hAnsi="仿宋_GB2312"/>
        </w:rPr>
        <w:t xml:space="preserve">2.3.3 </w:t>
      </w:r>
      <w:r>
        <w:rPr>
          <w:rFonts w:ascii="仿宋_GB2312" w:eastAsia="仿宋_GB2312" w:hAnsi="仿宋_GB2312"/>
        </w:rPr>
        <w:t>竞赛与传播效益</w:t>
      </w:r>
    </w:p>
    <w:p w14:paraId="39C6A583" w14:textId="77777777" w:rsidR="00D167C8" w:rsidRDefault="00B078DF">
      <w:pPr>
        <w:jc w:val="both"/>
      </w:pPr>
      <w:r>
        <w:rPr>
          <w:rFonts w:ascii="仿宋_GB2312" w:hAnsi="仿宋_GB2312"/>
        </w:rPr>
        <w:t>从项目传播角度看，橙源智鉴具备</w:t>
      </w:r>
      <w:r>
        <w:rPr>
          <w:rFonts w:ascii="仿宋_GB2312" w:hAnsi="仿宋_GB2312"/>
        </w:rPr>
        <w:t>“</w:t>
      </w:r>
      <w:r>
        <w:rPr>
          <w:rFonts w:ascii="仿宋_GB2312" w:hAnsi="仿宋_GB2312"/>
        </w:rPr>
        <w:t>技术逻辑清晰、场景对象明确、社会议题突出、展示表达完整</w:t>
      </w:r>
      <w:r>
        <w:rPr>
          <w:rFonts w:ascii="仿宋_GB2312" w:hAnsi="仿宋_GB2312"/>
        </w:rPr>
        <w:t>”</w:t>
      </w:r>
      <w:r>
        <w:rPr>
          <w:rFonts w:ascii="仿宋_GB2312" w:hAnsi="仿宋_GB2312"/>
        </w:rPr>
        <w:t>的特点，既适合用于创新创业赛事申报，也适合用于地方合作对接和项目展示。项目若能持续完善，将有望成为高校团队面向智慧农业和特色产业服务的代表性案例。</w:t>
      </w:r>
    </w:p>
    <w:p w14:paraId="14C85F65" w14:textId="77777777" w:rsidR="00D167C8" w:rsidRDefault="00D167C8">
      <w:pPr>
        <w:sectPr w:rsidR="00D167C8">
          <w:pgSz w:w="11906" w:h="16838"/>
          <w:pgMar w:top="1417" w:right="1417" w:bottom="1417" w:left="1417" w:header="850" w:footer="992" w:gutter="0"/>
          <w:cols w:space="720"/>
          <w:docGrid w:linePitch="360"/>
        </w:sectPr>
      </w:pPr>
    </w:p>
    <w:p w14:paraId="66006022" w14:textId="77777777" w:rsidR="00D167C8" w:rsidRDefault="00B078DF">
      <w:pPr>
        <w:pStyle w:val="1"/>
        <w:ind w:firstLine="0"/>
      </w:pPr>
      <w:r>
        <w:rPr>
          <w:rFonts w:ascii="黑体" w:eastAsia="黑体" w:hAnsi="黑体"/>
        </w:rPr>
        <w:lastRenderedPageBreak/>
        <w:t>第三章</w:t>
      </w:r>
      <w:r>
        <w:rPr>
          <w:rFonts w:ascii="黑体" w:eastAsia="黑体" w:hAnsi="黑体"/>
        </w:rPr>
        <w:t xml:space="preserve"> </w:t>
      </w:r>
      <w:r>
        <w:rPr>
          <w:rFonts w:ascii="黑体" w:eastAsia="黑体" w:hAnsi="黑体"/>
        </w:rPr>
        <w:t>可行性分析</w:t>
      </w:r>
    </w:p>
    <w:p w14:paraId="3774EC44" w14:textId="77777777" w:rsidR="00D167C8" w:rsidRDefault="00B078DF">
      <w:pPr>
        <w:pStyle w:val="21"/>
        <w:ind w:firstLine="0"/>
      </w:pPr>
      <w:r>
        <w:rPr>
          <w:rFonts w:ascii="楷体_GB2312" w:eastAsia="楷体_GB2312" w:hAnsi="楷体_GB2312"/>
        </w:rPr>
        <w:t xml:space="preserve">3.1 </w:t>
      </w:r>
      <w:r>
        <w:rPr>
          <w:rFonts w:ascii="楷体_GB2312" w:eastAsia="楷体_GB2312" w:hAnsi="楷体_GB2312"/>
        </w:rPr>
        <w:t>市场可行性</w:t>
      </w:r>
    </w:p>
    <w:p w14:paraId="1B98C678" w14:textId="77777777" w:rsidR="00D167C8" w:rsidRDefault="00B078DF">
      <w:pPr>
        <w:pStyle w:val="31"/>
        <w:ind w:firstLine="0"/>
      </w:pPr>
      <w:r>
        <w:rPr>
          <w:rFonts w:ascii="仿宋_GB2312" w:eastAsia="仿宋_GB2312" w:hAnsi="仿宋_GB2312"/>
        </w:rPr>
        <w:t xml:space="preserve">3.1.1 </w:t>
      </w:r>
      <w:r>
        <w:rPr>
          <w:rFonts w:ascii="仿宋_GB2312" w:eastAsia="仿宋_GB2312" w:hAnsi="仿宋_GB2312"/>
        </w:rPr>
        <w:t>需求基础明确</w:t>
      </w:r>
    </w:p>
    <w:p w14:paraId="4F02B44C" w14:textId="77777777" w:rsidR="00D167C8" w:rsidRDefault="00B078DF">
      <w:pPr>
        <w:jc w:val="both"/>
      </w:pPr>
      <w:r>
        <w:rPr>
          <w:rFonts w:ascii="仿宋_GB2312" w:hAnsi="仿宋_GB2312"/>
        </w:rPr>
        <w:t>从需求侧看，品牌果、地理标志果和高价值果品愈发需要</w:t>
      </w:r>
      <w:r>
        <w:rPr>
          <w:rFonts w:ascii="仿宋_GB2312" w:hAnsi="仿宋_GB2312"/>
        </w:rPr>
        <w:t>“</w:t>
      </w:r>
      <w:r>
        <w:rPr>
          <w:rFonts w:ascii="仿宋_GB2312" w:hAnsi="仿宋_GB2312"/>
        </w:rPr>
        <w:t>可证明的品质</w:t>
      </w:r>
      <w:r>
        <w:rPr>
          <w:rFonts w:ascii="仿宋_GB2312" w:hAnsi="仿宋_GB2312"/>
        </w:rPr>
        <w:t>”</w:t>
      </w:r>
      <w:r>
        <w:rPr>
          <w:rFonts w:ascii="仿宋_GB2312" w:hAnsi="仿宋_GB2312"/>
        </w:rPr>
        <w:t>和</w:t>
      </w:r>
      <w:r>
        <w:rPr>
          <w:rFonts w:ascii="仿宋_GB2312" w:hAnsi="仿宋_GB2312"/>
        </w:rPr>
        <w:t>“</w:t>
      </w:r>
      <w:r>
        <w:rPr>
          <w:rFonts w:ascii="仿宋_GB2312" w:hAnsi="仿宋_GB2312"/>
        </w:rPr>
        <w:t>可验证的产地</w:t>
      </w:r>
      <w:r>
        <w:rPr>
          <w:rFonts w:ascii="仿宋_GB2312" w:hAnsi="仿宋_GB2312"/>
        </w:rPr>
        <w:t>”</w:t>
      </w:r>
      <w:r>
        <w:rPr>
          <w:rFonts w:ascii="仿宋_GB2312" w:hAnsi="仿宋_GB2312"/>
        </w:rPr>
        <w:t>。尤其在供给较充足、价格竞争趋于激烈的背景下，品质证明能力本身正在成为品牌果品的重要竞争力。对果园、合作社、分选中心和品牌运营方而言，只要项目能够稳定提供检测结果、历史留痕和可视化表达，就具备较清晰的现实需求基础。</w:t>
      </w:r>
    </w:p>
    <w:p w14:paraId="35CBA51F" w14:textId="77777777" w:rsidR="00D167C8" w:rsidRDefault="00B078DF">
      <w:pPr>
        <w:pStyle w:val="31"/>
        <w:ind w:firstLine="0"/>
      </w:pPr>
      <w:r>
        <w:rPr>
          <w:rFonts w:ascii="仿宋_GB2312" w:eastAsia="仿宋_GB2312" w:hAnsi="仿宋_GB2312"/>
        </w:rPr>
        <w:t xml:space="preserve">3.1.2 </w:t>
      </w:r>
      <w:r>
        <w:rPr>
          <w:rFonts w:ascii="仿宋_GB2312" w:eastAsia="仿宋_GB2312" w:hAnsi="仿宋_GB2312"/>
        </w:rPr>
        <w:t>场景对象清晰</w:t>
      </w:r>
    </w:p>
    <w:p w14:paraId="608A641C" w14:textId="77777777" w:rsidR="00D167C8" w:rsidRDefault="00B078DF">
      <w:pPr>
        <w:jc w:val="both"/>
      </w:pPr>
      <w:r>
        <w:rPr>
          <w:rFonts w:ascii="仿宋_GB2312" w:hAnsi="仿宋_GB2312"/>
        </w:rPr>
        <w:t>项目并不是面对一个过于泛化的市场，而是优先聚焦具有区域品牌属性、品质分级需求和数字化表达需求的橙类产品。澄迈福橙、琼中绿橙等场景对象较明确，便于先形成有代表性的验证案例，再逐步扩展至其他特色水果品类。市场切入面虽然不算特别宽，但胜在场景聚焦、价值清晰。</w:t>
      </w:r>
    </w:p>
    <w:p w14:paraId="382F7BCF" w14:textId="77777777" w:rsidR="00D167C8" w:rsidRDefault="00B078DF">
      <w:pPr>
        <w:pStyle w:val="31"/>
        <w:ind w:firstLine="0"/>
      </w:pPr>
      <w:r>
        <w:rPr>
          <w:rFonts w:ascii="仿宋_GB2312" w:eastAsia="仿宋_GB2312" w:hAnsi="仿宋_GB2312"/>
        </w:rPr>
        <w:t xml:space="preserve">3.1.3 </w:t>
      </w:r>
      <w:r>
        <w:rPr>
          <w:rFonts w:ascii="仿宋_GB2312" w:eastAsia="仿宋_GB2312" w:hAnsi="仿宋_GB2312"/>
        </w:rPr>
        <w:t>政策导向与场景需求形成同向拉动</w:t>
      </w:r>
    </w:p>
    <w:p w14:paraId="10AD94C9" w14:textId="77777777" w:rsidR="00D167C8" w:rsidRDefault="00B078DF">
      <w:pPr>
        <w:jc w:val="both"/>
      </w:pPr>
      <w:r>
        <w:rPr>
          <w:rFonts w:ascii="仿宋_GB2312" w:hAnsi="仿宋_GB2312"/>
        </w:rPr>
        <w:t>从外部环境看，智慧农业、农产品追溯和区域品牌经营三类趋势正在同时强化，这使橙源智鉴面对的不是单一检测需求，而是一组相互支撑的场景需求。项目只要能先在品牌果品中证明价值，就有机会同时承接质量管理、来源表达和数字化留痕三方面任务，市场可行性因此更扎实。</w:t>
      </w:r>
    </w:p>
    <w:p w14:paraId="6E319BAA" w14:textId="77777777" w:rsidR="00D167C8" w:rsidRDefault="00B078DF">
      <w:pPr>
        <w:pStyle w:val="21"/>
        <w:ind w:firstLine="0"/>
      </w:pPr>
      <w:r>
        <w:rPr>
          <w:rFonts w:ascii="楷体_GB2312" w:eastAsia="楷体_GB2312" w:hAnsi="楷体_GB2312"/>
        </w:rPr>
        <w:t xml:space="preserve">3.2 </w:t>
      </w:r>
      <w:r>
        <w:rPr>
          <w:rFonts w:ascii="楷体_GB2312" w:eastAsia="楷体_GB2312" w:hAnsi="楷体_GB2312"/>
        </w:rPr>
        <w:t>技术可行性</w:t>
      </w:r>
    </w:p>
    <w:p w14:paraId="002DAEE4" w14:textId="77777777" w:rsidR="00D167C8" w:rsidRDefault="00B078DF">
      <w:pPr>
        <w:pStyle w:val="31"/>
        <w:ind w:firstLine="0"/>
      </w:pPr>
      <w:r>
        <w:rPr>
          <w:rFonts w:ascii="仿宋_GB2312" w:eastAsia="仿宋_GB2312" w:hAnsi="仿宋_GB2312"/>
        </w:rPr>
        <w:t xml:space="preserve">3.2.1 </w:t>
      </w:r>
      <w:r>
        <w:rPr>
          <w:rFonts w:ascii="仿宋_GB2312" w:eastAsia="仿宋_GB2312" w:hAnsi="仿宋_GB2312"/>
        </w:rPr>
        <w:t>技术路径合理</w:t>
      </w:r>
    </w:p>
    <w:p w14:paraId="739B041E" w14:textId="77777777" w:rsidR="00D167C8" w:rsidRDefault="00B078DF">
      <w:pPr>
        <w:jc w:val="both"/>
      </w:pPr>
      <w:r>
        <w:rPr>
          <w:rFonts w:ascii="仿宋_GB2312" w:hAnsi="仿宋_GB2312"/>
        </w:rPr>
        <w:t>从技术原理看，高光谱成像适合用于无损检测与差异识别，能够为糖度、酸度、成熟度和产地差异等任务提供较丰富的特征基础。已有公开研究也普遍表明，高光谱技术在水果内部品质识别、成熟度判断和可溶性固形物预测等方面具有较强应用潜力。因此，项目选择</w:t>
      </w:r>
      <w:r>
        <w:rPr>
          <w:rFonts w:ascii="仿宋_GB2312" w:hAnsi="仿宋_GB2312"/>
        </w:rPr>
        <w:t>“</w:t>
      </w:r>
      <w:r>
        <w:rPr>
          <w:rFonts w:ascii="仿宋_GB2312" w:hAnsi="仿宋_GB2312"/>
        </w:rPr>
        <w:t>高光谱</w:t>
      </w:r>
      <w:r>
        <w:rPr>
          <w:rFonts w:ascii="仿宋_GB2312" w:hAnsi="仿宋_GB2312"/>
        </w:rPr>
        <w:t xml:space="preserve"> + </w:t>
      </w:r>
      <w:r>
        <w:rPr>
          <w:rFonts w:ascii="仿宋_GB2312" w:hAnsi="仿宋_GB2312"/>
        </w:rPr>
        <w:t>分类</w:t>
      </w:r>
      <w:r>
        <w:rPr>
          <w:rFonts w:ascii="仿宋_GB2312" w:hAnsi="仿宋_GB2312"/>
        </w:rPr>
        <w:t>/</w:t>
      </w:r>
      <w:r>
        <w:rPr>
          <w:rFonts w:ascii="仿宋_GB2312" w:hAnsi="仿宋_GB2312"/>
        </w:rPr>
        <w:t>回归模型</w:t>
      </w:r>
      <w:r>
        <w:rPr>
          <w:rFonts w:ascii="仿宋_GB2312" w:hAnsi="仿宋_GB2312"/>
        </w:rPr>
        <w:t xml:space="preserve"> + </w:t>
      </w:r>
      <w:r>
        <w:rPr>
          <w:rFonts w:ascii="仿宋_GB2312" w:hAnsi="仿宋_GB2312"/>
        </w:rPr>
        <w:t>可解释分析</w:t>
      </w:r>
      <w:r>
        <w:rPr>
          <w:rFonts w:ascii="仿宋_GB2312" w:hAnsi="仿宋_GB2312"/>
        </w:rPr>
        <w:t>”</w:t>
      </w:r>
      <w:r>
        <w:rPr>
          <w:rFonts w:ascii="仿宋_GB2312" w:hAnsi="仿宋_GB2312"/>
        </w:rPr>
        <w:t>的总体路线，是具备理论与应用依据的。</w:t>
      </w:r>
    </w:p>
    <w:p w14:paraId="1CF9E1F2" w14:textId="77777777" w:rsidR="00D167C8" w:rsidRDefault="00B078DF">
      <w:pPr>
        <w:pStyle w:val="31"/>
        <w:ind w:firstLine="0"/>
      </w:pPr>
      <w:r>
        <w:rPr>
          <w:rFonts w:ascii="仿宋_GB2312" w:eastAsia="仿宋_GB2312" w:hAnsi="仿宋_GB2312"/>
        </w:rPr>
        <w:lastRenderedPageBreak/>
        <w:t xml:space="preserve">3.2.2 </w:t>
      </w:r>
      <w:r>
        <w:rPr>
          <w:rFonts w:ascii="仿宋_GB2312" w:eastAsia="仿宋_GB2312" w:hAnsi="仿宋_GB2312"/>
        </w:rPr>
        <w:t>原型基础已具备</w:t>
      </w:r>
    </w:p>
    <w:p w14:paraId="395DCA1F" w14:textId="77777777" w:rsidR="00D167C8" w:rsidRDefault="00B078DF">
      <w:pPr>
        <w:jc w:val="both"/>
      </w:pPr>
      <w:r>
        <w:rPr>
          <w:rFonts w:ascii="仿宋_GB2312" w:hAnsi="仿宋_GB2312"/>
        </w:rPr>
        <w:t>从当前项目基础看，平台已经完成首页展示、可视化大屏、样本分析、模型解释、历史记录和技术原理等页面原型，也已经具备糖度、酸度、糖酸比、维生素</w:t>
      </w:r>
      <w:r>
        <w:rPr>
          <w:rFonts w:ascii="仿宋_GB2312" w:hAnsi="仿宋_GB2312"/>
        </w:rPr>
        <w:t>C</w:t>
      </w:r>
      <w:r>
        <w:rPr>
          <w:rFonts w:ascii="仿宋_GB2312" w:hAnsi="仿宋_GB2312"/>
        </w:rPr>
        <w:t>等样本字段与高光谱曲线展示逻辑。换句话说，项目不是只有技术设想，而是已经形成</w:t>
      </w:r>
      <w:r>
        <w:rPr>
          <w:rFonts w:ascii="仿宋_GB2312" w:hAnsi="仿宋_GB2312"/>
        </w:rPr>
        <w:t>“</w:t>
      </w:r>
      <w:r>
        <w:rPr>
          <w:rFonts w:ascii="仿宋_GB2312" w:hAnsi="仿宋_GB2312"/>
        </w:rPr>
        <w:t>页面结构</w:t>
      </w:r>
      <w:r>
        <w:rPr>
          <w:rFonts w:ascii="仿宋_GB2312" w:hAnsi="仿宋_GB2312"/>
        </w:rPr>
        <w:t xml:space="preserve"> + </w:t>
      </w:r>
      <w:r>
        <w:rPr>
          <w:rFonts w:ascii="仿宋_GB2312" w:hAnsi="仿宋_GB2312"/>
        </w:rPr>
        <w:t>数据字段</w:t>
      </w:r>
      <w:r>
        <w:rPr>
          <w:rFonts w:ascii="仿宋_GB2312" w:hAnsi="仿宋_GB2312"/>
        </w:rPr>
        <w:t xml:space="preserve"> + </w:t>
      </w:r>
      <w:r>
        <w:rPr>
          <w:rFonts w:ascii="仿宋_GB2312" w:hAnsi="仿宋_GB2312"/>
        </w:rPr>
        <w:t>分析流程</w:t>
      </w:r>
      <w:r>
        <w:rPr>
          <w:rFonts w:ascii="仿宋_GB2312" w:hAnsi="仿宋_GB2312"/>
        </w:rPr>
        <w:t>”</w:t>
      </w:r>
      <w:r>
        <w:rPr>
          <w:rFonts w:ascii="仿宋_GB2312" w:hAnsi="仿宋_GB2312"/>
        </w:rPr>
        <w:t>的雏形，这使得后续技术迭代能够直接围绕真实原型推进。</w:t>
      </w:r>
    </w:p>
    <w:p w14:paraId="5E1FCC7E" w14:textId="77777777" w:rsidR="00D167C8" w:rsidRDefault="00B078DF">
      <w:pPr>
        <w:pStyle w:val="31"/>
        <w:ind w:firstLine="0"/>
      </w:pPr>
      <w:r>
        <w:rPr>
          <w:rFonts w:ascii="仿宋_GB2312" w:eastAsia="仿宋_GB2312" w:hAnsi="仿宋_GB2312"/>
        </w:rPr>
        <w:t xml:space="preserve">3.2.3 </w:t>
      </w:r>
      <w:r>
        <w:rPr>
          <w:rFonts w:ascii="仿宋_GB2312" w:eastAsia="仿宋_GB2312" w:hAnsi="仿宋_GB2312"/>
        </w:rPr>
        <w:t>后续优化方向明确</w:t>
      </w:r>
    </w:p>
    <w:p w14:paraId="04F4F7B0" w14:textId="77777777" w:rsidR="00D167C8" w:rsidRDefault="00B078DF">
      <w:pPr>
        <w:jc w:val="both"/>
      </w:pPr>
      <w:r>
        <w:rPr>
          <w:rFonts w:ascii="仿宋_GB2312" w:hAnsi="仿宋_GB2312"/>
        </w:rPr>
        <w:t>项目当前真正需要补强的并不是概念层，而是样本规模、标签质量、批次覆盖度和跨场景稳定性。这些问题虽然决定项目上限，但路径相对清晰，属于可通过阶段性研发逐步解决的问题。因此，从技术实施角度看，项目具备由演示原型走向试点验证的现实可能。</w:t>
      </w:r>
    </w:p>
    <w:p w14:paraId="44CEBC5B" w14:textId="77777777" w:rsidR="00D167C8" w:rsidRDefault="00B078DF">
      <w:pPr>
        <w:pStyle w:val="21"/>
        <w:ind w:firstLine="0"/>
      </w:pPr>
      <w:r>
        <w:rPr>
          <w:rFonts w:ascii="楷体_GB2312" w:eastAsia="楷体_GB2312" w:hAnsi="楷体_GB2312"/>
        </w:rPr>
        <w:t xml:space="preserve">3.3 </w:t>
      </w:r>
      <w:r>
        <w:rPr>
          <w:rFonts w:ascii="楷体_GB2312" w:eastAsia="楷体_GB2312" w:hAnsi="楷体_GB2312"/>
        </w:rPr>
        <w:t>经济可行性</w:t>
      </w:r>
    </w:p>
    <w:p w14:paraId="4A1CC959" w14:textId="77777777" w:rsidR="00D167C8" w:rsidRDefault="00B078DF">
      <w:pPr>
        <w:pStyle w:val="31"/>
        <w:ind w:firstLine="0"/>
      </w:pPr>
      <w:r>
        <w:rPr>
          <w:rFonts w:ascii="仿宋_GB2312" w:eastAsia="仿宋_GB2312" w:hAnsi="仿宋_GB2312"/>
        </w:rPr>
        <w:t xml:space="preserve">3.3.1 </w:t>
      </w:r>
      <w:r>
        <w:rPr>
          <w:rFonts w:ascii="仿宋_GB2312" w:eastAsia="仿宋_GB2312" w:hAnsi="仿宋_GB2312"/>
        </w:rPr>
        <w:t>早期投入具有可控性</w:t>
      </w:r>
    </w:p>
    <w:p w14:paraId="4D653073" w14:textId="77777777" w:rsidR="00D167C8" w:rsidRDefault="00B078DF">
      <w:pPr>
        <w:jc w:val="both"/>
      </w:pPr>
      <w:r>
        <w:rPr>
          <w:rFonts w:ascii="仿宋_GB2312" w:hAnsi="仿宋_GB2312"/>
        </w:rPr>
        <w:t>项目早期并不需要一步到位建设完整商业体系，而是可以围绕样本采集、算法验证、平台迭代和小范围试点逐步投入。相较于直接重资产铺设设备或仓促进入大范围市场，现阶段采取</w:t>
      </w:r>
      <w:r>
        <w:rPr>
          <w:rFonts w:ascii="仿宋_GB2312" w:hAnsi="仿宋_GB2312"/>
        </w:rPr>
        <w:t>“</w:t>
      </w:r>
      <w:r>
        <w:rPr>
          <w:rFonts w:ascii="仿宋_GB2312" w:hAnsi="仿宋_GB2312"/>
        </w:rPr>
        <w:t>先做试点、再做复制</w:t>
      </w:r>
      <w:r>
        <w:rPr>
          <w:rFonts w:ascii="仿宋_GB2312" w:hAnsi="仿宋_GB2312"/>
        </w:rPr>
        <w:t>”</w:t>
      </w:r>
      <w:r>
        <w:rPr>
          <w:rFonts w:ascii="仿宋_GB2312" w:hAnsi="仿宋_GB2312"/>
        </w:rPr>
        <w:t>的方式，更有利于控制资金压力和研发风险。</w:t>
      </w:r>
    </w:p>
    <w:p w14:paraId="3E0092CE" w14:textId="77777777" w:rsidR="00D167C8" w:rsidRDefault="00B078DF">
      <w:pPr>
        <w:pStyle w:val="31"/>
        <w:ind w:firstLine="0"/>
      </w:pPr>
      <w:r>
        <w:rPr>
          <w:rFonts w:ascii="仿宋_GB2312" w:eastAsia="仿宋_GB2312" w:hAnsi="仿宋_GB2312"/>
        </w:rPr>
        <w:t xml:space="preserve">3.3.2 </w:t>
      </w:r>
      <w:r>
        <w:rPr>
          <w:rFonts w:ascii="仿宋_GB2312" w:eastAsia="仿宋_GB2312" w:hAnsi="仿宋_GB2312"/>
        </w:rPr>
        <w:t>收入路径具备扩展性</w:t>
      </w:r>
    </w:p>
    <w:p w14:paraId="370CB94F" w14:textId="77777777" w:rsidR="00D167C8" w:rsidRDefault="00B078DF">
      <w:pPr>
        <w:jc w:val="both"/>
      </w:pPr>
      <w:r>
        <w:rPr>
          <w:rFonts w:ascii="仿宋_GB2312" w:hAnsi="仿宋_GB2312"/>
        </w:rPr>
        <w:t>从收入结构看，项目后续并不局限于一种变现方式。试点检测服务、平台订阅、合作项目共建、定制化分析服务等都可能形成收入来源。前期通过技术服务和试点合作建立场景，中期再逐步把平台能力转化为标准化服务或订阅能力，这种节奏更符合项目当前阶段。</w:t>
      </w:r>
    </w:p>
    <w:p w14:paraId="7E2DE8AF" w14:textId="77777777" w:rsidR="00D167C8" w:rsidRDefault="00B078DF">
      <w:pPr>
        <w:pStyle w:val="31"/>
        <w:ind w:firstLine="0"/>
      </w:pPr>
      <w:r>
        <w:rPr>
          <w:rFonts w:ascii="仿宋_GB2312" w:eastAsia="仿宋_GB2312" w:hAnsi="仿宋_GB2312"/>
        </w:rPr>
        <w:t xml:space="preserve">3.3.3 </w:t>
      </w:r>
      <w:r>
        <w:rPr>
          <w:rFonts w:ascii="仿宋_GB2312" w:eastAsia="仿宋_GB2312" w:hAnsi="仿宋_GB2312"/>
        </w:rPr>
        <w:t>分阶段商业化更符合项目当前边界</w:t>
      </w:r>
    </w:p>
    <w:p w14:paraId="42446B60" w14:textId="77777777" w:rsidR="00D167C8" w:rsidRDefault="00B078DF">
      <w:pPr>
        <w:jc w:val="both"/>
      </w:pPr>
      <w:r>
        <w:rPr>
          <w:rFonts w:ascii="仿宋_GB2312" w:hAnsi="仿宋_GB2312"/>
        </w:rPr>
        <w:t>结合现有基础来看，橙源智鉴更适合先完成样本补强、模型验证和示范场景建设，再逐步推进批量应用和对外合作，而不是在早期承担过重的设备投入与市场铺设成本。这种分阶段推进方式能让资金压力、研发节奏和交付风险保持在可控范围内，也更利于团队边试点、边修正、边沉淀。</w:t>
      </w:r>
    </w:p>
    <w:p w14:paraId="55D807A2" w14:textId="77777777" w:rsidR="00D167C8" w:rsidRDefault="00B078DF">
      <w:pPr>
        <w:pStyle w:val="21"/>
        <w:ind w:firstLine="0"/>
      </w:pPr>
      <w:r>
        <w:rPr>
          <w:rFonts w:ascii="楷体_GB2312" w:eastAsia="楷体_GB2312" w:hAnsi="楷体_GB2312"/>
        </w:rPr>
        <w:lastRenderedPageBreak/>
        <w:t xml:space="preserve">3.4 </w:t>
      </w:r>
      <w:r>
        <w:rPr>
          <w:rFonts w:ascii="楷体_GB2312" w:eastAsia="楷体_GB2312" w:hAnsi="楷体_GB2312"/>
        </w:rPr>
        <w:t>运营可行性</w:t>
      </w:r>
    </w:p>
    <w:p w14:paraId="5BA9AFCF" w14:textId="77777777" w:rsidR="00D167C8" w:rsidRDefault="00B078DF">
      <w:pPr>
        <w:pStyle w:val="31"/>
        <w:ind w:firstLine="0"/>
      </w:pPr>
      <w:r>
        <w:rPr>
          <w:rFonts w:ascii="仿宋_GB2312" w:eastAsia="仿宋_GB2312" w:hAnsi="仿宋_GB2312"/>
        </w:rPr>
        <w:t xml:space="preserve">3.4.1 </w:t>
      </w:r>
      <w:r>
        <w:rPr>
          <w:rFonts w:ascii="仿宋_GB2312" w:eastAsia="仿宋_GB2312" w:hAnsi="仿宋_GB2312"/>
        </w:rPr>
        <w:t>团队与组织基础具备支撑</w:t>
      </w:r>
    </w:p>
    <w:p w14:paraId="17CA8FDD" w14:textId="77777777" w:rsidR="00D167C8" w:rsidRDefault="00B078DF">
      <w:pPr>
        <w:jc w:val="both"/>
      </w:pPr>
      <w:r>
        <w:rPr>
          <w:rFonts w:ascii="仿宋_GB2312" w:hAnsi="仿宋_GB2312"/>
        </w:rPr>
        <w:t>项目依托高校团队和现有创新创业环境，具备较好的组织基础。一方面，团队在技术研发、页面呈现和项目表达上已经形成初步协同；另一方面，高校实验室、孵化资源和赛事平台也为项目的样本组织、研发推进和阶段性展示提供了现实支持。</w:t>
      </w:r>
    </w:p>
    <w:p w14:paraId="50FDC7D5" w14:textId="77777777" w:rsidR="00D167C8" w:rsidRDefault="00B078DF">
      <w:pPr>
        <w:pStyle w:val="31"/>
        <w:ind w:firstLine="0"/>
      </w:pPr>
      <w:r>
        <w:rPr>
          <w:rFonts w:ascii="仿宋_GB2312" w:eastAsia="仿宋_GB2312" w:hAnsi="仿宋_GB2312"/>
        </w:rPr>
        <w:t xml:space="preserve">3.4.2 </w:t>
      </w:r>
      <w:r>
        <w:rPr>
          <w:rFonts w:ascii="仿宋_GB2312" w:eastAsia="仿宋_GB2312" w:hAnsi="仿宋_GB2312"/>
        </w:rPr>
        <w:t>推进路径相对清晰</w:t>
      </w:r>
    </w:p>
    <w:p w14:paraId="32E81936" w14:textId="77777777" w:rsidR="00D167C8" w:rsidRDefault="00B078DF">
      <w:pPr>
        <w:jc w:val="both"/>
      </w:pPr>
      <w:r>
        <w:rPr>
          <w:rFonts w:ascii="仿宋_GB2312" w:hAnsi="仿宋_GB2312"/>
        </w:rPr>
        <w:t>从运营节奏看，项目适合遵循</w:t>
      </w:r>
      <w:r>
        <w:rPr>
          <w:rFonts w:ascii="仿宋_GB2312" w:hAnsi="仿宋_GB2312"/>
        </w:rPr>
        <w:t>“</w:t>
      </w:r>
      <w:r>
        <w:rPr>
          <w:rFonts w:ascii="仿宋_GB2312" w:hAnsi="仿宋_GB2312"/>
        </w:rPr>
        <w:t>展示验证</w:t>
      </w:r>
      <w:r>
        <w:rPr>
          <w:rFonts w:ascii="仿宋_GB2312" w:hAnsi="仿宋_GB2312"/>
        </w:rPr>
        <w:t>—</w:t>
      </w:r>
      <w:r>
        <w:rPr>
          <w:rFonts w:ascii="仿宋_GB2312" w:hAnsi="仿宋_GB2312"/>
        </w:rPr>
        <w:t>试点合作</w:t>
      </w:r>
      <w:r>
        <w:rPr>
          <w:rFonts w:ascii="仿宋_GB2312" w:hAnsi="仿宋_GB2312"/>
        </w:rPr>
        <w:t>—</w:t>
      </w:r>
      <w:r>
        <w:rPr>
          <w:rFonts w:ascii="仿宋_GB2312" w:hAnsi="仿宋_GB2312"/>
        </w:rPr>
        <w:t>标准沉淀</w:t>
      </w:r>
      <w:r>
        <w:rPr>
          <w:rFonts w:ascii="仿宋_GB2312" w:hAnsi="仿宋_GB2312"/>
        </w:rPr>
        <w:t>—</w:t>
      </w:r>
      <w:r>
        <w:rPr>
          <w:rFonts w:ascii="仿宋_GB2312" w:hAnsi="仿宋_GB2312"/>
        </w:rPr>
        <w:t>区域复制</w:t>
      </w:r>
      <w:r>
        <w:rPr>
          <w:rFonts w:ascii="仿宋_GB2312" w:hAnsi="仿宋_GB2312"/>
        </w:rPr>
        <w:t>”</w:t>
      </w:r>
      <w:r>
        <w:rPr>
          <w:rFonts w:ascii="仿宋_GB2312" w:hAnsi="仿宋_GB2312"/>
        </w:rPr>
        <w:t>的推进思路。先通过计划书、原型系统和小规模样本验证建立可信度，再逐步对接试点单位，最后沉淀标准流程和交付经验。这样的推进方式既符合当前团队能力边界，也更利于项目稳步成长。</w:t>
      </w:r>
    </w:p>
    <w:p w14:paraId="0D1BF680" w14:textId="77777777" w:rsidR="00D167C8" w:rsidRDefault="00B078DF">
      <w:pPr>
        <w:pStyle w:val="31"/>
        <w:ind w:firstLine="0"/>
      </w:pPr>
      <w:r>
        <w:rPr>
          <w:rFonts w:ascii="仿宋_GB2312" w:eastAsia="仿宋_GB2312" w:hAnsi="仿宋_GB2312"/>
        </w:rPr>
        <w:t xml:space="preserve">3.4.3 Web </w:t>
      </w:r>
      <w:r>
        <w:rPr>
          <w:rFonts w:ascii="仿宋_GB2312" w:eastAsia="仿宋_GB2312" w:hAnsi="仿宋_GB2312"/>
        </w:rPr>
        <w:t>原型有助于缩短合作转化周期</w:t>
      </w:r>
    </w:p>
    <w:p w14:paraId="04CC43BA" w14:textId="77777777" w:rsidR="00D167C8" w:rsidRDefault="00B078DF">
      <w:pPr>
        <w:jc w:val="both"/>
      </w:pPr>
      <w:r>
        <w:rPr>
          <w:rFonts w:ascii="仿宋_GB2312" w:hAnsi="仿宋_GB2312"/>
        </w:rPr>
        <w:t>相比只有实验结论或论文思路的项目，橙源智鉴已经具备首页、样本分析、模型解释和历史记录等可视化原型，能够提前把</w:t>
      </w:r>
      <w:r>
        <w:rPr>
          <w:rFonts w:ascii="仿宋_GB2312" w:hAnsi="仿宋_GB2312"/>
        </w:rPr>
        <w:t>“</w:t>
      </w:r>
      <w:r>
        <w:rPr>
          <w:rFonts w:ascii="仿宋_GB2312" w:hAnsi="仿宋_GB2312"/>
        </w:rPr>
        <w:t>怎么用、怎么看、如何输出结果</w:t>
      </w:r>
      <w:r>
        <w:rPr>
          <w:rFonts w:ascii="仿宋_GB2312" w:hAnsi="仿宋_GB2312"/>
        </w:rPr>
        <w:t>”</w:t>
      </w:r>
      <w:r>
        <w:rPr>
          <w:rFonts w:ascii="仿宋_GB2312" w:hAnsi="仿宋_GB2312"/>
        </w:rPr>
        <w:t>讲明白。这种展示能力有助于降低合作方理解门槛，也能显著缩短从项目介绍到试点讨论的转化周期。</w:t>
      </w:r>
    </w:p>
    <w:p w14:paraId="2B4EE507" w14:textId="77777777" w:rsidR="00D167C8" w:rsidRDefault="00D167C8">
      <w:pPr>
        <w:sectPr w:rsidR="00D167C8">
          <w:pgSz w:w="11906" w:h="16838"/>
          <w:pgMar w:top="1417" w:right="1417" w:bottom="1417" w:left="1417" w:header="850" w:footer="992" w:gutter="0"/>
          <w:cols w:space="720"/>
          <w:docGrid w:linePitch="360"/>
        </w:sectPr>
      </w:pPr>
    </w:p>
    <w:p w14:paraId="0CB508B3" w14:textId="77777777" w:rsidR="00D167C8" w:rsidRDefault="00B078DF">
      <w:pPr>
        <w:pStyle w:val="1"/>
        <w:ind w:firstLine="0"/>
      </w:pPr>
      <w:r>
        <w:rPr>
          <w:rFonts w:ascii="黑体" w:eastAsia="黑体" w:hAnsi="黑体"/>
        </w:rPr>
        <w:lastRenderedPageBreak/>
        <w:t>第四章</w:t>
      </w:r>
      <w:r>
        <w:rPr>
          <w:rFonts w:ascii="黑体" w:eastAsia="黑体" w:hAnsi="黑体"/>
        </w:rPr>
        <w:t xml:space="preserve"> </w:t>
      </w:r>
      <w:r>
        <w:rPr>
          <w:rFonts w:ascii="黑体" w:eastAsia="黑体" w:hAnsi="黑体"/>
        </w:rPr>
        <w:t>市场优势</w:t>
      </w:r>
    </w:p>
    <w:p w14:paraId="181B75A0" w14:textId="77777777" w:rsidR="00D167C8" w:rsidRDefault="00B078DF">
      <w:pPr>
        <w:pStyle w:val="21"/>
        <w:ind w:firstLine="0"/>
      </w:pPr>
      <w:r>
        <w:rPr>
          <w:rFonts w:ascii="楷体_GB2312" w:eastAsia="楷体_GB2312" w:hAnsi="楷体_GB2312"/>
        </w:rPr>
        <w:t xml:space="preserve">4.1 </w:t>
      </w:r>
      <w:r>
        <w:rPr>
          <w:rFonts w:ascii="楷体_GB2312" w:eastAsia="楷体_GB2312" w:hAnsi="楷体_GB2312"/>
        </w:rPr>
        <w:t>检测市场分析</w:t>
      </w:r>
    </w:p>
    <w:p w14:paraId="707C303F" w14:textId="77777777" w:rsidR="00D167C8" w:rsidRDefault="00B078DF">
      <w:pPr>
        <w:pStyle w:val="31"/>
        <w:ind w:firstLine="0"/>
      </w:pPr>
      <w:r>
        <w:rPr>
          <w:rFonts w:ascii="仿宋_GB2312" w:eastAsia="仿宋_GB2312" w:hAnsi="仿宋_GB2312"/>
        </w:rPr>
        <w:t xml:space="preserve">4.1.1 </w:t>
      </w:r>
      <w:r>
        <w:rPr>
          <w:rFonts w:ascii="仿宋_GB2312" w:eastAsia="仿宋_GB2312" w:hAnsi="仿宋_GB2312"/>
        </w:rPr>
        <w:t>产业规模与需求牵引</w:t>
      </w:r>
    </w:p>
    <w:p w14:paraId="6753D8C5" w14:textId="77777777" w:rsidR="00D167C8" w:rsidRDefault="00B078DF">
      <w:pPr>
        <w:jc w:val="both"/>
      </w:pPr>
      <w:r>
        <w:rPr>
          <w:rFonts w:ascii="仿宋_GB2312" w:hAnsi="仿宋_GB2312"/>
        </w:rPr>
        <w:t>从产业体量看，橙类品质检测与产地识别并不是一个狭小的细分需求，而是依附于我国庞大的柑橘产业体系持续存在。农业农村部公开资料显示，我国柑橘种植面积约</w:t>
      </w:r>
      <w:r>
        <w:rPr>
          <w:rFonts w:ascii="仿宋_GB2312" w:hAnsi="仿宋_GB2312"/>
        </w:rPr>
        <w:t>4493.72</w:t>
      </w:r>
      <w:r>
        <w:rPr>
          <w:rFonts w:ascii="仿宋_GB2312" w:hAnsi="仿宋_GB2312"/>
        </w:rPr>
        <w:t>万亩、年产量约</w:t>
      </w:r>
      <w:r>
        <w:rPr>
          <w:rFonts w:ascii="仿宋_GB2312" w:hAnsi="仿宋_GB2312"/>
        </w:rPr>
        <w:t>6003.89</w:t>
      </w:r>
      <w:r>
        <w:rPr>
          <w:rFonts w:ascii="仿宋_GB2312" w:hAnsi="仿宋_GB2312"/>
        </w:rPr>
        <w:t>万吨，约占全球总产量</w:t>
      </w:r>
      <w:r>
        <w:rPr>
          <w:rFonts w:ascii="仿宋_GB2312" w:hAnsi="仿宋_GB2312"/>
        </w:rPr>
        <w:t>28%</w:t>
      </w:r>
      <w:r>
        <w:rPr>
          <w:rFonts w:ascii="仿宋_GB2312" w:hAnsi="仿宋_GB2312"/>
        </w:rPr>
        <w:t>。如此大的基数决定了分选、分级、流通、品牌经营各环节都需要更高效率的检测与证明工具。</w:t>
      </w:r>
    </w:p>
    <w:p w14:paraId="16AFEF63" w14:textId="77777777" w:rsidR="00D167C8" w:rsidRDefault="00B078DF">
      <w:pPr>
        <w:jc w:val="both"/>
      </w:pPr>
      <w:r>
        <w:rPr>
          <w:rFonts w:ascii="仿宋_GB2312" w:hAnsi="仿宋_GB2312"/>
        </w:rPr>
        <w:t>从价格走势看，检测需求的紧迫性也在上升。农业农村部《</w:t>
      </w:r>
      <w:r>
        <w:rPr>
          <w:rFonts w:ascii="仿宋_GB2312" w:hAnsi="仿宋_GB2312"/>
        </w:rPr>
        <w:t>2024</w:t>
      </w:r>
      <w:r>
        <w:rPr>
          <w:rFonts w:ascii="仿宋_GB2312" w:hAnsi="仿宋_GB2312"/>
        </w:rPr>
        <w:t>年</w:t>
      </w:r>
      <w:r>
        <w:rPr>
          <w:rFonts w:ascii="仿宋_GB2312" w:hAnsi="仿宋_GB2312"/>
        </w:rPr>
        <w:t>4</w:t>
      </w:r>
      <w:r>
        <w:rPr>
          <w:rFonts w:ascii="仿宋_GB2312" w:hAnsi="仿宋_GB2312"/>
        </w:rPr>
        <w:t>月农产品供需形势分析月报（水果）》显示，</w:t>
      </w:r>
      <w:r>
        <w:rPr>
          <w:rFonts w:ascii="仿宋_GB2312" w:hAnsi="仿宋_GB2312"/>
        </w:rPr>
        <w:t>2024</w:t>
      </w:r>
      <w:r>
        <w:rPr>
          <w:rFonts w:ascii="仿宋_GB2312" w:hAnsi="仿宋_GB2312"/>
        </w:rPr>
        <w:t>年</w:t>
      </w:r>
      <w:r>
        <w:rPr>
          <w:rFonts w:ascii="仿宋_GB2312" w:hAnsi="仿宋_GB2312"/>
        </w:rPr>
        <w:t>3</w:t>
      </w:r>
      <w:r>
        <w:rPr>
          <w:rFonts w:ascii="仿宋_GB2312" w:hAnsi="仿宋_GB2312"/>
        </w:rPr>
        <w:t>月全国重点监测批发市场柑橘均价为</w:t>
      </w:r>
      <w:r>
        <w:rPr>
          <w:rFonts w:ascii="仿宋_GB2312" w:hAnsi="仿宋_GB2312"/>
        </w:rPr>
        <w:t>7.03</w:t>
      </w:r>
      <w:r>
        <w:rPr>
          <w:rFonts w:ascii="仿宋_GB2312" w:hAnsi="仿宋_GB2312"/>
        </w:rPr>
        <w:t>元</w:t>
      </w:r>
      <w:r>
        <w:rPr>
          <w:rFonts w:ascii="仿宋_GB2312" w:hAnsi="仿宋_GB2312"/>
        </w:rPr>
        <w:t>/</w:t>
      </w:r>
      <w:r>
        <w:rPr>
          <w:rFonts w:ascii="仿宋_GB2312" w:hAnsi="仿宋_GB2312"/>
        </w:rPr>
        <w:t>公斤，同比下降</w:t>
      </w:r>
      <w:r>
        <w:rPr>
          <w:rFonts w:ascii="仿宋_GB2312" w:hAnsi="仿宋_GB2312"/>
        </w:rPr>
        <w:t>12.5%</w:t>
      </w:r>
      <w:r>
        <w:rPr>
          <w:rFonts w:ascii="仿宋_GB2312" w:hAnsi="仿宋_GB2312"/>
        </w:rPr>
        <w:t>。在供给较充足、价格承压的背景下，单纯依靠产量增长很难持续支撑收益，提升分级效率、证明品质稳定、强化品牌溢价就成为更现实的增长抓手。</w:t>
      </w:r>
    </w:p>
    <w:p w14:paraId="767F5911" w14:textId="77777777" w:rsidR="00D167C8" w:rsidRDefault="00B078DF">
      <w:pPr>
        <w:pStyle w:val="31"/>
        <w:ind w:firstLine="0"/>
      </w:pPr>
      <w:r>
        <w:rPr>
          <w:rFonts w:ascii="仿宋_GB2312" w:eastAsia="仿宋_GB2312" w:hAnsi="仿宋_GB2312"/>
        </w:rPr>
        <w:t xml:space="preserve">4.1.2 </w:t>
      </w:r>
      <w:r>
        <w:rPr>
          <w:rFonts w:ascii="仿宋_GB2312" w:eastAsia="仿宋_GB2312" w:hAnsi="仿宋_GB2312"/>
        </w:rPr>
        <w:t>区域品牌果品场景扩张</w:t>
      </w:r>
    </w:p>
    <w:p w14:paraId="0E88D28C" w14:textId="77777777" w:rsidR="00D167C8" w:rsidRDefault="00B078DF">
      <w:pPr>
        <w:jc w:val="both"/>
      </w:pPr>
      <w:r>
        <w:rPr>
          <w:rFonts w:ascii="仿宋_GB2312" w:hAnsi="仿宋_GB2312"/>
        </w:rPr>
        <w:t>从区域市场看，海南特色水果产业为项目提供了较好的应用土壤。根据海南省统计局发布的《海南省</w:t>
      </w:r>
      <w:r>
        <w:rPr>
          <w:rFonts w:ascii="仿宋_GB2312" w:hAnsi="仿宋_GB2312"/>
        </w:rPr>
        <w:t>2024</w:t>
      </w:r>
      <w:r>
        <w:rPr>
          <w:rFonts w:ascii="仿宋_GB2312" w:hAnsi="仿宋_GB2312"/>
        </w:rPr>
        <w:t>年国民经济和社会发展统计公报》，</w:t>
      </w:r>
      <w:r>
        <w:rPr>
          <w:rFonts w:ascii="仿宋_GB2312" w:hAnsi="仿宋_GB2312"/>
        </w:rPr>
        <w:t>2024</w:t>
      </w:r>
      <w:r>
        <w:rPr>
          <w:rFonts w:ascii="仿宋_GB2312" w:hAnsi="仿宋_GB2312"/>
        </w:rPr>
        <w:t>年海南水果总产量达到</w:t>
      </w:r>
      <w:r>
        <w:rPr>
          <w:rFonts w:ascii="仿宋_GB2312" w:hAnsi="仿宋_GB2312"/>
        </w:rPr>
        <w:t>617.66</w:t>
      </w:r>
      <w:r>
        <w:rPr>
          <w:rFonts w:ascii="仿宋_GB2312" w:hAnsi="仿宋_GB2312"/>
        </w:rPr>
        <w:t>万吨，同比增长</w:t>
      </w:r>
      <w:r>
        <w:rPr>
          <w:rFonts w:ascii="仿宋_GB2312" w:hAnsi="仿宋_GB2312"/>
        </w:rPr>
        <w:t>4.2%</w:t>
      </w:r>
      <w:r>
        <w:rPr>
          <w:rFonts w:ascii="仿宋_GB2312" w:hAnsi="仿宋_GB2312"/>
        </w:rPr>
        <w:t>。对于澄迈福橙、琼中绿橙等具有地域品牌特征的产品而言，消费者和渠道方越来越重视</w:t>
      </w:r>
      <w:r>
        <w:rPr>
          <w:rFonts w:ascii="仿宋_GB2312" w:hAnsi="仿宋_GB2312"/>
        </w:rPr>
        <w:t>“</w:t>
      </w:r>
      <w:r>
        <w:rPr>
          <w:rFonts w:ascii="仿宋_GB2312" w:hAnsi="仿宋_GB2312"/>
        </w:rPr>
        <w:t>是不是这个产地</w:t>
      </w:r>
      <w:r>
        <w:rPr>
          <w:rFonts w:ascii="仿宋_GB2312" w:hAnsi="仿宋_GB2312"/>
        </w:rPr>
        <w:t>”“</w:t>
      </w:r>
      <w:r>
        <w:rPr>
          <w:rFonts w:ascii="仿宋_GB2312" w:hAnsi="仿宋_GB2312"/>
        </w:rPr>
        <w:t>这一批果品是否稳定</w:t>
      </w:r>
      <w:r>
        <w:rPr>
          <w:rFonts w:ascii="仿宋_GB2312" w:hAnsi="仿宋_GB2312"/>
        </w:rPr>
        <w:t>”“</w:t>
      </w:r>
      <w:r>
        <w:rPr>
          <w:rFonts w:ascii="仿宋_GB2312" w:hAnsi="仿宋_GB2312"/>
        </w:rPr>
        <w:t>优质果如何证明</w:t>
      </w:r>
      <w:r>
        <w:rPr>
          <w:rFonts w:ascii="仿宋_GB2312" w:hAnsi="仿宋_GB2312"/>
        </w:rPr>
        <w:t>”</w:t>
      </w:r>
      <w:r>
        <w:rPr>
          <w:rFonts w:ascii="仿宋_GB2312" w:hAnsi="仿宋_GB2312"/>
        </w:rPr>
        <w:t>这类问题，品牌果市场正在从卖产品走向卖可信度。</w:t>
      </w:r>
    </w:p>
    <w:p w14:paraId="3201F198" w14:textId="77777777" w:rsidR="00D167C8" w:rsidRDefault="00B078DF">
      <w:pPr>
        <w:jc w:val="both"/>
      </w:pPr>
      <w:r>
        <w:rPr>
          <w:rFonts w:ascii="仿宋_GB2312" w:hAnsi="仿宋_GB2312"/>
        </w:rPr>
        <w:t>与此同时，礼盒果、电商果、商超定制果、节庆促销果等销售形态不断增多，渠道方对果品检测的要求也不再停留在抽检合格，而是希望在更短时间内得到面向批次管理和对外沟通的结果表达。也就是说，检测市场正在由实验室导向的专业检测，延伸为兼顾管理效率、品牌展示和交易协同的综合性需求。</w:t>
      </w:r>
    </w:p>
    <w:p w14:paraId="0F9E188E" w14:textId="77777777" w:rsidR="00D167C8" w:rsidRDefault="00B078DF">
      <w:pPr>
        <w:pStyle w:val="31"/>
        <w:ind w:firstLine="0"/>
      </w:pPr>
      <w:r>
        <w:rPr>
          <w:rFonts w:ascii="仿宋_GB2312" w:eastAsia="仿宋_GB2312" w:hAnsi="仿宋_GB2312"/>
        </w:rPr>
        <w:t xml:space="preserve">4.1.3 </w:t>
      </w:r>
      <w:r>
        <w:rPr>
          <w:rFonts w:ascii="仿宋_GB2312" w:eastAsia="仿宋_GB2312" w:hAnsi="仿宋_GB2312"/>
        </w:rPr>
        <w:t>检测方式演进趋势</w:t>
      </w:r>
    </w:p>
    <w:p w14:paraId="3F20CC3D" w14:textId="77777777" w:rsidR="00D167C8" w:rsidRDefault="00B078DF">
      <w:pPr>
        <w:jc w:val="both"/>
      </w:pPr>
      <w:r>
        <w:rPr>
          <w:rFonts w:ascii="仿宋_GB2312" w:hAnsi="仿宋_GB2312"/>
        </w:rPr>
        <w:t>当前行业对检测工具的期待正在发生变化。过去更强调</w:t>
      </w:r>
      <w:r>
        <w:rPr>
          <w:rFonts w:ascii="仿宋_GB2312" w:hAnsi="仿宋_GB2312"/>
        </w:rPr>
        <w:t>“</w:t>
      </w:r>
      <w:r>
        <w:rPr>
          <w:rFonts w:ascii="仿宋_GB2312" w:hAnsi="仿宋_GB2312"/>
        </w:rPr>
        <w:t>能不能测出来</w:t>
      </w:r>
      <w:r>
        <w:rPr>
          <w:rFonts w:ascii="仿宋_GB2312" w:hAnsi="仿宋_GB2312"/>
        </w:rPr>
        <w:t>”</w:t>
      </w:r>
      <w:r>
        <w:rPr>
          <w:rFonts w:ascii="仿宋_GB2312" w:hAnsi="仿宋_GB2312"/>
        </w:rPr>
        <w:t>，现在则更强调</w:t>
      </w:r>
      <w:r>
        <w:rPr>
          <w:rFonts w:ascii="仿宋_GB2312" w:hAnsi="仿宋_GB2312"/>
        </w:rPr>
        <w:t>“</w:t>
      </w:r>
      <w:r>
        <w:rPr>
          <w:rFonts w:ascii="仿宋_GB2312" w:hAnsi="仿宋_GB2312"/>
        </w:rPr>
        <w:t>能不能更快测、能不能不破坏样本、能不能沉淀数据、能不能形成直观报告</w:t>
      </w:r>
      <w:r>
        <w:rPr>
          <w:rFonts w:ascii="仿宋_GB2312" w:hAnsi="仿宋_GB2312"/>
        </w:rPr>
        <w:t>”</w:t>
      </w:r>
      <w:r>
        <w:rPr>
          <w:rFonts w:ascii="仿宋_GB2312" w:hAnsi="仿宋_GB2312"/>
        </w:rPr>
        <w:t>。这意味着检测系统的竞争，已经从单一仪器性能，转向</w:t>
      </w:r>
      <w:r>
        <w:rPr>
          <w:rFonts w:ascii="仿宋_GB2312" w:hAnsi="仿宋_GB2312"/>
        </w:rPr>
        <w:t>“</w:t>
      </w:r>
      <w:r>
        <w:rPr>
          <w:rFonts w:ascii="仿宋_GB2312" w:hAnsi="仿宋_GB2312"/>
        </w:rPr>
        <w:t>设备采集</w:t>
      </w:r>
      <w:r>
        <w:rPr>
          <w:rFonts w:ascii="仿宋_GB2312" w:hAnsi="仿宋_GB2312"/>
        </w:rPr>
        <w:t xml:space="preserve"> + </w:t>
      </w:r>
      <w:r>
        <w:rPr>
          <w:rFonts w:ascii="仿宋_GB2312" w:hAnsi="仿宋_GB2312"/>
        </w:rPr>
        <w:t>智能建模</w:t>
      </w:r>
      <w:r>
        <w:rPr>
          <w:rFonts w:ascii="仿宋_GB2312" w:hAnsi="仿宋_GB2312"/>
        </w:rPr>
        <w:t xml:space="preserve"> + </w:t>
      </w:r>
      <w:r>
        <w:rPr>
          <w:rFonts w:ascii="仿宋_GB2312" w:hAnsi="仿宋_GB2312"/>
        </w:rPr>
        <w:t>平台管理</w:t>
      </w:r>
      <w:r>
        <w:rPr>
          <w:rFonts w:ascii="仿宋_GB2312" w:hAnsi="仿宋_GB2312"/>
        </w:rPr>
        <w:t xml:space="preserve"> + </w:t>
      </w:r>
      <w:r>
        <w:rPr>
          <w:rFonts w:ascii="仿宋_GB2312" w:hAnsi="仿宋_GB2312"/>
        </w:rPr>
        <w:t>结果表达</w:t>
      </w:r>
      <w:r>
        <w:rPr>
          <w:rFonts w:ascii="仿宋_GB2312" w:hAnsi="仿宋_GB2312"/>
        </w:rPr>
        <w:t>”</w:t>
      </w:r>
      <w:r>
        <w:rPr>
          <w:rFonts w:ascii="仿宋_GB2312" w:hAnsi="仿宋_GB2312"/>
        </w:rPr>
        <w:t>的系统能力竞争。</w:t>
      </w:r>
    </w:p>
    <w:p w14:paraId="68481307" w14:textId="77777777" w:rsidR="00D167C8" w:rsidRDefault="00B078DF">
      <w:pPr>
        <w:jc w:val="both"/>
      </w:pPr>
      <w:r>
        <w:rPr>
          <w:rFonts w:ascii="仿宋_GB2312" w:hAnsi="仿宋_GB2312"/>
        </w:rPr>
        <w:lastRenderedPageBreak/>
        <w:t>橙源智鉴的市场切口正是在这一演进过程中形成的。项目不追求与传统实验室在绝对精密定量上正面竞争，而是优先占据品牌果品快速识别、产地表达、品质预测和批次留痕这一更贴近业务现场的应用区间。这个切口既能避开重资产实验室竞争，也更符合当前特色农产品数字化转型的现实节奏。</w:t>
      </w:r>
    </w:p>
    <w:p w14:paraId="300EEFB3" w14:textId="77777777" w:rsidR="00D167C8" w:rsidRDefault="00B078DF">
      <w:pPr>
        <w:pStyle w:val="21"/>
        <w:ind w:firstLine="0"/>
      </w:pPr>
      <w:r>
        <w:rPr>
          <w:rFonts w:ascii="楷体_GB2312" w:eastAsia="楷体_GB2312" w:hAnsi="楷体_GB2312"/>
        </w:rPr>
        <w:t xml:space="preserve">4.2 </w:t>
      </w:r>
      <w:r>
        <w:rPr>
          <w:rFonts w:ascii="楷体_GB2312" w:eastAsia="楷体_GB2312" w:hAnsi="楷体_GB2312"/>
        </w:rPr>
        <w:t>行业痛点与需求结构</w:t>
      </w:r>
    </w:p>
    <w:p w14:paraId="480E7F0B" w14:textId="77777777" w:rsidR="00D167C8" w:rsidRDefault="00B078DF">
      <w:pPr>
        <w:pStyle w:val="31"/>
        <w:ind w:firstLine="0"/>
      </w:pPr>
      <w:r>
        <w:rPr>
          <w:rFonts w:ascii="仿宋_GB2312" w:eastAsia="仿宋_GB2312" w:hAnsi="仿宋_GB2312"/>
        </w:rPr>
        <w:t xml:space="preserve">4.2.1 </w:t>
      </w:r>
      <w:r>
        <w:rPr>
          <w:rFonts w:ascii="仿宋_GB2312" w:eastAsia="仿宋_GB2312" w:hAnsi="仿宋_GB2312"/>
        </w:rPr>
        <w:t>传统理化检测周期偏长</w:t>
      </w:r>
    </w:p>
    <w:p w14:paraId="6F2C9ABE" w14:textId="77777777" w:rsidR="00D167C8" w:rsidRDefault="00B078DF">
      <w:pPr>
        <w:jc w:val="both"/>
      </w:pPr>
      <w:r>
        <w:rPr>
          <w:rFonts w:ascii="仿宋_GB2312" w:hAnsi="仿宋_GB2312"/>
        </w:rPr>
        <w:t>在果品检测实践中，传统理化检测能够提供较强的指标依据，但通常依赖抽样、送检、前处理和实验分析，周期相对较长，更适合作为验证与仲裁依据，而不适合承接高频、批量、现场化的快速判断任务。对于分选中心、电商出货、节庆礼盒或采购验收等强调时效的场景，这种流程往往难以满足业务节奏。</w:t>
      </w:r>
    </w:p>
    <w:p w14:paraId="1D394B62" w14:textId="77777777" w:rsidR="00D167C8" w:rsidRDefault="00B078DF">
      <w:pPr>
        <w:pStyle w:val="31"/>
        <w:ind w:firstLine="0"/>
      </w:pPr>
      <w:r>
        <w:rPr>
          <w:rFonts w:ascii="仿宋_GB2312" w:eastAsia="仿宋_GB2312" w:hAnsi="仿宋_GB2312"/>
        </w:rPr>
        <w:t xml:space="preserve">4.2.2 </w:t>
      </w:r>
      <w:r>
        <w:rPr>
          <w:rFonts w:ascii="仿宋_GB2312" w:eastAsia="仿宋_GB2312" w:hAnsi="仿宋_GB2312"/>
        </w:rPr>
        <w:t>人工经验分级标准不一</w:t>
      </w:r>
    </w:p>
    <w:p w14:paraId="3A0DB8DB" w14:textId="77777777" w:rsidR="00D167C8" w:rsidRDefault="00B078DF">
      <w:pPr>
        <w:jc w:val="both"/>
      </w:pPr>
      <w:r>
        <w:rPr>
          <w:rFonts w:ascii="仿宋_GB2312" w:hAnsi="仿宋_GB2312"/>
        </w:rPr>
        <w:t>许多果品场景至今仍高度依赖人工经验进行分级与判断。经验型分级在熟手场景下具备一定效率，但也容易受到人员能力、批次差异、外观误导和执行标准不统一的影响。尤其当果品需要跨地区流通、跨渠道交付时，单纯依赖经验难以形成让合作方、采购方和消费者都能认可的统一表达。</w:t>
      </w:r>
    </w:p>
    <w:p w14:paraId="3B79839F" w14:textId="77777777" w:rsidR="00D167C8" w:rsidRDefault="00B078DF">
      <w:pPr>
        <w:pStyle w:val="31"/>
        <w:ind w:firstLine="0"/>
      </w:pPr>
      <w:r>
        <w:rPr>
          <w:rFonts w:ascii="仿宋_GB2312" w:eastAsia="仿宋_GB2312" w:hAnsi="仿宋_GB2312"/>
        </w:rPr>
        <w:t xml:space="preserve">4.2.3 </w:t>
      </w:r>
      <w:r>
        <w:rPr>
          <w:rFonts w:ascii="仿宋_GB2312" w:eastAsia="仿宋_GB2312" w:hAnsi="仿宋_GB2312"/>
        </w:rPr>
        <w:t>品牌表达与数据留痕不足</w:t>
      </w:r>
    </w:p>
    <w:p w14:paraId="3FBB5157" w14:textId="77777777" w:rsidR="00D167C8" w:rsidRDefault="00B078DF">
      <w:pPr>
        <w:jc w:val="both"/>
      </w:pPr>
      <w:r>
        <w:rPr>
          <w:rFonts w:ascii="仿宋_GB2312" w:hAnsi="仿宋_GB2312"/>
        </w:rPr>
        <w:t>对区域品牌果品而言，最棘手的问题往往不是有没有检测，而是检测结果能否转化为稳定的品牌资产。很多主体做了抽检，却缺少连续样本档案、批次对照数据和可视化表达材料，导致检测只停留在内部证明，难以进一步服务于品牌溢价、渠道沟通和产地公信力建设。</w:t>
      </w:r>
    </w:p>
    <w:p w14:paraId="102C43A3" w14:textId="77777777" w:rsidR="00D167C8" w:rsidRDefault="00B078DF">
      <w:pPr>
        <w:jc w:val="both"/>
      </w:pPr>
      <w:r>
        <w:rPr>
          <w:rFonts w:ascii="仿宋_GB2312" w:hAnsi="仿宋_GB2312"/>
        </w:rPr>
        <w:t>因此，行业真正需要的并不是再增加一份孤立报告，而是形成</w:t>
      </w:r>
      <w:r>
        <w:rPr>
          <w:rFonts w:ascii="仿宋_GB2312" w:hAnsi="仿宋_GB2312"/>
        </w:rPr>
        <w:t>“</w:t>
      </w:r>
      <w:r>
        <w:rPr>
          <w:rFonts w:ascii="仿宋_GB2312" w:hAnsi="仿宋_GB2312"/>
        </w:rPr>
        <w:t>采集更便捷、判断更快速、结果可复核、历史可查询、对外可表达</w:t>
      </w:r>
      <w:r>
        <w:rPr>
          <w:rFonts w:ascii="仿宋_GB2312" w:hAnsi="仿宋_GB2312"/>
        </w:rPr>
        <w:t>”</w:t>
      </w:r>
      <w:r>
        <w:rPr>
          <w:rFonts w:ascii="仿宋_GB2312" w:hAnsi="仿宋_GB2312"/>
        </w:rPr>
        <w:t>的一体化能力结构。橙源智鉴对痛点的回应，正是把传统检测的结果价值进一步延展到管理价值与品牌价值上。</w:t>
      </w:r>
    </w:p>
    <w:p w14:paraId="0D2B6D34" w14:textId="77777777" w:rsidR="00D167C8" w:rsidRDefault="00B078DF">
      <w:pPr>
        <w:pStyle w:val="21"/>
        <w:ind w:firstLine="0"/>
      </w:pPr>
      <w:r>
        <w:rPr>
          <w:rFonts w:ascii="楷体_GB2312" w:eastAsia="楷体_GB2312" w:hAnsi="楷体_GB2312"/>
        </w:rPr>
        <w:t xml:space="preserve">4.3 </w:t>
      </w:r>
      <w:r>
        <w:rPr>
          <w:rFonts w:ascii="楷体_GB2312" w:eastAsia="楷体_GB2312" w:hAnsi="楷体_GB2312"/>
        </w:rPr>
        <w:t>用户分析</w:t>
      </w:r>
    </w:p>
    <w:p w14:paraId="56092514" w14:textId="77777777" w:rsidR="00D167C8" w:rsidRDefault="00B078DF">
      <w:pPr>
        <w:pStyle w:val="31"/>
        <w:ind w:firstLine="0"/>
      </w:pPr>
      <w:r>
        <w:rPr>
          <w:rFonts w:ascii="仿宋_GB2312" w:eastAsia="仿宋_GB2312" w:hAnsi="仿宋_GB2312"/>
        </w:rPr>
        <w:t xml:space="preserve">4.3.1 </w:t>
      </w:r>
      <w:r>
        <w:rPr>
          <w:rFonts w:ascii="仿宋_GB2312" w:eastAsia="仿宋_GB2312" w:hAnsi="仿宋_GB2312"/>
        </w:rPr>
        <w:t>产地端用户</w:t>
      </w:r>
    </w:p>
    <w:p w14:paraId="37E04B28" w14:textId="77777777" w:rsidR="00D167C8" w:rsidRDefault="00B078DF">
      <w:pPr>
        <w:jc w:val="both"/>
      </w:pPr>
      <w:r>
        <w:rPr>
          <w:rFonts w:ascii="仿宋_GB2312" w:hAnsi="仿宋_GB2312"/>
        </w:rPr>
        <w:t>第一类核心用户是果园、合作社、分选中心和初加工主体。这类用户最关心的是效率、稳定性和执行门槛，希望在不显著增加流程负担的前提下，对果品进行基础分</w:t>
      </w:r>
      <w:r>
        <w:rPr>
          <w:rFonts w:ascii="仿宋_GB2312" w:hAnsi="仿宋_GB2312"/>
        </w:rPr>
        <w:lastRenderedPageBreak/>
        <w:t>级、批次判断和异常筛查。对他们来说，平台若能输出更直观的分析结论和批次记录，就能直接服务于采后处理、库存管理和出货决策。</w:t>
      </w:r>
    </w:p>
    <w:p w14:paraId="32AFFDAC" w14:textId="77777777" w:rsidR="00D167C8" w:rsidRDefault="00B078DF">
      <w:pPr>
        <w:pStyle w:val="31"/>
        <w:ind w:firstLine="0"/>
      </w:pPr>
      <w:r>
        <w:rPr>
          <w:rFonts w:ascii="仿宋_GB2312" w:eastAsia="仿宋_GB2312" w:hAnsi="仿宋_GB2312"/>
        </w:rPr>
        <w:t xml:space="preserve">4.3.2 </w:t>
      </w:r>
      <w:r>
        <w:rPr>
          <w:rFonts w:ascii="仿宋_GB2312" w:eastAsia="仿宋_GB2312" w:hAnsi="仿宋_GB2312"/>
        </w:rPr>
        <w:t>渠道端与品牌端用户</w:t>
      </w:r>
    </w:p>
    <w:p w14:paraId="24A3758B" w14:textId="77777777" w:rsidR="00D167C8" w:rsidRDefault="00B078DF">
      <w:pPr>
        <w:jc w:val="both"/>
      </w:pPr>
      <w:r>
        <w:rPr>
          <w:rFonts w:ascii="仿宋_GB2312" w:hAnsi="仿宋_GB2312"/>
        </w:rPr>
        <w:t>第二类核心用户是品牌运营方、电商渠道、商超采购和礼盒定制客户。这类用户不仅关心果品本身好不好，更关心结果能否被客户理解、能否支撑议价、能否降低采购争议。对于他们而言，一套可快速生成分析结论和图文化说明的平台，比单纯的实验室结论更容易转化为交易语言和品牌语言。</w:t>
      </w:r>
    </w:p>
    <w:p w14:paraId="2DE128F8" w14:textId="77777777" w:rsidR="00D167C8" w:rsidRDefault="00B078DF">
      <w:pPr>
        <w:pStyle w:val="31"/>
        <w:ind w:firstLine="0"/>
      </w:pPr>
      <w:r>
        <w:rPr>
          <w:rFonts w:ascii="仿宋_GB2312" w:eastAsia="仿宋_GB2312" w:hAnsi="仿宋_GB2312"/>
        </w:rPr>
        <w:t xml:space="preserve">4.3.3 </w:t>
      </w:r>
      <w:r>
        <w:rPr>
          <w:rFonts w:ascii="仿宋_GB2312" w:eastAsia="仿宋_GB2312" w:hAnsi="仿宋_GB2312"/>
        </w:rPr>
        <w:t>公共服务与科研用户</w:t>
      </w:r>
    </w:p>
    <w:p w14:paraId="31ED72E8" w14:textId="77777777" w:rsidR="00D167C8" w:rsidRDefault="00B078DF">
      <w:pPr>
        <w:jc w:val="both"/>
      </w:pPr>
      <w:r>
        <w:rPr>
          <w:rFonts w:ascii="仿宋_GB2312" w:hAnsi="仿宋_GB2312"/>
        </w:rPr>
        <w:t>第三类用户则可能来自公共服务与科研侧，包括地方监管辅助场景、区域品牌服务机构、高校团队和科研院所。这类用户更看重标准化流程、样本管理能力和后续扩展空间。橙源智鉴如果能够形成较清晰的数据结构、实验规范和平台接口，不仅适合项目展示，也适合作为试点型数字农业应用继续延伸。</w:t>
      </w:r>
    </w:p>
    <w:p w14:paraId="7D5E0CB0" w14:textId="77777777" w:rsidR="00D167C8" w:rsidRDefault="00B078DF">
      <w:pPr>
        <w:pStyle w:val="21"/>
        <w:ind w:firstLine="0"/>
      </w:pPr>
      <w:r>
        <w:rPr>
          <w:rFonts w:ascii="楷体_GB2312" w:eastAsia="楷体_GB2312" w:hAnsi="楷体_GB2312"/>
        </w:rPr>
        <w:t xml:space="preserve">4.4 </w:t>
      </w:r>
      <w:r>
        <w:rPr>
          <w:rFonts w:ascii="楷体_GB2312" w:eastAsia="楷体_GB2312" w:hAnsi="楷体_GB2312"/>
        </w:rPr>
        <w:t>竞争分析</w:t>
      </w:r>
    </w:p>
    <w:p w14:paraId="1C19B70C" w14:textId="77777777" w:rsidR="00D167C8" w:rsidRDefault="00B078DF">
      <w:pPr>
        <w:pStyle w:val="31"/>
        <w:ind w:firstLine="0"/>
      </w:pPr>
      <w:r>
        <w:rPr>
          <w:rFonts w:ascii="仿宋_GB2312" w:eastAsia="仿宋_GB2312" w:hAnsi="仿宋_GB2312"/>
        </w:rPr>
        <w:t xml:space="preserve">4.4.1 </w:t>
      </w:r>
      <w:r>
        <w:rPr>
          <w:rFonts w:ascii="仿宋_GB2312" w:eastAsia="仿宋_GB2312" w:hAnsi="仿宋_GB2312"/>
        </w:rPr>
        <w:t>传统检测机构与实验室方案</w:t>
      </w:r>
    </w:p>
    <w:p w14:paraId="21900B9F" w14:textId="77777777" w:rsidR="00D167C8" w:rsidRDefault="00B078DF">
      <w:pPr>
        <w:jc w:val="both"/>
      </w:pPr>
      <w:r>
        <w:rPr>
          <w:rFonts w:ascii="仿宋_GB2312" w:hAnsi="仿宋_GB2312"/>
        </w:rPr>
        <w:t>传统检测机构、实验室设备和常规理化分析方法在精密检测、标准仲裁和权威性方面具有明显优势，这是橙源智鉴无法也无意在当前阶段替代的部分。它们的核心价值在于给出高可信的专业结论，但短板在于周期长、场景重、现场适应性不足，难以覆盖品牌果品日常管理中的高频判断需求。</w:t>
      </w:r>
    </w:p>
    <w:p w14:paraId="2E1A9872" w14:textId="77777777" w:rsidR="00D167C8" w:rsidRDefault="00B078DF">
      <w:pPr>
        <w:pStyle w:val="31"/>
        <w:ind w:firstLine="0"/>
      </w:pPr>
      <w:r>
        <w:rPr>
          <w:rFonts w:ascii="仿宋_GB2312" w:eastAsia="仿宋_GB2312" w:hAnsi="仿宋_GB2312"/>
        </w:rPr>
        <w:t xml:space="preserve">4.4.2 </w:t>
      </w:r>
      <w:r>
        <w:rPr>
          <w:rFonts w:ascii="仿宋_GB2312" w:eastAsia="仿宋_GB2312" w:hAnsi="仿宋_GB2312"/>
        </w:rPr>
        <w:t>通用视觉设备与单点光谱设备</w:t>
      </w:r>
    </w:p>
    <w:p w14:paraId="4D572468" w14:textId="77777777" w:rsidR="00D167C8" w:rsidRDefault="00B078DF">
      <w:pPr>
        <w:jc w:val="both"/>
      </w:pPr>
      <w:r>
        <w:rPr>
          <w:rFonts w:ascii="仿宋_GB2312" w:hAnsi="仿宋_GB2312"/>
        </w:rPr>
        <w:t>市场上另一类方案来自通用机器视觉、分选装备和部分单点光谱设备。这类方案通常在外观缺陷检测、颜色判断、尺寸分选等方面具有较成熟的应用基础，但对于内部品质、产地差异和多指标联合表达的支撑相对有限。尤其在需要把</w:t>
      </w:r>
      <w:r>
        <w:rPr>
          <w:rFonts w:ascii="仿宋_GB2312" w:hAnsi="仿宋_GB2312"/>
        </w:rPr>
        <w:t>“</w:t>
      </w:r>
      <w:r>
        <w:rPr>
          <w:rFonts w:ascii="仿宋_GB2312" w:hAnsi="仿宋_GB2312"/>
        </w:rPr>
        <w:t>看得见的外观</w:t>
      </w:r>
      <w:r>
        <w:rPr>
          <w:rFonts w:ascii="仿宋_GB2312" w:hAnsi="仿宋_GB2312"/>
        </w:rPr>
        <w:t>”</w:t>
      </w:r>
      <w:r>
        <w:rPr>
          <w:rFonts w:ascii="仿宋_GB2312" w:hAnsi="仿宋_GB2312"/>
        </w:rPr>
        <w:t>和</w:t>
      </w:r>
      <w:r>
        <w:rPr>
          <w:rFonts w:ascii="仿宋_GB2312" w:hAnsi="仿宋_GB2312"/>
        </w:rPr>
        <w:t>“</w:t>
      </w:r>
      <w:r>
        <w:rPr>
          <w:rFonts w:ascii="仿宋_GB2312" w:hAnsi="仿宋_GB2312"/>
        </w:rPr>
        <w:t>看不见的内部信息</w:t>
      </w:r>
      <w:r>
        <w:rPr>
          <w:rFonts w:ascii="仿宋_GB2312" w:hAnsi="仿宋_GB2312"/>
        </w:rPr>
        <w:t>”</w:t>
      </w:r>
      <w:r>
        <w:rPr>
          <w:rFonts w:ascii="仿宋_GB2312" w:hAnsi="仿宋_GB2312"/>
        </w:rPr>
        <w:t>结合起来时，单一设备方案往往很难完整承接需求。</w:t>
      </w:r>
    </w:p>
    <w:p w14:paraId="231C7F34" w14:textId="77777777" w:rsidR="00D167C8" w:rsidRDefault="00B078DF">
      <w:pPr>
        <w:pStyle w:val="31"/>
        <w:ind w:firstLine="0"/>
      </w:pPr>
      <w:r>
        <w:rPr>
          <w:rFonts w:ascii="仿宋_GB2312" w:eastAsia="仿宋_GB2312" w:hAnsi="仿宋_GB2312"/>
        </w:rPr>
        <w:t xml:space="preserve">4.4.3 </w:t>
      </w:r>
      <w:r>
        <w:rPr>
          <w:rFonts w:ascii="仿宋_GB2312" w:eastAsia="仿宋_GB2312" w:hAnsi="仿宋_GB2312"/>
        </w:rPr>
        <w:t>项目差异化优势与阶段性壁垒</w:t>
      </w:r>
    </w:p>
    <w:p w14:paraId="1748A411" w14:textId="77777777" w:rsidR="00D167C8" w:rsidRDefault="00B078DF">
      <w:pPr>
        <w:jc w:val="both"/>
      </w:pPr>
      <w:r>
        <w:rPr>
          <w:rFonts w:ascii="仿宋_GB2312" w:hAnsi="仿宋_GB2312"/>
        </w:rPr>
        <w:t>橙源智鉴的差异化，不在于单一硬件参数领先，而在于把高光谱采集、产地分类、品质回归、可解释分析和页面化展示放在同一个产品逻辑里。对品牌果品场景来说，</w:t>
      </w:r>
      <w:r>
        <w:rPr>
          <w:rFonts w:ascii="仿宋_GB2312" w:hAnsi="仿宋_GB2312"/>
        </w:rPr>
        <w:lastRenderedPageBreak/>
        <w:t>这意味着平台既能服务内部判断，也能支持外部表达，兼顾</w:t>
      </w:r>
      <w:r>
        <w:rPr>
          <w:rFonts w:ascii="仿宋_GB2312" w:hAnsi="仿宋_GB2312"/>
        </w:rPr>
        <w:t>“</w:t>
      </w:r>
      <w:r>
        <w:rPr>
          <w:rFonts w:ascii="仿宋_GB2312" w:hAnsi="仿宋_GB2312"/>
        </w:rPr>
        <w:t>能分析</w:t>
      </w:r>
      <w:r>
        <w:rPr>
          <w:rFonts w:ascii="仿宋_GB2312" w:hAnsi="仿宋_GB2312"/>
        </w:rPr>
        <w:t>”</w:t>
      </w:r>
      <w:r>
        <w:rPr>
          <w:rFonts w:ascii="仿宋_GB2312" w:hAnsi="仿宋_GB2312"/>
        </w:rPr>
        <w:t>和</w:t>
      </w:r>
      <w:r>
        <w:rPr>
          <w:rFonts w:ascii="仿宋_GB2312" w:hAnsi="仿宋_GB2312"/>
        </w:rPr>
        <w:t>“</w:t>
      </w:r>
      <w:r>
        <w:rPr>
          <w:rFonts w:ascii="仿宋_GB2312" w:hAnsi="仿宋_GB2312"/>
        </w:rPr>
        <w:t>能讲清楚</w:t>
      </w:r>
      <w:r>
        <w:rPr>
          <w:rFonts w:ascii="仿宋_GB2312" w:hAnsi="仿宋_GB2312"/>
        </w:rPr>
        <w:t>”</w:t>
      </w:r>
      <w:r>
        <w:rPr>
          <w:rFonts w:ascii="仿宋_GB2312" w:hAnsi="仿宋_GB2312"/>
        </w:rPr>
        <w:t>两种能力。</w:t>
      </w:r>
    </w:p>
    <w:p w14:paraId="58CAE02A" w14:textId="77777777" w:rsidR="00D167C8" w:rsidRDefault="00B078DF">
      <w:pPr>
        <w:jc w:val="both"/>
      </w:pPr>
      <w:r>
        <w:rPr>
          <w:rFonts w:ascii="仿宋_GB2312" w:hAnsi="仿宋_GB2312"/>
        </w:rPr>
        <w:t>从阶段性壁垒看，项目当前更值得强调的是场景聚焦能力、样本沉淀能力和产品表达能力。随着样本规模扩大、区域案例增多和流程逐步标准化，项目有机会形成</w:t>
      </w:r>
      <w:r>
        <w:rPr>
          <w:rFonts w:ascii="仿宋_GB2312" w:hAnsi="仿宋_GB2312"/>
        </w:rPr>
        <w:t>“</w:t>
      </w:r>
      <w:r>
        <w:rPr>
          <w:rFonts w:ascii="仿宋_GB2312" w:hAnsi="仿宋_GB2312"/>
        </w:rPr>
        <w:t>数据越积越多、模型越训越稳、场景越做越深</w:t>
      </w:r>
      <w:r>
        <w:rPr>
          <w:rFonts w:ascii="仿宋_GB2312" w:hAnsi="仿宋_GB2312"/>
        </w:rPr>
        <w:t>”</w:t>
      </w:r>
      <w:r>
        <w:rPr>
          <w:rFonts w:ascii="仿宋_GB2312" w:hAnsi="仿宋_GB2312"/>
        </w:rPr>
        <w:t>的积累式优势，这也是高校团队项目在早期最现实、最可持续的竞争路径。</w:t>
      </w:r>
    </w:p>
    <w:p w14:paraId="7A0689BD" w14:textId="77777777" w:rsidR="00D167C8" w:rsidRDefault="00D167C8">
      <w:pPr>
        <w:sectPr w:rsidR="00D167C8">
          <w:pgSz w:w="11906" w:h="16838"/>
          <w:pgMar w:top="1417" w:right="1417" w:bottom="1417" w:left="1417" w:header="850" w:footer="992" w:gutter="0"/>
          <w:cols w:space="720"/>
          <w:docGrid w:linePitch="360"/>
        </w:sectPr>
      </w:pPr>
    </w:p>
    <w:p w14:paraId="67DF19BC" w14:textId="77777777" w:rsidR="00D167C8" w:rsidRDefault="00B078DF">
      <w:pPr>
        <w:pStyle w:val="1"/>
        <w:ind w:firstLine="0"/>
      </w:pPr>
      <w:r>
        <w:rPr>
          <w:rFonts w:ascii="黑体" w:eastAsia="黑体" w:hAnsi="黑体"/>
        </w:rPr>
        <w:lastRenderedPageBreak/>
        <w:t>第五章</w:t>
      </w:r>
      <w:r>
        <w:rPr>
          <w:rFonts w:ascii="黑体" w:eastAsia="黑体" w:hAnsi="黑体"/>
        </w:rPr>
        <w:t xml:space="preserve"> </w:t>
      </w:r>
      <w:r>
        <w:rPr>
          <w:rFonts w:ascii="黑体" w:eastAsia="黑体" w:hAnsi="黑体"/>
        </w:rPr>
        <w:t>技术策略</w:t>
      </w:r>
    </w:p>
    <w:p w14:paraId="74EB27B9" w14:textId="77777777" w:rsidR="00D167C8" w:rsidRDefault="00B078DF">
      <w:pPr>
        <w:pStyle w:val="21"/>
        <w:ind w:firstLine="0"/>
      </w:pPr>
      <w:r>
        <w:rPr>
          <w:rFonts w:ascii="楷体_GB2312" w:eastAsia="楷体_GB2312" w:hAnsi="楷体_GB2312"/>
        </w:rPr>
        <w:t xml:space="preserve">5.1 </w:t>
      </w:r>
      <w:r>
        <w:rPr>
          <w:rFonts w:ascii="楷体_GB2312" w:eastAsia="楷体_GB2312" w:hAnsi="楷体_GB2312"/>
        </w:rPr>
        <w:t>总体技术路线</w:t>
      </w:r>
    </w:p>
    <w:p w14:paraId="7C5FC9A8" w14:textId="77777777" w:rsidR="00D167C8" w:rsidRDefault="00B078DF">
      <w:pPr>
        <w:pStyle w:val="31"/>
        <w:ind w:firstLine="0"/>
      </w:pPr>
      <w:r>
        <w:rPr>
          <w:rFonts w:ascii="仿宋_GB2312" w:eastAsia="仿宋_GB2312" w:hAnsi="仿宋_GB2312"/>
        </w:rPr>
        <w:t xml:space="preserve">5.1.1 </w:t>
      </w:r>
      <w:r>
        <w:rPr>
          <w:rFonts w:ascii="仿宋_GB2312" w:eastAsia="仿宋_GB2312" w:hAnsi="仿宋_GB2312"/>
        </w:rPr>
        <w:t>样本采集与标签体系</w:t>
      </w:r>
    </w:p>
    <w:p w14:paraId="01C83024" w14:textId="77777777" w:rsidR="00D167C8" w:rsidRDefault="00B078DF">
      <w:pPr>
        <w:jc w:val="both"/>
      </w:pPr>
      <w:r>
        <w:rPr>
          <w:rFonts w:ascii="仿宋_GB2312" w:hAnsi="仿宋_GB2312"/>
        </w:rPr>
        <w:t>橙源智鉴的技术路线，应当从样本体系而不是从模型口号出发。项目面向的是产地识别与品质预测双任务，因此样本采集阶段就需要同步记录产地、批次、成熟度、采后时间、检测日期以及糖度（</w:t>
      </w:r>
      <w:r>
        <w:rPr>
          <w:rFonts w:ascii="仿宋_GB2312" w:hAnsi="仿宋_GB2312"/>
        </w:rPr>
        <w:t>SSC</w:t>
      </w:r>
      <w:r>
        <w:rPr>
          <w:rFonts w:ascii="仿宋_GB2312" w:hAnsi="仿宋_GB2312"/>
        </w:rPr>
        <w:t>）、酸度（</w:t>
      </w:r>
      <w:r>
        <w:rPr>
          <w:rFonts w:ascii="仿宋_GB2312" w:hAnsi="仿宋_GB2312"/>
        </w:rPr>
        <w:t>TA</w:t>
      </w:r>
      <w:r>
        <w:rPr>
          <w:rFonts w:ascii="仿宋_GB2312" w:hAnsi="仿宋_GB2312"/>
        </w:rPr>
        <w:t>）、糖酸比、维生素</w:t>
      </w:r>
      <w:r>
        <w:rPr>
          <w:rFonts w:ascii="仿宋_GB2312" w:hAnsi="仿宋_GB2312"/>
        </w:rPr>
        <w:t>C</w:t>
      </w:r>
      <w:r>
        <w:rPr>
          <w:rFonts w:ascii="仿宋_GB2312" w:hAnsi="仿宋_GB2312"/>
        </w:rPr>
        <w:t>等理化标签，尽量减少后期因标签缺失带来的建模偏差。</w:t>
      </w:r>
    </w:p>
    <w:p w14:paraId="77EB7D29" w14:textId="77777777" w:rsidR="00D167C8" w:rsidRDefault="00B078DF">
      <w:pPr>
        <w:jc w:val="both"/>
      </w:pPr>
      <w:r>
        <w:rPr>
          <w:rFonts w:ascii="仿宋_GB2312" w:hAnsi="仿宋_GB2312"/>
        </w:rPr>
        <w:t>结合当前项目基础来看，系统已经沉淀了</w:t>
      </w:r>
      <w:r>
        <w:rPr>
          <w:rFonts w:ascii="仿宋_GB2312" w:hAnsi="仿宋_GB2312"/>
        </w:rPr>
        <w:t xml:space="preserve"> `mockData.json` </w:t>
      </w:r>
      <w:r>
        <w:rPr>
          <w:rFonts w:ascii="仿宋_GB2312" w:hAnsi="仿宋_GB2312"/>
        </w:rPr>
        <w:t>形式的样例字段，并具备澄迈、琼中等样本曲线展示与指标展示逻辑。这说明项目并不是停留在概念层，而是已经形成了数据组织雏形。下一步更关键的工作，是把样例数据进一步扩展为可用于训练、验证和复核的标准化样本库。</w:t>
      </w:r>
    </w:p>
    <w:p w14:paraId="202D94EC" w14:textId="77777777" w:rsidR="00D167C8" w:rsidRDefault="00B078DF">
      <w:pPr>
        <w:pStyle w:val="31"/>
        <w:ind w:firstLine="0"/>
      </w:pPr>
      <w:r>
        <w:rPr>
          <w:rFonts w:ascii="仿宋_GB2312" w:eastAsia="仿宋_GB2312" w:hAnsi="仿宋_GB2312"/>
        </w:rPr>
        <w:t xml:space="preserve">5.1.2 </w:t>
      </w:r>
      <w:r>
        <w:rPr>
          <w:rFonts w:ascii="仿宋_GB2312" w:eastAsia="仿宋_GB2312" w:hAnsi="仿宋_GB2312"/>
        </w:rPr>
        <w:t>数据处理与多任务建模</w:t>
      </w:r>
    </w:p>
    <w:p w14:paraId="0FB6D211" w14:textId="77777777" w:rsidR="00D167C8" w:rsidRDefault="00B078DF">
      <w:pPr>
        <w:jc w:val="both"/>
      </w:pPr>
      <w:r>
        <w:rPr>
          <w:rFonts w:ascii="仿宋_GB2312" w:hAnsi="仿宋_GB2312"/>
        </w:rPr>
        <w:t>在数据进入模型前，需要围绕去噪、归一化、波段筛选和标签对齐建立稳定流程。高光谱数据天然维度较高，若直接全波段建模，容易出现冗余信息过多、训练成本偏高和模型可迁移性不足的问题。因此，项目更适合采用</w:t>
      </w:r>
      <w:r>
        <w:rPr>
          <w:rFonts w:ascii="仿宋_GB2312" w:hAnsi="仿宋_GB2312"/>
        </w:rPr>
        <w:t>“</w:t>
      </w:r>
      <w:r>
        <w:rPr>
          <w:rFonts w:ascii="仿宋_GB2312" w:hAnsi="仿宋_GB2312"/>
        </w:rPr>
        <w:t>预处理</w:t>
      </w:r>
      <w:r>
        <w:rPr>
          <w:rFonts w:ascii="仿宋_GB2312" w:hAnsi="仿宋_GB2312"/>
        </w:rPr>
        <w:t xml:space="preserve"> + </w:t>
      </w:r>
      <w:r>
        <w:rPr>
          <w:rFonts w:ascii="仿宋_GB2312" w:hAnsi="仿宋_GB2312"/>
        </w:rPr>
        <w:t>特征提取</w:t>
      </w:r>
      <w:r>
        <w:rPr>
          <w:rFonts w:ascii="仿宋_GB2312" w:hAnsi="仿宋_GB2312"/>
        </w:rPr>
        <w:t xml:space="preserve"> + </w:t>
      </w:r>
      <w:r>
        <w:rPr>
          <w:rFonts w:ascii="仿宋_GB2312" w:hAnsi="仿宋_GB2312"/>
        </w:rPr>
        <w:t>分类</w:t>
      </w:r>
      <w:r>
        <w:rPr>
          <w:rFonts w:ascii="仿宋_GB2312" w:hAnsi="仿宋_GB2312"/>
        </w:rPr>
        <w:t>/</w:t>
      </w:r>
      <w:r>
        <w:rPr>
          <w:rFonts w:ascii="仿宋_GB2312" w:hAnsi="仿宋_GB2312"/>
        </w:rPr>
        <w:t>回归并行建模</w:t>
      </w:r>
      <w:r>
        <w:rPr>
          <w:rFonts w:ascii="仿宋_GB2312" w:hAnsi="仿宋_GB2312"/>
        </w:rPr>
        <w:t>”</w:t>
      </w:r>
      <w:r>
        <w:rPr>
          <w:rFonts w:ascii="仿宋_GB2312" w:hAnsi="仿宋_GB2312"/>
        </w:rPr>
        <w:t>的路线，把产地识别与品质预测分别优化、再统一输出。</w:t>
      </w:r>
    </w:p>
    <w:p w14:paraId="73A58FB8" w14:textId="77777777" w:rsidR="00D167C8" w:rsidRDefault="00B078DF">
      <w:pPr>
        <w:jc w:val="both"/>
      </w:pPr>
      <w:r>
        <w:rPr>
          <w:rFonts w:ascii="仿宋_GB2312" w:hAnsi="仿宋_GB2312"/>
        </w:rPr>
        <w:t>具体而言，产地识别任务可重点关注类别边界与跨批次稳定性，品质预测任务则更关注回归误差、可解释性和区间波动。双任务并行的技术路径能够让平台既回答</w:t>
      </w:r>
      <w:r>
        <w:rPr>
          <w:rFonts w:ascii="仿宋_GB2312" w:hAnsi="仿宋_GB2312"/>
        </w:rPr>
        <w:t>“</w:t>
      </w:r>
      <w:r>
        <w:rPr>
          <w:rFonts w:ascii="仿宋_GB2312" w:hAnsi="仿宋_GB2312"/>
        </w:rPr>
        <w:t>这批果子大概率来自哪里</w:t>
      </w:r>
      <w:r>
        <w:rPr>
          <w:rFonts w:ascii="仿宋_GB2312" w:hAnsi="仿宋_GB2312"/>
        </w:rPr>
        <w:t>”</w:t>
      </w:r>
      <w:r>
        <w:rPr>
          <w:rFonts w:ascii="仿宋_GB2312" w:hAnsi="仿宋_GB2312"/>
        </w:rPr>
        <w:t>，也回答</w:t>
      </w:r>
      <w:r>
        <w:rPr>
          <w:rFonts w:ascii="仿宋_GB2312" w:hAnsi="仿宋_GB2312"/>
        </w:rPr>
        <w:t>“</w:t>
      </w:r>
      <w:r>
        <w:rPr>
          <w:rFonts w:ascii="仿宋_GB2312" w:hAnsi="仿宋_GB2312"/>
        </w:rPr>
        <w:t>这批果子的核心品质指标大致处于什么水平</w:t>
      </w:r>
      <w:r>
        <w:rPr>
          <w:rFonts w:ascii="仿宋_GB2312" w:hAnsi="仿宋_GB2312"/>
        </w:rPr>
        <w:t>”</w:t>
      </w:r>
      <w:r>
        <w:rPr>
          <w:rFonts w:ascii="仿宋_GB2312" w:hAnsi="仿宋_GB2312"/>
        </w:rPr>
        <w:t>，从而更贴近真实业务需要。</w:t>
      </w:r>
    </w:p>
    <w:p w14:paraId="318772DE" w14:textId="77777777" w:rsidR="00D167C8" w:rsidRDefault="00B078DF">
      <w:pPr>
        <w:pStyle w:val="31"/>
        <w:ind w:firstLine="0"/>
      </w:pPr>
      <w:r>
        <w:rPr>
          <w:rFonts w:ascii="仿宋_GB2312" w:eastAsia="仿宋_GB2312" w:hAnsi="仿宋_GB2312"/>
        </w:rPr>
        <w:t xml:space="preserve">5.1.3 </w:t>
      </w:r>
      <w:r>
        <w:rPr>
          <w:rFonts w:ascii="仿宋_GB2312" w:eastAsia="仿宋_GB2312" w:hAnsi="仿宋_GB2312"/>
        </w:rPr>
        <w:t>平台集成与结果输出</w:t>
      </w:r>
    </w:p>
    <w:p w14:paraId="344E6D37" w14:textId="77777777" w:rsidR="00D167C8" w:rsidRDefault="00B078DF">
      <w:pPr>
        <w:jc w:val="both"/>
      </w:pPr>
      <w:r>
        <w:rPr>
          <w:rFonts w:ascii="仿宋_GB2312" w:hAnsi="仿宋_GB2312"/>
        </w:rPr>
        <w:t>技术路线的最后一环不是停在模型分数，而是停在可被使用的产品结果。当前项目已完成首页、可视化大屏、智能样本分析、模型与可解释</w:t>
      </w:r>
      <w:r>
        <w:rPr>
          <w:rFonts w:ascii="仿宋_GB2312" w:hAnsi="仿宋_GB2312"/>
        </w:rPr>
        <w:t>AI</w:t>
      </w:r>
      <w:r>
        <w:rPr>
          <w:rFonts w:ascii="仿宋_GB2312" w:hAnsi="仿宋_GB2312"/>
        </w:rPr>
        <w:t>、历史记录等页面原型，说明平台层已经具备承接分析结果的载体。后续技术建设应继续沿着</w:t>
      </w:r>
      <w:r>
        <w:rPr>
          <w:rFonts w:ascii="仿宋_GB2312" w:hAnsi="仿宋_GB2312"/>
        </w:rPr>
        <w:t>“</w:t>
      </w:r>
      <w:r>
        <w:rPr>
          <w:rFonts w:ascii="仿宋_GB2312" w:hAnsi="仿宋_GB2312"/>
        </w:rPr>
        <w:t>模型推理结果进入页面呈现，页面再生成报告表达</w:t>
      </w:r>
      <w:r>
        <w:rPr>
          <w:rFonts w:ascii="仿宋_GB2312" w:hAnsi="仿宋_GB2312"/>
        </w:rPr>
        <w:t>”</w:t>
      </w:r>
      <w:r>
        <w:rPr>
          <w:rFonts w:ascii="仿宋_GB2312" w:hAnsi="仿宋_GB2312"/>
        </w:rPr>
        <w:t>的闭环推进，而不是把算法与产品割裂开来。</w:t>
      </w:r>
    </w:p>
    <w:p w14:paraId="3FC0A428" w14:textId="77777777" w:rsidR="00D167C8" w:rsidRDefault="00B078DF">
      <w:pPr>
        <w:jc w:val="both"/>
      </w:pPr>
      <w:r>
        <w:rPr>
          <w:rFonts w:ascii="仿宋_GB2312" w:hAnsi="仿宋_GB2312"/>
        </w:rPr>
        <w:lastRenderedPageBreak/>
        <w:t>换句话说，第五章所讨论的技术路线，本质上不是单独做一套实验，而是要把数据采集、模型训练、页面交互、历史留痕和图文化报告连成一条完整链路。只有这样，技术优势才能真正转化为可展示、可试点、可合作的项目能力。</w:t>
      </w:r>
    </w:p>
    <w:p w14:paraId="5C666FD1" w14:textId="77777777" w:rsidR="00D167C8" w:rsidRDefault="00B078DF">
      <w:pPr>
        <w:pStyle w:val="21"/>
        <w:ind w:firstLine="0"/>
      </w:pPr>
      <w:r>
        <w:rPr>
          <w:rFonts w:ascii="楷体_GB2312" w:eastAsia="楷体_GB2312" w:hAnsi="楷体_GB2312"/>
        </w:rPr>
        <w:t xml:space="preserve">5.2 </w:t>
      </w:r>
      <w:r>
        <w:rPr>
          <w:rFonts w:ascii="楷体_GB2312" w:eastAsia="楷体_GB2312" w:hAnsi="楷体_GB2312"/>
        </w:rPr>
        <w:t>实验设计与标准化流程</w:t>
      </w:r>
    </w:p>
    <w:p w14:paraId="60DC843C" w14:textId="77777777" w:rsidR="00D167C8" w:rsidRDefault="00B078DF">
      <w:pPr>
        <w:pStyle w:val="31"/>
        <w:ind w:firstLine="0"/>
      </w:pPr>
      <w:r>
        <w:rPr>
          <w:rFonts w:ascii="仿宋_GB2312" w:eastAsia="仿宋_GB2312" w:hAnsi="仿宋_GB2312"/>
        </w:rPr>
        <w:t xml:space="preserve">5.2.1 </w:t>
      </w:r>
      <w:r>
        <w:rPr>
          <w:rFonts w:ascii="仿宋_GB2312" w:eastAsia="仿宋_GB2312" w:hAnsi="仿宋_GB2312"/>
        </w:rPr>
        <w:t>样本分层设计</w:t>
      </w:r>
    </w:p>
    <w:p w14:paraId="06C9CD70" w14:textId="77777777" w:rsidR="00D167C8" w:rsidRDefault="00B078DF">
      <w:pPr>
        <w:jc w:val="both"/>
      </w:pPr>
      <w:r>
        <w:rPr>
          <w:rFonts w:ascii="仿宋_GB2312" w:hAnsi="仿宋_GB2312"/>
        </w:rPr>
        <w:t>实验设计首先要解决样本代表性问题。对于橙类项目而言，至少应围绕不同产地、不同批次、不同成熟度和不同品质区间进行分层采样，避免样本只集中于某一时间段或某一基地，导致模型学到的只是局部特征。若条件允许，还应把同一产地的不同采后天数和不同储运条件纳入样本设计，以增强模型面向真实业务场景的适应性。</w:t>
      </w:r>
    </w:p>
    <w:p w14:paraId="06DAFAC9" w14:textId="77777777" w:rsidR="00D167C8" w:rsidRDefault="00B078DF">
      <w:pPr>
        <w:pStyle w:val="31"/>
        <w:ind w:firstLine="0"/>
      </w:pPr>
      <w:r>
        <w:rPr>
          <w:rFonts w:ascii="仿宋_GB2312" w:eastAsia="仿宋_GB2312" w:hAnsi="仿宋_GB2312"/>
        </w:rPr>
        <w:t xml:space="preserve">5.2.2 </w:t>
      </w:r>
      <w:r>
        <w:rPr>
          <w:rFonts w:ascii="仿宋_GB2312" w:eastAsia="仿宋_GB2312" w:hAnsi="仿宋_GB2312"/>
        </w:rPr>
        <w:t>采集环境与流程规范</w:t>
      </w:r>
    </w:p>
    <w:p w14:paraId="19D3B43C" w14:textId="77777777" w:rsidR="00D167C8" w:rsidRDefault="00B078DF">
      <w:pPr>
        <w:jc w:val="both"/>
      </w:pPr>
      <w:r>
        <w:rPr>
          <w:rFonts w:ascii="仿宋_GB2312" w:hAnsi="仿宋_GB2312"/>
        </w:rPr>
        <w:t>在采集流程上，应尽量固定光照、距离、角度、背景和编号规则，保证每个样本都能回溯到对应的理化结果与采样信息。对于高光谱任务来说，采集条件的一致性几乎直接决定后续建模质量。项目当前可先从小规模标准化采集做起，把样本编号、图像命名、理化检测记录和页面录入字段统一，再逐步扩大样本规模。</w:t>
      </w:r>
    </w:p>
    <w:p w14:paraId="69B612A6" w14:textId="77777777" w:rsidR="00D167C8" w:rsidRDefault="00B078DF">
      <w:pPr>
        <w:pStyle w:val="31"/>
        <w:ind w:firstLine="0"/>
      </w:pPr>
      <w:r>
        <w:rPr>
          <w:rFonts w:ascii="仿宋_GB2312" w:eastAsia="仿宋_GB2312" w:hAnsi="仿宋_GB2312"/>
        </w:rPr>
        <w:t xml:space="preserve">5.2.3 </w:t>
      </w:r>
      <w:r>
        <w:rPr>
          <w:rFonts w:ascii="仿宋_GB2312" w:eastAsia="仿宋_GB2312" w:hAnsi="仿宋_GB2312"/>
        </w:rPr>
        <w:t>训练验证与迭代机制</w:t>
      </w:r>
    </w:p>
    <w:p w14:paraId="08F654A2" w14:textId="77777777" w:rsidR="00D167C8" w:rsidRDefault="00B078DF">
      <w:pPr>
        <w:jc w:val="both"/>
      </w:pPr>
      <w:r>
        <w:rPr>
          <w:rFonts w:ascii="仿宋_GB2312" w:hAnsi="仿宋_GB2312"/>
        </w:rPr>
        <w:t>标准化流程还应覆盖训练验证机制。早期阶段可按训练集、验证集、测试集进行基础划分，同时尽量保留跨批次样本用于盲测，避免模型只在同批次数据上表现较好。每一轮模型更新后，都应记录数据版本、特征处理方式、评价指标和异常样本情况，逐步建立起可复现、可比较的研发台账，而不是依赖一次性的最好结果。</w:t>
      </w:r>
    </w:p>
    <w:p w14:paraId="6D1974A9" w14:textId="77777777" w:rsidR="00D167C8" w:rsidRDefault="00B078DF">
      <w:pPr>
        <w:pStyle w:val="21"/>
        <w:ind w:firstLine="0"/>
      </w:pPr>
      <w:r>
        <w:rPr>
          <w:rFonts w:ascii="楷体_GB2312" w:eastAsia="楷体_GB2312" w:hAnsi="楷体_GB2312"/>
        </w:rPr>
        <w:t xml:space="preserve">5.3 </w:t>
      </w:r>
      <w:r>
        <w:rPr>
          <w:rFonts w:ascii="楷体_GB2312" w:eastAsia="楷体_GB2312" w:hAnsi="楷体_GB2312"/>
        </w:rPr>
        <w:t>核心算法与模型策略</w:t>
      </w:r>
    </w:p>
    <w:p w14:paraId="049D5EE0" w14:textId="77777777" w:rsidR="00D167C8" w:rsidRDefault="00B078DF">
      <w:pPr>
        <w:pStyle w:val="31"/>
        <w:ind w:firstLine="0"/>
      </w:pPr>
      <w:r>
        <w:rPr>
          <w:rFonts w:ascii="仿宋_GB2312" w:eastAsia="仿宋_GB2312" w:hAnsi="仿宋_GB2312"/>
        </w:rPr>
        <w:t xml:space="preserve">5.3.1 </w:t>
      </w:r>
      <w:r>
        <w:rPr>
          <w:rFonts w:ascii="仿宋_GB2312" w:eastAsia="仿宋_GB2312" w:hAnsi="仿宋_GB2312"/>
        </w:rPr>
        <w:t>产地分类模型路径</w:t>
      </w:r>
    </w:p>
    <w:p w14:paraId="244D6502" w14:textId="77777777" w:rsidR="00D167C8" w:rsidRDefault="00B078DF">
      <w:pPr>
        <w:jc w:val="both"/>
      </w:pPr>
      <w:r>
        <w:rPr>
          <w:rFonts w:ascii="仿宋_GB2312" w:hAnsi="仿宋_GB2312"/>
        </w:rPr>
        <w:t>从当前项目原型可以看出，团队已经围绕</w:t>
      </w:r>
      <w:r>
        <w:rPr>
          <w:rFonts w:ascii="仿宋_GB2312" w:hAnsi="仿宋_GB2312"/>
        </w:rPr>
        <w:t xml:space="preserve"> 1D-CNN</w:t>
      </w:r>
      <w:r>
        <w:rPr>
          <w:rFonts w:ascii="仿宋_GB2312" w:hAnsi="仿宋_GB2312"/>
        </w:rPr>
        <w:t>、</w:t>
      </w:r>
      <w:r>
        <w:rPr>
          <w:rFonts w:ascii="仿宋_GB2312" w:hAnsi="仿宋_GB2312"/>
        </w:rPr>
        <w:t>SVM</w:t>
      </w:r>
      <w:r>
        <w:rPr>
          <w:rFonts w:ascii="仿宋_GB2312" w:hAnsi="仿宋_GB2312"/>
        </w:rPr>
        <w:t>、</w:t>
      </w:r>
      <w:r>
        <w:rPr>
          <w:rFonts w:ascii="仿宋_GB2312" w:hAnsi="仿宋_GB2312"/>
        </w:rPr>
        <w:t>PLS-DA</w:t>
      </w:r>
      <w:r>
        <w:rPr>
          <w:rFonts w:ascii="仿宋_GB2312" w:hAnsi="仿宋_GB2312"/>
        </w:rPr>
        <w:t>、随机森林等分类路径建立了对比展示思路。这一设计是合理的，因为产地识别既需要考虑传统小样本模型的稳定性，也需要考虑深度模型在复杂特征提取上的潜力。正式研发时，可先以可解释性较强、对小样本更友好的基线模型建立参照，再逐步引入</w:t>
      </w:r>
      <w:r>
        <w:rPr>
          <w:rFonts w:ascii="仿宋_GB2312" w:hAnsi="仿宋_GB2312"/>
        </w:rPr>
        <w:t xml:space="preserve"> 1D-CNN </w:t>
      </w:r>
      <w:r>
        <w:rPr>
          <w:rFonts w:ascii="仿宋_GB2312" w:hAnsi="仿宋_GB2312"/>
        </w:rPr>
        <w:t>等模型提升分类能力。</w:t>
      </w:r>
    </w:p>
    <w:p w14:paraId="4828C8F4" w14:textId="77777777" w:rsidR="00D167C8" w:rsidRDefault="00B078DF">
      <w:pPr>
        <w:pStyle w:val="31"/>
        <w:ind w:firstLine="0"/>
      </w:pPr>
      <w:r>
        <w:rPr>
          <w:rFonts w:ascii="仿宋_GB2312" w:eastAsia="仿宋_GB2312" w:hAnsi="仿宋_GB2312"/>
        </w:rPr>
        <w:lastRenderedPageBreak/>
        <w:t xml:space="preserve">5.3.2 </w:t>
      </w:r>
      <w:r>
        <w:rPr>
          <w:rFonts w:ascii="仿宋_GB2312" w:eastAsia="仿宋_GB2312" w:hAnsi="仿宋_GB2312"/>
        </w:rPr>
        <w:t>品质回归模型路径</w:t>
      </w:r>
    </w:p>
    <w:p w14:paraId="5FB22091" w14:textId="77777777" w:rsidR="00D167C8" w:rsidRDefault="00B078DF">
      <w:pPr>
        <w:jc w:val="both"/>
      </w:pPr>
      <w:r>
        <w:rPr>
          <w:rFonts w:ascii="仿宋_GB2312" w:hAnsi="仿宋_GB2312"/>
        </w:rPr>
        <w:t>在品质预测方面，项目现有原型已经围绕</w:t>
      </w:r>
      <w:r>
        <w:rPr>
          <w:rFonts w:ascii="仿宋_GB2312" w:hAnsi="仿宋_GB2312"/>
        </w:rPr>
        <w:t xml:space="preserve"> 1D-CNN-Reg</w:t>
      </w:r>
      <w:r>
        <w:rPr>
          <w:rFonts w:ascii="仿宋_GB2312" w:hAnsi="仿宋_GB2312"/>
        </w:rPr>
        <w:t>、</w:t>
      </w:r>
      <w:r>
        <w:rPr>
          <w:rFonts w:ascii="仿宋_GB2312" w:hAnsi="仿宋_GB2312"/>
        </w:rPr>
        <w:t>PLSR</w:t>
      </w:r>
      <w:r>
        <w:rPr>
          <w:rFonts w:ascii="仿宋_GB2312" w:hAnsi="仿宋_GB2312"/>
        </w:rPr>
        <w:t>、</w:t>
      </w:r>
      <w:r>
        <w:rPr>
          <w:rFonts w:ascii="仿宋_GB2312" w:hAnsi="仿宋_GB2312"/>
        </w:rPr>
        <w:t>SVR</w:t>
      </w:r>
      <w:r>
        <w:rPr>
          <w:rFonts w:ascii="仿宋_GB2312" w:hAnsi="仿宋_GB2312"/>
        </w:rPr>
        <w:t>、</w:t>
      </w:r>
      <w:r>
        <w:rPr>
          <w:rFonts w:ascii="仿宋_GB2312" w:hAnsi="仿宋_GB2312"/>
        </w:rPr>
        <w:t xml:space="preserve">XGBoost </w:t>
      </w:r>
      <w:r>
        <w:rPr>
          <w:rFonts w:ascii="仿宋_GB2312" w:hAnsi="仿宋_GB2312"/>
        </w:rPr>
        <w:t>等回归路线构建了展示模块，这与橙类品质预测的任务特征较为契合。糖度、酸度、糖酸比、维生素</w:t>
      </w:r>
      <w:r>
        <w:rPr>
          <w:rFonts w:ascii="仿宋_GB2312" w:hAnsi="仿宋_GB2312"/>
        </w:rPr>
        <w:t>C</w:t>
      </w:r>
      <w:r>
        <w:rPr>
          <w:rFonts w:ascii="仿宋_GB2312" w:hAnsi="仿宋_GB2312"/>
        </w:rPr>
        <w:t>等指标既有一定线性关联，也可能包含非线性结构，因此更适合采用</w:t>
      </w:r>
      <w:r>
        <w:rPr>
          <w:rFonts w:ascii="仿宋_GB2312" w:hAnsi="仿宋_GB2312"/>
        </w:rPr>
        <w:t>“</w:t>
      </w:r>
      <w:r>
        <w:rPr>
          <w:rFonts w:ascii="仿宋_GB2312" w:hAnsi="仿宋_GB2312"/>
        </w:rPr>
        <w:t>传统回归模型做基线</w:t>
      </w:r>
      <w:r>
        <w:rPr>
          <w:rFonts w:ascii="仿宋_GB2312" w:hAnsi="仿宋_GB2312"/>
        </w:rPr>
        <w:t xml:space="preserve"> + </w:t>
      </w:r>
      <w:r>
        <w:rPr>
          <w:rFonts w:ascii="仿宋_GB2312" w:hAnsi="仿宋_GB2312"/>
        </w:rPr>
        <w:t>非线性模型做增强</w:t>
      </w:r>
      <w:r>
        <w:rPr>
          <w:rFonts w:ascii="仿宋_GB2312" w:hAnsi="仿宋_GB2312"/>
        </w:rPr>
        <w:t>”</w:t>
      </w:r>
      <w:r>
        <w:rPr>
          <w:rFonts w:ascii="仿宋_GB2312" w:hAnsi="仿宋_GB2312"/>
        </w:rPr>
        <w:t>的策略，逐步比较不同指标在不同模型上的适配度。</w:t>
      </w:r>
    </w:p>
    <w:p w14:paraId="4F98320B" w14:textId="77777777" w:rsidR="00D167C8" w:rsidRDefault="00B078DF">
      <w:pPr>
        <w:pStyle w:val="31"/>
        <w:ind w:firstLine="0"/>
      </w:pPr>
      <w:r>
        <w:rPr>
          <w:rFonts w:ascii="仿宋_GB2312" w:eastAsia="仿宋_GB2312" w:hAnsi="仿宋_GB2312"/>
        </w:rPr>
        <w:t xml:space="preserve">5.3.3 </w:t>
      </w:r>
      <w:r>
        <w:rPr>
          <w:rFonts w:ascii="仿宋_GB2312" w:eastAsia="仿宋_GB2312" w:hAnsi="仿宋_GB2312"/>
        </w:rPr>
        <w:t>可解释分析与异常预警</w:t>
      </w:r>
    </w:p>
    <w:p w14:paraId="1CC4A1E5" w14:textId="77777777" w:rsidR="00D167C8" w:rsidRDefault="00B078DF">
      <w:pPr>
        <w:jc w:val="both"/>
      </w:pPr>
      <w:r>
        <w:rPr>
          <w:rFonts w:ascii="仿宋_GB2312" w:hAnsi="仿宋_GB2312"/>
        </w:rPr>
        <w:t>考虑到品牌果品场景对可信表达的要求较高，项目不能只输出一个结论，还需要输出</w:t>
      </w:r>
      <w:r>
        <w:rPr>
          <w:rFonts w:ascii="仿宋_GB2312" w:hAnsi="仿宋_GB2312"/>
        </w:rPr>
        <w:t>“</w:t>
      </w:r>
      <w:r>
        <w:rPr>
          <w:rFonts w:ascii="仿宋_GB2312" w:hAnsi="仿宋_GB2312"/>
        </w:rPr>
        <w:t>为什么这么判断</w:t>
      </w:r>
      <w:r>
        <w:rPr>
          <w:rFonts w:ascii="仿宋_GB2312" w:hAnsi="仿宋_GB2312"/>
        </w:rPr>
        <w:t>”</w:t>
      </w:r>
      <w:r>
        <w:rPr>
          <w:rFonts w:ascii="仿宋_GB2312" w:hAnsi="仿宋_GB2312"/>
        </w:rPr>
        <w:t>。当前原型已经加入特征重要性与可解释</w:t>
      </w:r>
      <w:r>
        <w:rPr>
          <w:rFonts w:ascii="仿宋_GB2312" w:hAnsi="仿宋_GB2312"/>
        </w:rPr>
        <w:t>AI</w:t>
      </w:r>
      <w:r>
        <w:rPr>
          <w:rFonts w:ascii="仿宋_GB2312" w:hAnsi="仿宋_GB2312"/>
        </w:rPr>
        <w:t>展示模块，这一方向值得保留和深化。后续可围绕关键波段贡献、典型样本对比和异常样本提示构建解释层，使模型结果更容易被非技术用户理解，也更有利于后续形成报告模板和试点沟通材料。</w:t>
      </w:r>
    </w:p>
    <w:p w14:paraId="3E83961F" w14:textId="77777777" w:rsidR="00D167C8" w:rsidRDefault="00B078DF">
      <w:pPr>
        <w:pStyle w:val="21"/>
        <w:ind w:firstLine="0"/>
      </w:pPr>
      <w:r>
        <w:rPr>
          <w:rFonts w:ascii="楷体_GB2312" w:eastAsia="楷体_GB2312" w:hAnsi="楷体_GB2312"/>
        </w:rPr>
        <w:t xml:space="preserve">5.4 </w:t>
      </w:r>
      <w:r>
        <w:rPr>
          <w:rFonts w:ascii="楷体_GB2312" w:eastAsia="楷体_GB2312" w:hAnsi="楷体_GB2312"/>
        </w:rPr>
        <w:t>光谱机理与特征指纹</w:t>
      </w:r>
    </w:p>
    <w:p w14:paraId="59230B7C" w14:textId="77777777" w:rsidR="00D167C8" w:rsidRDefault="00B078DF">
      <w:pPr>
        <w:pStyle w:val="31"/>
        <w:ind w:firstLine="0"/>
      </w:pPr>
      <w:r>
        <w:rPr>
          <w:rFonts w:ascii="仿宋_GB2312" w:eastAsia="仿宋_GB2312" w:hAnsi="仿宋_GB2312"/>
        </w:rPr>
        <w:t xml:space="preserve">5.4.1 </w:t>
      </w:r>
      <w:r>
        <w:rPr>
          <w:rFonts w:ascii="仿宋_GB2312" w:eastAsia="仿宋_GB2312" w:hAnsi="仿宋_GB2312"/>
        </w:rPr>
        <w:t>色素变化与成熟度响应</w:t>
      </w:r>
    </w:p>
    <w:p w14:paraId="307C874A" w14:textId="77777777" w:rsidR="00D167C8" w:rsidRDefault="00B078DF">
      <w:pPr>
        <w:jc w:val="both"/>
      </w:pPr>
      <w:r>
        <w:rPr>
          <w:rFonts w:ascii="仿宋_GB2312" w:hAnsi="仿宋_GB2312"/>
        </w:rPr>
        <w:t>橙类样本在成熟过程中，果皮色泽、叶绿素衰减和类胡萝卜素累积会带来可见光波段的显著差异，这也是高光谱技术能够识别成熟状态和部分产地差异的重要原因之一。对项目而言，这类变化并不只是</w:t>
      </w:r>
      <w:r>
        <w:rPr>
          <w:rFonts w:ascii="仿宋_GB2312" w:hAnsi="仿宋_GB2312"/>
        </w:rPr>
        <w:t>“</w:t>
      </w:r>
      <w:r>
        <w:rPr>
          <w:rFonts w:ascii="仿宋_GB2312" w:hAnsi="仿宋_GB2312"/>
        </w:rPr>
        <w:t>看起来更黄或更绿</w:t>
      </w:r>
      <w:r>
        <w:rPr>
          <w:rFonts w:ascii="仿宋_GB2312" w:hAnsi="仿宋_GB2312"/>
        </w:rPr>
        <w:t>”</w:t>
      </w:r>
      <w:r>
        <w:rPr>
          <w:rFonts w:ascii="仿宋_GB2312" w:hAnsi="仿宋_GB2312"/>
        </w:rPr>
        <w:t>，而是可以通过连续波段响应被转化为可计算的特征序列，为分类和回归任务提供底层依据。</w:t>
      </w:r>
    </w:p>
    <w:p w14:paraId="345EE34C" w14:textId="77777777" w:rsidR="00D167C8" w:rsidRDefault="00B078DF">
      <w:pPr>
        <w:pStyle w:val="31"/>
        <w:ind w:firstLine="0"/>
      </w:pPr>
      <w:r>
        <w:rPr>
          <w:rFonts w:ascii="仿宋_GB2312" w:eastAsia="仿宋_GB2312" w:hAnsi="仿宋_GB2312"/>
        </w:rPr>
        <w:t xml:space="preserve">5.4.2 </w:t>
      </w:r>
      <w:r>
        <w:rPr>
          <w:rFonts w:ascii="仿宋_GB2312" w:eastAsia="仿宋_GB2312" w:hAnsi="仿宋_GB2312"/>
        </w:rPr>
        <w:t>水分、糖酸与组织结构信息</w:t>
      </w:r>
    </w:p>
    <w:p w14:paraId="3742A40A" w14:textId="77777777" w:rsidR="00D167C8" w:rsidRDefault="00B078DF">
      <w:pPr>
        <w:jc w:val="both"/>
      </w:pPr>
      <w:r>
        <w:rPr>
          <w:rFonts w:ascii="仿宋_GB2312" w:hAnsi="仿宋_GB2312"/>
        </w:rPr>
        <w:t>除了外观色泽相关信息，果品内部的水分状态、糖酸水平和组织结构差异，也会在特定波段形成可利用的响应特征。虽然这些信息最终仍需要通过理化标签完成标定，但高光谱的优势就在于能够把原本难以直接观察的内部品质线索，以非破坏方式转化为建模输入。这正是项目能同时承接产地识别和品质预测双任务的技术基础。</w:t>
      </w:r>
    </w:p>
    <w:p w14:paraId="129BEDC6" w14:textId="77777777" w:rsidR="00D167C8" w:rsidRDefault="00B078DF">
      <w:pPr>
        <w:pStyle w:val="31"/>
        <w:ind w:firstLine="0"/>
      </w:pPr>
      <w:r>
        <w:rPr>
          <w:rFonts w:ascii="仿宋_GB2312" w:eastAsia="仿宋_GB2312" w:hAnsi="仿宋_GB2312"/>
        </w:rPr>
        <w:t xml:space="preserve">5.4.3 </w:t>
      </w:r>
      <w:r>
        <w:rPr>
          <w:rFonts w:ascii="仿宋_GB2312" w:eastAsia="仿宋_GB2312" w:hAnsi="仿宋_GB2312"/>
        </w:rPr>
        <w:t>特征波段库与区域指纹沉淀</w:t>
      </w:r>
    </w:p>
    <w:p w14:paraId="02FD8C1E" w14:textId="77777777" w:rsidR="00D167C8" w:rsidRDefault="00B078DF">
      <w:pPr>
        <w:jc w:val="both"/>
      </w:pPr>
      <w:r>
        <w:rPr>
          <w:rFonts w:ascii="仿宋_GB2312" w:hAnsi="仿宋_GB2312"/>
        </w:rPr>
        <w:t>从长期建设角度看，第五章最重要的目标并不是一次性把模型做到极致，而是逐步沉淀出稳定的特征波段库与区域样本指纹库。当前原型已经尝试用关键波段重要性和可解释图示去说明模型判断依据，后续则需要把这些展示进一步落到实测样本复核</w:t>
      </w:r>
      <w:r>
        <w:rPr>
          <w:rFonts w:ascii="仿宋_GB2312" w:hAnsi="仿宋_GB2312"/>
        </w:rPr>
        <w:lastRenderedPageBreak/>
        <w:t>上，逐步确认哪些波段对澄迈、琼中等区域样本最有区分价值。随着样本不断增加，项目有机会积累属于自身的产地特征对照数据、品质区间对照数据和异常样本案例库。这些沉淀既是后续模型迭代的基础，也是项目形成长期壁垒的关键资产。</w:t>
      </w:r>
    </w:p>
    <w:p w14:paraId="53F4FD71" w14:textId="77777777" w:rsidR="00D167C8" w:rsidRDefault="00D167C8">
      <w:pPr>
        <w:sectPr w:rsidR="00D167C8">
          <w:pgSz w:w="11906" w:h="16838"/>
          <w:pgMar w:top="1417" w:right="1417" w:bottom="1417" w:left="1417" w:header="850" w:footer="992" w:gutter="0"/>
          <w:cols w:space="720"/>
          <w:docGrid w:linePitch="360"/>
        </w:sectPr>
      </w:pPr>
    </w:p>
    <w:p w14:paraId="78ABA7C6" w14:textId="77777777" w:rsidR="00D167C8" w:rsidRDefault="00B078DF">
      <w:pPr>
        <w:pStyle w:val="1"/>
        <w:ind w:firstLine="0"/>
      </w:pPr>
      <w:r>
        <w:rPr>
          <w:rFonts w:ascii="黑体" w:eastAsia="黑体" w:hAnsi="黑体"/>
        </w:rPr>
        <w:lastRenderedPageBreak/>
        <w:t>第六章</w:t>
      </w:r>
      <w:r>
        <w:rPr>
          <w:rFonts w:ascii="黑体" w:eastAsia="黑体" w:hAnsi="黑体"/>
        </w:rPr>
        <w:t xml:space="preserve"> </w:t>
      </w:r>
      <w:r>
        <w:rPr>
          <w:rFonts w:ascii="黑体" w:eastAsia="黑体" w:hAnsi="黑体"/>
        </w:rPr>
        <w:t>产品策略</w:t>
      </w:r>
    </w:p>
    <w:p w14:paraId="6C5051F6" w14:textId="77777777" w:rsidR="00D167C8" w:rsidRDefault="00B078DF">
      <w:pPr>
        <w:pStyle w:val="21"/>
        <w:ind w:firstLine="0"/>
      </w:pPr>
      <w:r>
        <w:rPr>
          <w:rFonts w:ascii="楷体_GB2312" w:eastAsia="楷体_GB2312" w:hAnsi="楷体_GB2312"/>
        </w:rPr>
        <w:t xml:space="preserve">6.1 </w:t>
      </w:r>
      <w:r>
        <w:rPr>
          <w:rFonts w:ascii="楷体_GB2312" w:eastAsia="楷体_GB2312" w:hAnsi="楷体_GB2312"/>
        </w:rPr>
        <w:t>产品形态与功能规划</w:t>
      </w:r>
    </w:p>
    <w:p w14:paraId="60652E18" w14:textId="77777777" w:rsidR="00D167C8" w:rsidRDefault="00B078DF">
      <w:pPr>
        <w:jc w:val="both"/>
      </w:pPr>
      <w:r>
        <w:rPr>
          <w:rFonts w:ascii="仿宋_GB2312" w:hAnsi="仿宋_GB2312"/>
        </w:rPr>
        <w:t>从当前项目原型看，平台已经具备对外展示与内部分析的双重潜力。下一阶段产品策略可围绕样本录入、单样本分析、对比分析、模型解释、历史管理和报告输出构建闭环，并逐步延伸至管理后台或移动端辅助入口。</w:t>
      </w:r>
    </w:p>
    <w:p w14:paraId="24A645EF" w14:textId="77777777" w:rsidR="00D167C8" w:rsidRDefault="00D167C8">
      <w:pPr>
        <w:sectPr w:rsidR="00D167C8">
          <w:pgSz w:w="11906" w:h="16838"/>
          <w:pgMar w:top="1417" w:right="1417" w:bottom="1417" w:left="1417" w:header="850" w:footer="992" w:gutter="0"/>
          <w:cols w:space="720"/>
          <w:docGrid w:linePitch="360"/>
        </w:sectPr>
      </w:pPr>
    </w:p>
    <w:p w14:paraId="19D594EE" w14:textId="77777777" w:rsidR="00D167C8" w:rsidRDefault="00B078DF">
      <w:pPr>
        <w:pStyle w:val="1"/>
        <w:ind w:firstLine="0"/>
      </w:pPr>
      <w:r>
        <w:rPr>
          <w:rFonts w:ascii="黑体" w:eastAsia="黑体" w:hAnsi="黑体"/>
        </w:rPr>
        <w:lastRenderedPageBreak/>
        <w:t>第七章</w:t>
      </w:r>
      <w:r>
        <w:rPr>
          <w:rFonts w:ascii="黑体" w:eastAsia="黑体" w:hAnsi="黑体"/>
        </w:rPr>
        <w:t xml:space="preserve"> </w:t>
      </w:r>
      <w:r>
        <w:rPr>
          <w:rFonts w:ascii="黑体" w:eastAsia="黑体" w:hAnsi="黑体"/>
        </w:rPr>
        <w:t>运营策略</w:t>
      </w:r>
    </w:p>
    <w:p w14:paraId="31BF1D4B" w14:textId="77777777" w:rsidR="00D167C8" w:rsidRDefault="00B078DF">
      <w:pPr>
        <w:pStyle w:val="21"/>
        <w:ind w:firstLine="0"/>
      </w:pPr>
      <w:r>
        <w:rPr>
          <w:rFonts w:ascii="楷体_GB2312" w:eastAsia="楷体_GB2312" w:hAnsi="楷体_GB2312"/>
        </w:rPr>
        <w:t xml:space="preserve">7.1 </w:t>
      </w:r>
      <w:r>
        <w:rPr>
          <w:rFonts w:ascii="楷体_GB2312" w:eastAsia="楷体_GB2312" w:hAnsi="楷体_GB2312"/>
        </w:rPr>
        <w:t>试点到复制的运营路径</w:t>
      </w:r>
    </w:p>
    <w:p w14:paraId="0BD38DE2" w14:textId="77777777" w:rsidR="00D167C8" w:rsidRDefault="00B078DF">
      <w:pPr>
        <w:jc w:val="both"/>
      </w:pPr>
      <w:r>
        <w:rPr>
          <w:rFonts w:ascii="仿宋_GB2312" w:hAnsi="仿宋_GB2312"/>
        </w:rPr>
        <w:t>建议采用</w:t>
      </w:r>
      <w:r>
        <w:rPr>
          <w:rFonts w:ascii="仿宋_GB2312" w:hAnsi="仿宋_GB2312"/>
        </w:rPr>
        <w:t>“</w:t>
      </w:r>
      <w:r>
        <w:rPr>
          <w:rFonts w:ascii="仿宋_GB2312" w:hAnsi="仿宋_GB2312"/>
        </w:rPr>
        <w:t>演示验证</w:t>
      </w:r>
      <w:r>
        <w:rPr>
          <w:rFonts w:ascii="仿宋_GB2312" w:hAnsi="仿宋_GB2312"/>
        </w:rPr>
        <w:t>—</w:t>
      </w:r>
      <w:r>
        <w:rPr>
          <w:rFonts w:ascii="仿宋_GB2312" w:hAnsi="仿宋_GB2312"/>
        </w:rPr>
        <w:t>试点落地</w:t>
      </w:r>
      <w:r>
        <w:rPr>
          <w:rFonts w:ascii="仿宋_GB2312" w:hAnsi="仿宋_GB2312"/>
        </w:rPr>
        <w:t>—</w:t>
      </w:r>
      <w:r>
        <w:rPr>
          <w:rFonts w:ascii="仿宋_GB2312" w:hAnsi="仿宋_GB2312"/>
        </w:rPr>
        <w:t>区域复制</w:t>
      </w:r>
      <w:r>
        <w:rPr>
          <w:rFonts w:ascii="仿宋_GB2312" w:hAnsi="仿宋_GB2312"/>
        </w:rPr>
        <w:t>”</w:t>
      </w:r>
      <w:r>
        <w:rPr>
          <w:rFonts w:ascii="仿宋_GB2312" w:hAnsi="仿宋_GB2312"/>
        </w:rPr>
        <w:t>的推进路径。先通过演示版材料和原型系统建立可信度，再与基地、企业或科研单位形成试点验证，最终沉淀成可复制的交付流程和服务方案。</w:t>
      </w:r>
    </w:p>
    <w:p w14:paraId="4DF6BD17" w14:textId="77777777" w:rsidR="00D167C8" w:rsidRDefault="00D167C8">
      <w:pPr>
        <w:sectPr w:rsidR="00D167C8">
          <w:pgSz w:w="11906" w:h="16838"/>
          <w:pgMar w:top="1417" w:right="1417" w:bottom="1417" w:left="1417" w:header="850" w:footer="992" w:gutter="0"/>
          <w:cols w:space="720"/>
          <w:docGrid w:linePitch="360"/>
        </w:sectPr>
      </w:pPr>
    </w:p>
    <w:p w14:paraId="0DC0F8B8" w14:textId="77777777" w:rsidR="00D167C8" w:rsidRDefault="00B078DF">
      <w:pPr>
        <w:pStyle w:val="1"/>
        <w:ind w:firstLine="0"/>
      </w:pPr>
      <w:r>
        <w:rPr>
          <w:rFonts w:ascii="黑体" w:eastAsia="黑体" w:hAnsi="黑体"/>
        </w:rPr>
        <w:lastRenderedPageBreak/>
        <w:t>第八章</w:t>
      </w:r>
      <w:r>
        <w:rPr>
          <w:rFonts w:ascii="黑体" w:eastAsia="黑体" w:hAnsi="黑体"/>
        </w:rPr>
        <w:t xml:space="preserve"> </w:t>
      </w:r>
      <w:r>
        <w:rPr>
          <w:rFonts w:ascii="黑体" w:eastAsia="黑体" w:hAnsi="黑体"/>
        </w:rPr>
        <w:t>团队介绍</w:t>
      </w:r>
    </w:p>
    <w:p w14:paraId="3F126AC2" w14:textId="77777777" w:rsidR="00D167C8" w:rsidRDefault="00B078DF">
      <w:pPr>
        <w:jc w:val="both"/>
      </w:pPr>
      <w:r>
        <w:rPr>
          <w:rFonts w:ascii="仿宋_GB2312" w:hAnsi="仿宋_GB2312"/>
        </w:rPr>
        <w:t>团队建议按</w:t>
      </w:r>
      <w:r>
        <w:rPr>
          <w:rFonts w:ascii="仿宋_GB2312" w:hAnsi="仿宋_GB2312"/>
        </w:rPr>
        <w:t>“</w:t>
      </w:r>
      <w:r>
        <w:rPr>
          <w:rFonts w:ascii="仿宋_GB2312" w:hAnsi="仿宋_GB2312"/>
        </w:rPr>
        <w:t>项目负责人</w:t>
      </w:r>
      <w:r>
        <w:rPr>
          <w:rFonts w:ascii="仿宋_GB2312" w:hAnsi="仿宋_GB2312"/>
        </w:rPr>
        <w:t>—</w:t>
      </w:r>
      <w:r>
        <w:rPr>
          <w:rFonts w:ascii="仿宋_GB2312" w:hAnsi="仿宋_GB2312"/>
        </w:rPr>
        <w:t>算法研发</w:t>
      </w:r>
      <w:r>
        <w:rPr>
          <w:rFonts w:ascii="仿宋_GB2312" w:hAnsi="仿宋_GB2312"/>
        </w:rPr>
        <w:t>—</w:t>
      </w:r>
      <w:r>
        <w:rPr>
          <w:rFonts w:ascii="仿宋_GB2312" w:hAnsi="仿宋_GB2312"/>
        </w:rPr>
        <w:t>平台开发</w:t>
      </w:r>
      <w:r>
        <w:rPr>
          <w:rFonts w:ascii="仿宋_GB2312" w:hAnsi="仿宋_GB2312"/>
        </w:rPr>
        <w:t>—</w:t>
      </w:r>
      <w:r>
        <w:rPr>
          <w:rFonts w:ascii="仿宋_GB2312" w:hAnsi="仿宋_GB2312"/>
        </w:rPr>
        <w:t>数据处理</w:t>
      </w:r>
      <w:r>
        <w:rPr>
          <w:rFonts w:ascii="仿宋_GB2312" w:hAnsi="仿宋_GB2312"/>
        </w:rPr>
        <w:t>—</w:t>
      </w:r>
      <w:r>
        <w:rPr>
          <w:rFonts w:ascii="仿宋_GB2312" w:hAnsi="仿宋_GB2312"/>
        </w:rPr>
        <w:t>市场商务</w:t>
      </w:r>
      <w:r>
        <w:rPr>
          <w:rFonts w:ascii="仿宋_GB2312" w:hAnsi="仿宋_GB2312"/>
        </w:rPr>
        <w:t>”</w:t>
      </w:r>
      <w:r>
        <w:rPr>
          <w:rFonts w:ascii="仿宋_GB2312" w:hAnsi="仿宋_GB2312"/>
        </w:rPr>
        <w:t>组织，计划书正式版可在此基础上补充成员履历、导师资源、合作单位与既有成果。</w:t>
      </w:r>
    </w:p>
    <w:p w14:paraId="40966BFE" w14:textId="77777777" w:rsidR="00D167C8" w:rsidRDefault="00B078DF">
      <w:pPr>
        <w:pStyle w:val="1"/>
        <w:ind w:firstLine="0"/>
      </w:pPr>
      <w:r>
        <w:rPr>
          <w:rFonts w:ascii="黑体" w:eastAsia="黑体" w:hAnsi="黑体"/>
        </w:rPr>
        <w:t>第九章</w:t>
      </w:r>
      <w:r>
        <w:rPr>
          <w:rFonts w:ascii="黑体" w:eastAsia="黑体" w:hAnsi="黑体"/>
        </w:rPr>
        <w:t xml:space="preserve"> </w:t>
      </w:r>
      <w:r>
        <w:rPr>
          <w:rFonts w:ascii="黑体" w:eastAsia="黑体" w:hAnsi="黑体"/>
        </w:rPr>
        <w:t>财务预测</w:t>
      </w:r>
    </w:p>
    <w:p w14:paraId="65B9CF1B" w14:textId="77777777" w:rsidR="00D167C8" w:rsidRDefault="00B078DF">
      <w:pPr>
        <w:jc w:val="both"/>
      </w:pPr>
      <w:r>
        <w:rPr>
          <w:rFonts w:ascii="仿宋_GB2312" w:hAnsi="仿宋_GB2312"/>
        </w:rPr>
        <w:t>建议围绕设备投入、研发成本、样本采集成本、平台订阅收入、检测服务收入和项目合作收入构建三情景预测模型。</w:t>
      </w:r>
    </w:p>
    <w:p w14:paraId="244B24DD" w14:textId="77777777" w:rsidR="00D167C8" w:rsidRDefault="00B078DF">
      <w:pPr>
        <w:pStyle w:val="1"/>
        <w:ind w:firstLine="0"/>
      </w:pPr>
      <w:r>
        <w:rPr>
          <w:rFonts w:ascii="黑体" w:eastAsia="黑体" w:hAnsi="黑体"/>
        </w:rPr>
        <w:t>第十章</w:t>
      </w:r>
      <w:r>
        <w:rPr>
          <w:rFonts w:ascii="黑体" w:eastAsia="黑体" w:hAnsi="黑体"/>
        </w:rPr>
        <w:t xml:space="preserve"> </w:t>
      </w:r>
      <w:r>
        <w:rPr>
          <w:rFonts w:ascii="黑体" w:eastAsia="黑体" w:hAnsi="黑体"/>
        </w:rPr>
        <w:t>风险分析</w:t>
      </w:r>
    </w:p>
    <w:p w14:paraId="71D1F4E5" w14:textId="77777777" w:rsidR="00D167C8" w:rsidRDefault="00B078DF">
      <w:pPr>
        <w:pStyle w:val="a0"/>
        <w:ind w:firstLine="0"/>
        <w:jc w:val="both"/>
      </w:pPr>
      <w:r>
        <w:rPr>
          <w:rFonts w:ascii="仿宋_GB2312" w:hAnsi="仿宋_GB2312"/>
        </w:rPr>
        <w:t>数据风险：样本量、标签质量、跨批次泛化。</w:t>
      </w:r>
    </w:p>
    <w:p w14:paraId="1EACE164" w14:textId="77777777" w:rsidR="00D167C8" w:rsidRDefault="00B078DF">
      <w:pPr>
        <w:pStyle w:val="a0"/>
        <w:ind w:firstLine="0"/>
        <w:jc w:val="both"/>
      </w:pPr>
      <w:r>
        <w:rPr>
          <w:rFonts w:ascii="仿宋_GB2312" w:hAnsi="仿宋_GB2312"/>
        </w:rPr>
        <w:t>技术风险：模型精度波动、设备差异、场景迁移偏差。</w:t>
      </w:r>
    </w:p>
    <w:p w14:paraId="694F77E4" w14:textId="77777777" w:rsidR="00D167C8" w:rsidRDefault="00B078DF">
      <w:pPr>
        <w:pStyle w:val="a0"/>
        <w:ind w:firstLine="0"/>
        <w:jc w:val="both"/>
      </w:pPr>
      <w:r>
        <w:rPr>
          <w:rFonts w:ascii="仿宋_GB2312" w:hAnsi="仿宋_GB2312"/>
        </w:rPr>
        <w:t>市场风险：客户教育成本、付费意愿与竞品进入。</w:t>
      </w:r>
    </w:p>
    <w:p w14:paraId="28B7595F" w14:textId="77777777" w:rsidR="00D167C8" w:rsidRDefault="00B078DF">
      <w:pPr>
        <w:pStyle w:val="a0"/>
        <w:ind w:firstLine="0"/>
        <w:jc w:val="both"/>
      </w:pPr>
      <w:r>
        <w:rPr>
          <w:rFonts w:ascii="仿宋_GB2312" w:hAnsi="仿宋_GB2312"/>
        </w:rPr>
        <w:t>运营风险：交付周期、采样协作与售后维护压力。</w:t>
      </w:r>
    </w:p>
    <w:sectPr w:rsidR="00D167C8" w:rsidSect="00034616">
      <w:pgSz w:w="11906" w:h="16838"/>
      <w:pgMar w:top="1417" w:right="1417" w:bottom="1417" w:left="1417" w:header="850" w:footer="992"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4217F2B" w14:textId="77777777" w:rsidR="00B078DF" w:rsidRDefault="00B078DF">
      <w:pPr>
        <w:spacing w:line="240" w:lineRule="auto"/>
      </w:pPr>
      <w:r>
        <w:separator/>
      </w:r>
    </w:p>
  </w:endnote>
  <w:endnote w:type="continuationSeparator" w:id="0">
    <w:p w14:paraId="7B6BE14E" w14:textId="77777777" w:rsidR="00B078DF" w:rsidRDefault="00B078DF">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仿宋_GB2312">
    <w:altName w:val="宋体"/>
    <w:panose1 w:val="00000000000000000000"/>
    <w:charset w:val="86"/>
    <w:family w:val="roman"/>
    <w:notTrueType/>
    <w:pitch w:val="default"/>
  </w:font>
  <w:font w:name="Calibri">
    <w:panose1 w:val="020F0502020204030204"/>
    <w:charset w:val="00"/>
    <w:family w:val="swiss"/>
    <w:pitch w:val="variable"/>
    <w:sig w:usb0="E4002EFF" w:usb1="C2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urier">
    <w:panose1 w:val="02070409020205020404"/>
    <w:charset w:val="00"/>
    <w:family w:val="auto"/>
    <w:pitch w:val="variable"/>
    <w:sig w:usb0="00000003" w:usb1="00000000" w:usb2="00000000" w:usb3="00000000" w:csb0="00000001" w:csb1="00000000"/>
  </w:font>
  <w:font w:name="黑体">
    <w:altName w:val="SimHei"/>
    <w:panose1 w:val="02010609060101010101"/>
    <w:charset w:val="86"/>
    <w:family w:val="modern"/>
    <w:pitch w:val="fixed"/>
    <w:sig w:usb0="800002BF" w:usb1="38CF7CFA" w:usb2="00000016" w:usb3="00000000" w:csb0="00040001" w:csb1="00000000"/>
  </w:font>
  <w:font w:name="楷体_GB2312">
    <w:altName w:val="宋体"/>
    <w:panose1 w:val="00000000000000000000"/>
    <w:charset w:val="86"/>
    <w:family w:val="roman"/>
    <w:notTrueType/>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B79BBE3" w14:textId="77777777" w:rsidR="00D167C8" w:rsidRDefault="00B078DF">
    <w:pPr>
      <w:pStyle w:val="a7"/>
      <w:spacing w:line="500" w:lineRule="exact"/>
      <w:ind w:firstLine="0"/>
      <w:jc w:val="center"/>
    </w:pPr>
    <w:r>
      <w:rPr>
        <w:rFonts w:eastAsia="Times New Roman"/>
      </w:rPr>
      <w:fldChar w:fldCharType="begin"/>
    </w:r>
    <w:r>
      <w:rPr>
        <w:rFonts w:eastAsia="Times New Roman"/>
      </w:rPr>
      <w:instrText>PAGE</w:instrText>
    </w:r>
    <w:r w:rsidR="00A90874">
      <w:rPr>
        <w:rFonts w:eastAsia="Times New Roman"/>
      </w:rPr>
      <w:fldChar w:fldCharType="separate"/>
    </w:r>
    <w:r w:rsidR="00A90874">
      <w:rPr>
        <w:rFonts w:eastAsia="Times New Roman"/>
        <w:noProof/>
      </w:rPr>
      <w:t>1</w:t>
    </w:r>
    <w:r>
      <w:rPr>
        <w:rFonts w:eastAsia="Times New Roman"/>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36DBB92" w14:textId="77777777" w:rsidR="00B078DF" w:rsidRDefault="00B078DF">
      <w:pPr>
        <w:spacing w:line="240" w:lineRule="auto"/>
      </w:pPr>
      <w:r>
        <w:separator/>
      </w:r>
    </w:p>
  </w:footnote>
  <w:footnote w:type="continuationSeparator" w:id="0">
    <w:p w14:paraId="39F4D383" w14:textId="77777777" w:rsidR="00B078DF" w:rsidRDefault="00B078DF">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310EC4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0890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B12693A"/>
    <w:lvl w:ilvl="0">
      <w:start w:val="1"/>
      <w:numFmt w:val="decimal"/>
      <w:pStyle w:val="3"/>
      <w:lvlText w:val="%1."/>
      <w:lvlJc w:val="left"/>
      <w:pPr>
        <w:tabs>
          <w:tab w:val="num" w:pos="1080"/>
        </w:tabs>
        <w:ind w:left="1080" w:hanging="360"/>
      </w:pPr>
    </w:lvl>
  </w:abstractNum>
  <w:abstractNum w:abstractNumId="3" w15:restartNumberingAfterBreak="0">
    <w:nsid w:val="FFFFFF7F"/>
    <w:multiLevelType w:val="singleLevel"/>
    <w:tmpl w:val="38441652"/>
    <w:lvl w:ilvl="0">
      <w:start w:val="1"/>
      <w:numFmt w:val="decimal"/>
      <w:pStyle w:val="2"/>
      <w:lvlText w:val="%1."/>
      <w:lvlJc w:val="left"/>
      <w:pPr>
        <w:tabs>
          <w:tab w:val="num" w:pos="720"/>
        </w:tabs>
        <w:ind w:left="720" w:hanging="360"/>
      </w:pPr>
    </w:lvl>
  </w:abstractNum>
  <w:abstractNum w:abstractNumId="4" w15:restartNumberingAfterBreak="0">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15:restartNumberingAfterBreak="0">
    <w:nsid w:val="FFFFFF82"/>
    <w:multiLevelType w:val="singleLevel"/>
    <w:tmpl w:val="F3EAFDEC"/>
    <w:lvl w:ilvl="0">
      <w:start w:val="1"/>
      <w:numFmt w:val="bullet"/>
      <w:pStyle w:val="30"/>
      <w:lvlText w:val=""/>
      <w:lvlJc w:val="left"/>
      <w:pPr>
        <w:tabs>
          <w:tab w:val="num" w:pos="1080"/>
        </w:tabs>
        <w:ind w:left="1080" w:hanging="360"/>
      </w:pPr>
      <w:rPr>
        <w:rFonts w:ascii="Symbol" w:hAnsi="Symbol" w:hint="default"/>
      </w:rPr>
    </w:lvl>
  </w:abstractNum>
  <w:abstractNum w:abstractNumId="6" w15:restartNumberingAfterBreak="0">
    <w:nsid w:val="FFFFFF83"/>
    <w:multiLevelType w:val="singleLevel"/>
    <w:tmpl w:val="3D1EFFD4"/>
    <w:lvl w:ilvl="0">
      <w:start w:val="1"/>
      <w:numFmt w:val="bullet"/>
      <w:pStyle w:val="20"/>
      <w:lvlText w:val=""/>
      <w:lvlJc w:val="left"/>
      <w:pPr>
        <w:tabs>
          <w:tab w:val="num" w:pos="720"/>
        </w:tabs>
        <w:ind w:left="720" w:hanging="360"/>
      </w:pPr>
      <w:rPr>
        <w:rFonts w:ascii="Symbol" w:hAnsi="Symbol" w:hint="default"/>
      </w:rPr>
    </w:lvl>
  </w:abstractNum>
  <w:abstractNum w:abstractNumId="7" w15:restartNumberingAfterBreak="0">
    <w:nsid w:val="FFFFFF88"/>
    <w:multiLevelType w:val="singleLevel"/>
    <w:tmpl w:val="D0A62B40"/>
    <w:lvl w:ilvl="0">
      <w:start w:val="1"/>
      <w:numFmt w:val="decimal"/>
      <w:pStyle w:val="a"/>
      <w:lvlText w:val="%1."/>
      <w:lvlJc w:val="left"/>
      <w:pPr>
        <w:tabs>
          <w:tab w:val="num" w:pos="360"/>
        </w:tabs>
        <w:ind w:left="360" w:hanging="360"/>
      </w:pPr>
    </w:lvl>
  </w:abstractNum>
  <w:abstractNum w:abstractNumId="8" w15:restartNumberingAfterBreak="0">
    <w:nsid w:val="FFFFFF89"/>
    <w:multiLevelType w:val="singleLevel"/>
    <w:tmpl w:val="29761A62"/>
    <w:lvl w:ilvl="0">
      <w:start w:val="1"/>
      <w:numFmt w:val="bullet"/>
      <w:pStyle w:val="a0"/>
      <w:lvlText w:val=""/>
      <w:lvlJc w:val="left"/>
      <w:pPr>
        <w:tabs>
          <w:tab w:val="num" w:pos="360"/>
        </w:tabs>
        <w:ind w:left="360" w:hanging="360"/>
      </w:pPr>
      <w:rPr>
        <w:rFonts w:ascii="Symbol" w:hAnsi="Symbol" w:hint="default"/>
      </w:rPr>
    </w:lvl>
  </w:abstractNum>
  <w:num w:numId="1" w16cid:durableId="1270621666">
    <w:abstractNumId w:val="8"/>
  </w:num>
  <w:num w:numId="2" w16cid:durableId="2049143008">
    <w:abstractNumId w:val="6"/>
  </w:num>
  <w:num w:numId="3" w16cid:durableId="766266921">
    <w:abstractNumId w:val="5"/>
  </w:num>
  <w:num w:numId="4" w16cid:durableId="1854301658">
    <w:abstractNumId w:val="4"/>
  </w:num>
  <w:num w:numId="5" w16cid:durableId="697706217">
    <w:abstractNumId w:val="7"/>
  </w:num>
  <w:num w:numId="6" w16cid:durableId="1213229982">
    <w:abstractNumId w:val="3"/>
  </w:num>
  <w:num w:numId="7" w16cid:durableId="195780047">
    <w:abstractNumId w:val="2"/>
  </w:num>
  <w:num w:numId="8" w16cid:durableId="1785926735">
    <w:abstractNumId w:val="1"/>
  </w:num>
  <w:num w:numId="9" w16cid:durableId="175316119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47730"/>
    <w:rsid w:val="00034616"/>
    <w:rsid w:val="0006063C"/>
    <w:rsid w:val="00090117"/>
    <w:rsid w:val="0015074B"/>
    <w:rsid w:val="0029639D"/>
    <w:rsid w:val="00326F90"/>
    <w:rsid w:val="00A90874"/>
    <w:rsid w:val="00AA1D8D"/>
    <w:rsid w:val="00B078DF"/>
    <w:rsid w:val="00B47730"/>
    <w:rsid w:val="00CB0664"/>
    <w:rsid w:val="00D167C8"/>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10E9D07C"/>
  <w14:defaultImageDpi w14:val="300"/>
  <w15:docId w15:val="{A4D25278-3703-49B7-81FC-F3CCF2DC545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1">
    <w:name w:val="Normal"/>
    <w:qFormat/>
    <w:rsid w:val="00FC693F"/>
    <w:pPr>
      <w:spacing w:after="0" w:line="500" w:lineRule="exact"/>
      <w:ind w:firstLine="480"/>
    </w:pPr>
    <w:rPr>
      <w:rFonts w:ascii="Times New Roman" w:eastAsia="仿宋_GB2312" w:hAnsi="Times New Roman"/>
      <w:sz w:val="24"/>
    </w:rPr>
  </w:style>
  <w:style w:type="paragraph" w:styleId="1">
    <w:name w:val="heading 1"/>
    <w:basedOn w:val="a1"/>
    <w:next w:val="a1"/>
    <w:link w:val="10"/>
    <w:uiPriority w:val="9"/>
    <w:qFormat/>
    <w:rsid w:val="00FC693F"/>
    <w:pPr>
      <w:keepNext/>
      <w:keepLines/>
      <w:outlineLvl w:val="0"/>
    </w:pPr>
    <w:rPr>
      <w:rFonts w:asciiTheme="majorHAnsi" w:eastAsiaTheme="majorEastAsia" w:hAnsiTheme="majorHAnsi" w:cstheme="majorBidi"/>
      <w:bCs/>
      <w:color w:val="365F91" w:themeColor="accent1" w:themeShade="BF"/>
      <w:sz w:val="32"/>
      <w:szCs w:val="28"/>
    </w:rPr>
  </w:style>
  <w:style w:type="paragraph" w:styleId="21">
    <w:name w:val="heading 2"/>
    <w:basedOn w:val="a1"/>
    <w:next w:val="a1"/>
    <w:link w:val="22"/>
    <w:uiPriority w:val="9"/>
    <w:unhideWhenUsed/>
    <w:qFormat/>
    <w:rsid w:val="00FC693F"/>
    <w:pPr>
      <w:keepNext/>
      <w:keepLines/>
      <w:outlineLvl w:val="1"/>
    </w:pPr>
    <w:rPr>
      <w:rFonts w:asciiTheme="majorHAnsi" w:eastAsiaTheme="majorEastAsia" w:hAnsiTheme="majorHAnsi" w:cstheme="majorBidi"/>
      <w:bCs/>
      <w:color w:val="4F81BD" w:themeColor="accent1"/>
      <w:sz w:val="32"/>
      <w:szCs w:val="26"/>
    </w:rPr>
  </w:style>
  <w:style w:type="paragraph" w:styleId="31">
    <w:name w:val="heading 3"/>
    <w:basedOn w:val="a1"/>
    <w:next w:val="a1"/>
    <w:link w:val="32"/>
    <w:uiPriority w:val="9"/>
    <w:unhideWhenUsed/>
    <w:qFormat/>
    <w:rsid w:val="00FC693F"/>
    <w:pPr>
      <w:keepNext/>
      <w:keepLines/>
      <w:outlineLvl w:val="2"/>
    </w:pPr>
    <w:rPr>
      <w:rFonts w:asciiTheme="majorHAnsi" w:eastAsiaTheme="majorEastAsia" w:hAnsiTheme="majorHAnsi" w:cstheme="majorBidi"/>
      <w:bCs/>
      <w:color w:val="4F81BD" w:themeColor="accent1"/>
      <w:sz w:val="28"/>
    </w:rPr>
  </w:style>
  <w:style w:type="paragraph" w:styleId="4">
    <w:name w:val="heading 4"/>
    <w:basedOn w:val="a1"/>
    <w:next w:val="a1"/>
    <w:link w:val="40"/>
    <w:uiPriority w:val="9"/>
    <w:semiHidden/>
    <w:unhideWhenUsed/>
    <w:qFormat/>
    <w:rsid w:val="00FC693F"/>
    <w:pPr>
      <w:keepNext/>
      <w:keepLines/>
      <w:spacing w:before="200"/>
      <w:outlineLvl w:val="3"/>
    </w:pPr>
    <w:rPr>
      <w:rFonts w:asciiTheme="majorHAnsi" w:eastAsiaTheme="majorEastAsia" w:hAnsiTheme="majorHAnsi" w:cstheme="majorBidi"/>
      <w:b/>
      <w:bCs/>
      <w:i/>
      <w:iCs/>
      <w:color w:val="4F81BD" w:themeColor="accent1"/>
    </w:rPr>
  </w:style>
  <w:style w:type="paragraph" w:styleId="5">
    <w:name w:val="heading 5"/>
    <w:basedOn w:val="a1"/>
    <w:next w:val="a1"/>
    <w:link w:val="50"/>
    <w:uiPriority w:val="9"/>
    <w:semiHidden/>
    <w:unhideWhenUsed/>
    <w:qFormat/>
    <w:rsid w:val="00FC693F"/>
    <w:pPr>
      <w:keepNext/>
      <w:keepLines/>
      <w:spacing w:before="200"/>
      <w:outlineLvl w:val="4"/>
    </w:pPr>
    <w:rPr>
      <w:rFonts w:asciiTheme="majorHAnsi" w:eastAsiaTheme="majorEastAsia" w:hAnsiTheme="majorHAnsi" w:cstheme="majorBidi"/>
      <w:color w:val="243F60" w:themeColor="accent1" w:themeShade="7F"/>
    </w:rPr>
  </w:style>
  <w:style w:type="paragraph" w:styleId="6">
    <w:name w:val="heading 6"/>
    <w:basedOn w:val="a1"/>
    <w:next w:val="a1"/>
    <w:link w:val="60"/>
    <w:uiPriority w:val="9"/>
    <w:semiHidden/>
    <w:unhideWhenUsed/>
    <w:qFormat/>
    <w:rsid w:val="00FC693F"/>
    <w:pPr>
      <w:keepNext/>
      <w:keepLines/>
      <w:spacing w:before="200"/>
      <w:outlineLvl w:val="5"/>
    </w:pPr>
    <w:rPr>
      <w:rFonts w:asciiTheme="majorHAnsi" w:eastAsiaTheme="majorEastAsia" w:hAnsiTheme="majorHAnsi" w:cstheme="majorBidi"/>
      <w:i/>
      <w:iCs/>
      <w:color w:val="243F60" w:themeColor="accent1" w:themeShade="7F"/>
    </w:rPr>
  </w:style>
  <w:style w:type="paragraph" w:styleId="7">
    <w:name w:val="heading 7"/>
    <w:basedOn w:val="a1"/>
    <w:next w:val="a1"/>
    <w:link w:val="70"/>
    <w:uiPriority w:val="9"/>
    <w:semiHidden/>
    <w:unhideWhenUsed/>
    <w:qFormat/>
    <w:rsid w:val="00FC693F"/>
    <w:pPr>
      <w:keepNext/>
      <w:keepLines/>
      <w:spacing w:before="200"/>
      <w:outlineLvl w:val="6"/>
    </w:pPr>
    <w:rPr>
      <w:rFonts w:asciiTheme="majorHAnsi" w:eastAsiaTheme="majorEastAsia" w:hAnsiTheme="majorHAnsi" w:cstheme="majorBidi"/>
      <w:i/>
      <w:iCs/>
      <w:color w:val="404040" w:themeColor="text1" w:themeTint="BF"/>
    </w:rPr>
  </w:style>
  <w:style w:type="paragraph" w:styleId="8">
    <w:name w:val="heading 8"/>
    <w:basedOn w:val="a1"/>
    <w:next w:val="a1"/>
    <w:link w:val="80"/>
    <w:uiPriority w:val="9"/>
    <w:semiHidden/>
    <w:unhideWhenUsed/>
    <w:qFormat/>
    <w:rsid w:val="00FC693F"/>
    <w:pPr>
      <w:keepNext/>
      <w:keepLines/>
      <w:spacing w:before="200"/>
      <w:outlineLvl w:val="7"/>
    </w:pPr>
    <w:rPr>
      <w:rFonts w:asciiTheme="majorHAnsi" w:eastAsiaTheme="majorEastAsia" w:hAnsiTheme="majorHAnsi" w:cstheme="majorBidi"/>
      <w:color w:val="4F81BD" w:themeColor="accent1"/>
      <w:sz w:val="20"/>
      <w:szCs w:val="20"/>
    </w:rPr>
  </w:style>
  <w:style w:type="paragraph" w:styleId="9">
    <w:name w:val="heading 9"/>
    <w:basedOn w:val="a1"/>
    <w:next w:val="a1"/>
    <w:link w:val="90"/>
    <w:uiPriority w:val="9"/>
    <w:semiHidden/>
    <w:unhideWhenUsed/>
    <w:qFormat/>
    <w:rsid w:val="00FC693F"/>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styleId="a5">
    <w:name w:val="header"/>
    <w:basedOn w:val="a1"/>
    <w:link w:val="a6"/>
    <w:uiPriority w:val="99"/>
    <w:unhideWhenUsed/>
    <w:rsid w:val="00E618BF"/>
    <w:pPr>
      <w:tabs>
        <w:tab w:val="center" w:pos="4680"/>
        <w:tab w:val="right" w:pos="9360"/>
      </w:tabs>
      <w:spacing w:line="240" w:lineRule="auto"/>
    </w:pPr>
  </w:style>
  <w:style w:type="character" w:customStyle="1" w:styleId="a6">
    <w:name w:val="页眉 字符"/>
    <w:basedOn w:val="a2"/>
    <w:link w:val="a5"/>
    <w:uiPriority w:val="99"/>
    <w:rsid w:val="00E618BF"/>
  </w:style>
  <w:style w:type="paragraph" w:styleId="a7">
    <w:name w:val="footer"/>
    <w:basedOn w:val="a1"/>
    <w:link w:val="a8"/>
    <w:uiPriority w:val="99"/>
    <w:unhideWhenUsed/>
    <w:rsid w:val="00E618BF"/>
    <w:pPr>
      <w:tabs>
        <w:tab w:val="center" w:pos="4680"/>
        <w:tab w:val="right" w:pos="9360"/>
      </w:tabs>
      <w:spacing w:line="240" w:lineRule="auto"/>
    </w:pPr>
  </w:style>
  <w:style w:type="character" w:customStyle="1" w:styleId="a8">
    <w:name w:val="页脚 字符"/>
    <w:basedOn w:val="a2"/>
    <w:link w:val="a7"/>
    <w:uiPriority w:val="99"/>
    <w:rsid w:val="00E618BF"/>
  </w:style>
  <w:style w:type="paragraph" w:styleId="a9">
    <w:name w:val="No Spacing"/>
    <w:uiPriority w:val="1"/>
    <w:qFormat/>
    <w:rsid w:val="00FC693F"/>
    <w:pPr>
      <w:spacing w:after="0" w:line="240" w:lineRule="auto"/>
    </w:pPr>
  </w:style>
  <w:style w:type="character" w:customStyle="1" w:styleId="10">
    <w:name w:val="标题 1 字符"/>
    <w:basedOn w:val="a2"/>
    <w:link w:val="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22">
    <w:name w:val="标题 2 字符"/>
    <w:basedOn w:val="a2"/>
    <w:link w:val="21"/>
    <w:uiPriority w:val="9"/>
    <w:rsid w:val="00FC693F"/>
    <w:rPr>
      <w:rFonts w:asciiTheme="majorHAnsi" w:eastAsiaTheme="majorEastAsia" w:hAnsiTheme="majorHAnsi" w:cstheme="majorBidi"/>
      <w:b/>
      <w:bCs/>
      <w:color w:val="4F81BD" w:themeColor="accent1"/>
      <w:sz w:val="26"/>
      <w:szCs w:val="26"/>
    </w:rPr>
  </w:style>
  <w:style w:type="character" w:customStyle="1" w:styleId="32">
    <w:name w:val="标题 3 字符"/>
    <w:basedOn w:val="a2"/>
    <w:link w:val="31"/>
    <w:uiPriority w:val="9"/>
    <w:rsid w:val="00FC693F"/>
    <w:rPr>
      <w:rFonts w:asciiTheme="majorHAnsi" w:eastAsiaTheme="majorEastAsia" w:hAnsiTheme="majorHAnsi" w:cstheme="majorBidi"/>
      <w:b/>
      <w:bCs/>
      <w:color w:val="4F81BD" w:themeColor="accent1"/>
    </w:rPr>
  </w:style>
  <w:style w:type="paragraph" w:styleId="aa">
    <w:name w:val="Title"/>
    <w:basedOn w:val="a1"/>
    <w:next w:val="a1"/>
    <w:link w:val="ab"/>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ab">
    <w:name w:val="标题 字符"/>
    <w:basedOn w:val="a2"/>
    <w:link w:val="aa"/>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ac">
    <w:name w:val="Subtitle"/>
    <w:basedOn w:val="a1"/>
    <w:next w:val="a1"/>
    <w:link w:val="ad"/>
    <w:uiPriority w:val="11"/>
    <w:qFormat/>
    <w:rsid w:val="00FC693F"/>
    <w:pPr>
      <w:numPr>
        <w:ilvl w:val="1"/>
      </w:numPr>
      <w:ind w:firstLine="480"/>
    </w:pPr>
    <w:rPr>
      <w:rFonts w:asciiTheme="majorHAnsi" w:eastAsiaTheme="majorEastAsia" w:hAnsiTheme="majorHAnsi" w:cstheme="majorBidi"/>
      <w:i/>
      <w:iCs/>
      <w:color w:val="4F81BD" w:themeColor="accent1"/>
      <w:spacing w:val="15"/>
      <w:szCs w:val="24"/>
    </w:rPr>
  </w:style>
  <w:style w:type="character" w:customStyle="1" w:styleId="ad">
    <w:name w:val="副标题 字符"/>
    <w:basedOn w:val="a2"/>
    <w:link w:val="ac"/>
    <w:uiPriority w:val="11"/>
    <w:rsid w:val="00FC693F"/>
    <w:rPr>
      <w:rFonts w:asciiTheme="majorHAnsi" w:eastAsiaTheme="majorEastAsia" w:hAnsiTheme="majorHAnsi" w:cstheme="majorBidi"/>
      <w:i/>
      <w:iCs/>
      <w:color w:val="4F81BD" w:themeColor="accent1"/>
      <w:spacing w:val="15"/>
      <w:sz w:val="24"/>
      <w:szCs w:val="24"/>
    </w:rPr>
  </w:style>
  <w:style w:type="paragraph" w:styleId="ae">
    <w:name w:val="List Paragraph"/>
    <w:basedOn w:val="a1"/>
    <w:uiPriority w:val="34"/>
    <w:qFormat/>
    <w:rsid w:val="00FC693F"/>
    <w:pPr>
      <w:ind w:left="720"/>
      <w:contextualSpacing/>
    </w:pPr>
  </w:style>
  <w:style w:type="paragraph" w:styleId="af">
    <w:name w:val="Body Text"/>
    <w:basedOn w:val="a1"/>
    <w:link w:val="af0"/>
    <w:uiPriority w:val="99"/>
    <w:unhideWhenUsed/>
    <w:rsid w:val="00AA1D8D"/>
    <w:pPr>
      <w:spacing w:after="120"/>
    </w:pPr>
  </w:style>
  <w:style w:type="character" w:customStyle="1" w:styleId="af0">
    <w:name w:val="正文文本 字符"/>
    <w:basedOn w:val="a2"/>
    <w:link w:val="af"/>
    <w:uiPriority w:val="99"/>
    <w:rsid w:val="00AA1D8D"/>
  </w:style>
  <w:style w:type="paragraph" w:styleId="23">
    <w:name w:val="Body Text 2"/>
    <w:basedOn w:val="a1"/>
    <w:link w:val="24"/>
    <w:uiPriority w:val="99"/>
    <w:unhideWhenUsed/>
    <w:rsid w:val="00AA1D8D"/>
    <w:pPr>
      <w:spacing w:after="120" w:line="480" w:lineRule="auto"/>
    </w:pPr>
  </w:style>
  <w:style w:type="character" w:customStyle="1" w:styleId="24">
    <w:name w:val="正文文本 2 字符"/>
    <w:basedOn w:val="a2"/>
    <w:link w:val="23"/>
    <w:uiPriority w:val="99"/>
    <w:rsid w:val="00AA1D8D"/>
  </w:style>
  <w:style w:type="paragraph" w:styleId="33">
    <w:name w:val="Body Text 3"/>
    <w:basedOn w:val="a1"/>
    <w:link w:val="34"/>
    <w:uiPriority w:val="99"/>
    <w:unhideWhenUsed/>
    <w:rsid w:val="00AA1D8D"/>
    <w:pPr>
      <w:spacing w:after="120"/>
    </w:pPr>
    <w:rPr>
      <w:sz w:val="16"/>
      <w:szCs w:val="16"/>
    </w:rPr>
  </w:style>
  <w:style w:type="character" w:customStyle="1" w:styleId="34">
    <w:name w:val="正文文本 3 字符"/>
    <w:basedOn w:val="a2"/>
    <w:link w:val="33"/>
    <w:uiPriority w:val="99"/>
    <w:rsid w:val="00AA1D8D"/>
    <w:rPr>
      <w:sz w:val="16"/>
      <w:szCs w:val="16"/>
    </w:rPr>
  </w:style>
  <w:style w:type="paragraph" w:styleId="af1">
    <w:name w:val="List"/>
    <w:basedOn w:val="a1"/>
    <w:uiPriority w:val="99"/>
    <w:unhideWhenUsed/>
    <w:rsid w:val="00AA1D8D"/>
    <w:pPr>
      <w:ind w:left="360" w:hanging="360"/>
      <w:contextualSpacing/>
    </w:pPr>
  </w:style>
  <w:style w:type="paragraph" w:styleId="25">
    <w:name w:val="List 2"/>
    <w:basedOn w:val="a1"/>
    <w:uiPriority w:val="99"/>
    <w:unhideWhenUsed/>
    <w:rsid w:val="00326F90"/>
    <w:pPr>
      <w:ind w:left="720" w:hanging="360"/>
      <w:contextualSpacing/>
    </w:pPr>
  </w:style>
  <w:style w:type="paragraph" w:styleId="35">
    <w:name w:val="List 3"/>
    <w:basedOn w:val="a1"/>
    <w:uiPriority w:val="99"/>
    <w:unhideWhenUsed/>
    <w:rsid w:val="00326F90"/>
    <w:pPr>
      <w:ind w:left="1080" w:hanging="360"/>
      <w:contextualSpacing/>
    </w:pPr>
  </w:style>
  <w:style w:type="paragraph" w:styleId="a0">
    <w:name w:val="List Bullet"/>
    <w:basedOn w:val="a1"/>
    <w:uiPriority w:val="99"/>
    <w:unhideWhenUsed/>
    <w:rsid w:val="00326F90"/>
    <w:pPr>
      <w:numPr>
        <w:numId w:val="1"/>
      </w:numPr>
      <w:contextualSpacing/>
    </w:pPr>
  </w:style>
  <w:style w:type="paragraph" w:styleId="20">
    <w:name w:val="List Bullet 2"/>
    <w:basedOn w:val="a1"/>
    <w:uiPriority w:val="99"/>
    <w:unhideWhenUsed/>
    <w:rsid w:val="00326F90"/>
    <w:pPr>
      <w:numPr>
        <w:numId w:val="2"/>
      </w:numPr>
      <w:contextualSpacing/>
    </w:pPr>
  </w:style>
  <w:style w:type="paragraph" w:styleId="30">
    <w:name w:val="List Bullet 3"/>
    <w:basedOn w:val="a1"/>
    <w:uiPriority w:val="99"/>
    <w:unhideWhenUsed/>
    <w:rsid w:val="00326F90"/>
    <w:pPr>
      <w:numPr>
        <w:numId w:val="3"/>
      </w:numPr>
      <w:contextualSpacing/>
    </w:pPr>
  </w:style>
  <w:style w:type="paragraph" w:styleId="a">
    <w:name w:val="List Number"/>
    <w:basedOn w:val="a1"/>
    <w:uiPriority w:val="99"/>
    <w:unhideWhenUsed/>
    <w:rsid w:val="00326F90"/>
    <w:pPr>
      <w:numPr>
        <w:numId w:val="5"/>
      </w:numPr>
      <w:contextualSpacing/>
    </w:pPr>
  </w:style>
  <w:style w:type="paragraph" w:styleId="2">
    <w:name w:val="List Number 2"/>
    <w:basedOn w:val="a1"/>
    <w:uiPriority w:val="99"/>
    <w:unhideWhenUsed/>
    <w:rsid w:val="0029639D"/>
    <w:pPr>
      <w:numPr>
        <w:numId w:val="6"/>
      </w:numPr>
      <w:contextualSpacing/>
    </w:pPr>
  </w:style>
  <w:style w:type="paragraph" w:styleId="3">
    <w:name w:val="List Number 3"/>
    <w:basedOn w:val="a1"/>
    <w:uiPriority w:val="99"/>
    <w:unhideWhenUsed/>
    <w:rsid w:val="0029639D"/>
    <w:pPr>
      <w:numPr>
        <w:numId w:val="7"/>
      </w:numPr>
      <w:contextualSpacing/>
    </w:pPr>
  </w:style>
  <w:style w:type="paragraph" w:styleId="af2">
    <w:name w:val="List Continue"/>
    <w:basedOn w:val="a1"/>
    <w:uiPriority w:val="99"/>
    <w:unhideWhenUsed/>
    <w:rsid w:val="0029639D"/>
    <w:pPr>
      <w:spacing w:after="120"/>
      <w:ind w:left="360"/>
      <w:contextualSpacing/>
    </w:pPr>
  </w:style>
  <w:style w:type="paragraph" w:styleId="26">
    <w:name w:val="List Continue 2"/>
    <w:basedOn w:val="a1"/>
    <w:uiPriority w:val="99"/>
    <w:unhideWhenUsed/>
    <w:rsid w:val="0029639D"/>
    <w:pPr>
      <w:spacing w:after="120"/>
      <w:ind w:left="720"/>
      <w:contextualSpacing/>
    </w:pPr>
  </w:style>
  <w:style w:type="paragraph" w:styleId="36">
    <w:name w:val="List Continue 3"/>
    <w:basedOn w:val="a1"/>
    <w:uiPriority w:val="99"/>
    <w:unhideWhenUsed/>
    <w:rsid w:val="0029639D"/>
    <w:pPr>
      <w:spacing w:after="120"/>
      <w:ind w:left="1080"/>
      <w:contextualSpacing/>
    </w:pPr>
  </w:style>
  <w:style w:type="paragraph" w:styleId="af3">
    <w:name w:val="macro"/>
    <w:link w:val="af4"/>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af4">
    <w:name w:val="宏文本 字符"/>
    <w:basedOn w:val="a2"/>
    <w:link w:val="af3"/>
    <w:uiPriority w:val="99"/>
    <w:rsid w:val="0029639D"/>
    <w:rPr>
      <w:rFonts w:ascii="Courier" w:hAnsi="Courier"/>
      <w:sz w:val="20"/>
      <w:szCs w:val="20"/>
    </w:rPr>
  </w:style>
  <w:style w:type="paragraph" w:styleId="af5">
    <w:name w:val="Quote"/>
    <w:basedOn w:val="a1"/>
    <w:next w:val="a1"/>
    <w:link w:val="af6"/>
    <w:uiPriority w:val="29"/>
    <w:qFormat/>
    <w:rsid w:val="00FC693F"/>
    <w:rPr>
      <w:i/>
      <w:iCs/>
      <w:color w:val="000000" w:themeColor="text1"/>
    </w:rPr>
  </w:style>
  <w:style w:type="character" w:customStyle="1" w:styleId="af6">
    <w:name w:val="引用 字符"/>
    <w:basedOn w:val="a2"/>
    <w:link w:val="af5"/>
    <w:uiPriority w:val="29"/>
    <w:rsid w:val="00FC693F"/>
    <w:rPr>
      <w:i/>
      <w:iCs/>
      <w:color w:val="000000" w:themeColor="text1"/>
    </w:rPr>
  </w:style>
  <w:style w:type="character" w:customStyle="1" w:styleId="40">
    <w:name w:val="标题 4 字符"/>
    <w:basedOn w:val="a2"/>
    <w:link w:val="4"/>
    <w:uiPriority w:val="9"/>
    <w:semiHidden/>
    <w:rsid w:val="00FC693F"/>
    <w:rPr>
      <w:rFonts w:asciiTheme="majorHAnsi" w:eastAsiaTheme="majorEastAsia" w:hAnsiTheme="majorHAnsi" w:cstheme="majorBidi"/>
      <w:b/>
      <w:bCs/>
      <w:i/>
      <w:iCs/>
      <w:color w:val="4F81BD" w:themeColor="accent1"/>
    </w:rPr>
  </w:style>
  <w:style w:type="character" w:customStyle="1" w:styleId="50">
    <w:name w:val="标题 5 字符"/>
    <w:basedOn w:val="a2"/>
    <w:link w:val="5"/>
    <w:uiPriority w:val="9"/>
    <w:semiHidden/>
    <w:rsid w:val="00FC693F"/>
    <w:rPr>
      <w:rFonts w:asciiTheme="majorHAnsi" w:eastAsiaTheme="majorEastAsia" w:hAnsiTheme="majorHAnsi" w:cstheme="majorBidi"/>
      <w:color w:val="243F60" w:themeColor="accent1" w:themeShade="7F"/>
    </w:rPr>
  </w:style>
  <w:style w:type="character" w:customStyle="1" w:styleId="60">
    <w:name w:val="标题 6 字符"/>
    <w:basedOn w:val="a2"/>
    <w:link w:val="6"/>
    <w:uiPriority w:val="9"/>
    <w:semiHidden/>
    <w:rsid w:val="00FC693F"/>
    <w:rPr>
      <w:rFonts w:asciiTheme="majorHAnsi" w:eastAsiaTheme="majorEastAsia" w:hAnsiTheme="majorHAnsi" w:cstheme="majorBidi"/>
      <w:i/>
      <w:iCs/>
      <w:color w:val="243F60" w:themeColor="accent1" w:themeShade="7F"/>
    </w:rPr>
  </w:style>
  <w:style w:type="character" w:customStyle="1" w:styleId="70">
    <w:name w:val="标题 7 字符"/>
    <w:basedOn w:val="a2"/>
    <w:link w:val="7"/>
    <w:uiPriority w:val="9"/>
    <w:semiHidden/>
    <w:rsid w:val="00FC693F"/>
    <w:rPr>
      <w:rFonts w:asciiTheme="majorHAnsi" w:eastAsiaTheme="majorEastAsia" w:hAnsiTheme="majorHAnsi" w:cstheme="majorBidi"/>
      <w:i/>
      <w:iCs/>
      <w:color w:val="404040" w:themeColor="text1" w:themeTint="BF"/>
    </w:rPr>
  </w:style>
  <w:style w:type="character" w:customStyle="1" w:styleId="80">
    <w:name w:val="标题 8 字符"/>
    <w:basedOn w:val="a2"/>
    <w:link w:val="8"/>
    <w:uiPriority w:val="9"/>
    <w:semiHidden/>
    <w:rsid w:val="00FC693F"/>
    <w:rPr>
      <w:rFonts w:asciiTheme="majorHAnsi" w:eastAsiaTheme="majorEastAsia" w:hAnsiTheme="majorHAnsi" w:cstheme="majorBidi"/>
      <w:color w:val="4F81BD" w:themeColor="accent1"/>
      <w:sz w:val="20"/>
      <w:szCs w:val="20"/>
    </w:rPr>
  </w:style>
  <w:style w:type="character" w:customStyle="1" w:styleId="90">
    <w:name w:val="标题 9 字符"/>
    <w:basedOn w:val="a2"/>
    <w:link w:val="9"/>
    <w:uiPriority w:val="9"/>
    <w:semiHidden/>
    <w:rsid w:val="00FC693F"/>
    <w:rPr>
      <w:rFonts w:asciiTheme="majorHAnsi" w:eastAsiaTheme="majorEastAsia" w:hAnsiTheme="majorHAnsi" w:cstheme="majorBidi"/>
      <w:i/>
      <w:iCs/>
      <w:color w:val="404040" w:themeColor="text1" w:themeTint="BF"/>
      <w:sz w:val="20"/>
      <w:szCs w:val="20"/>
    </w:rPr>
  </w:style>
  <w:style w:type="paragraph" w:styleId="af7">
    <w:name w:val="caption"/>
    <w:basedOn w:val="a1"/>
    <w:next w:val="a1"/>
    <w:uiPriority w:val="35"/>
    <w:semiHidden/>
    <w:unhideWhenUsed/>
    <w:qFormat/>
    <w:rsid w:val="00FC693F"/>
    <w:pPr>
      <w:spacing w:line="240" w:lineRule="auto"/>
    </w:pPr>
    <w:rPr>
      <w:b/>
      <w:bCs/>
      <w:color w:val="4F81BD" w:themeColor="accent1"/>
      <w:sz w:val="18"/>
      <w:szCs w:val="18"/>
    </w:rPr>
  </w:style>
  <w:style w:type="character" w:styleId="af8">
    <w:name w:val="Strong"/>
    <w:basedOn w:val="a2"/>
    <w:uiPriority w:val="22"/>
    <w:qFormat/>
    <w:rsid w:val="00FC693F"/>
    <w:rPr>
      <w:b/>
      <w:bCs/>
    </w:rPr>
  </w:style>
  <w:style w:type="character" w:styleId="af9">
    <w:name w:val="Emphasis"/>
    <w:basedOn w:val="a2"/>
    <w:uiPriority w:val="20"/>
    <w:qFormat/>
    <w:rsid w:val="00FC693F"/>
    <w:rPr>
      <w:i/>
      <w:iCs/>
    </w:rPr>
  </w:style>
  <w:style w:type="paragraph" w:styleId="afa">
    <w:name w:val="Intense Quote"/>
    <w:basedOn w:val="a1"/>
    <w:next w:val="a1"/>
    <w:link w:val="afb"/>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afb">
    <w:name w:val="明显引用 字符"/>
    <w:basedOn w:val="a2"/>
    <w:link w:val="afa"/>
    <w:uiPriority w:val="30"/>
    <w:rsid w:val="00FC693F"/>
    <w:rPr>
      <w:b/>
      <w:bCs/>
      <w:i/>
      <w:iCs/>
      <w:color w:val="4F81BD" w:themeColor="accent1"/>
    </w:rPr>
  </w:style>
  <w:style w:type="character" w:styleId="afc">
    <w:name w:val="Subtle Emphasis"/>
    <w:basedOn w:val="a2"/>
    <w:uiPriority w:val="19"/>
    <w:qFormat/>
    <w:rsid w:val="00FC693F"/>
    <w:rPr>
      <w:i/>
      <w:iCs/>
      <w:color w:val="808080" w:themeColor="text1" w:themeTint="7F"/>
    </w:rPr>
  </w:style>
  <w:style w:type="character" w:styleId="afd">
    <w:name w:val="Intense Emphasis"/>
    <w:basedOn w:val="a2"/>
    <w:uiPriority w:val="21"/>
    <w:qFormat/>
    <w:rsid w:val="00FC693F"/>
    <w:rPr>
      <w:b/>
      <w:bCs/>
      <w:i/>
      <w:iCs/>
      <w:color w:val="4F81BD" w:themeColor="accent1"/>
    </w:rPr>
  </w:style>
  <w:style w:type="character" w:styleId="afe">
    <w:name w:val="Subtle Reference"/>
    <w:basedOn w:val="a2"/>
    <w:uiPriority w:val="31"/>
    <w:qFormat/>
    <w:rsid w:val="00FC693F"/>
    <w:rPr>
      <w:smallCaps/>
      <w:color w:val="C0504D" w:themeColor="accent2"/>
      <w:u w:val="single"/>
    </w:rPr>
  </w:style>
  <w:style w:type="character" w:styleId="aff">
    <w:name w:val="Intense Reference"/>
    <w:basedOn w:val="a2"/>
    <w:uiPriority w:val="32"/>
    <w:qFormat/>
    <w:rsid w:val="00FC693F"/>
    <w:rPr>
      <w:b/>
      <w:bCs/>
      <w:smallCaps/>
      <w:color w:val="C0504D" w:themeColor="accent2"/>
      <w:spacing w:val="5"/>
      <w:u w:val="single"/>
    </w:rPr>
  </w:style>
  <w:style w:type="character" w:styleId="aff0">
    <w:name w:val="Book Title"/>
    <w:basedOn w:val="a2"/>
    <w:uiPriority w:val="33"/>
    <w:qFormat/>
    <w:rsid w:val="00FC693F"/>
    <w:rPr>
      <w:b/>
      <w:bCs/>
      <w:smallCaps/>
      <w:spacing w:val="5"/>
    </w:rPr>
  </w:style>
  <w:style w:type="paragraph" w:styleId="TOC">
    <w:name w:val="TOC Heading"/>
    <w:basedOn w:val="1"/>
    <w:next w:val="a1"/>
    <w:uiPriority w:val="39"/>
    <w:semiHidden/>
    <w:unhideWhenUsed/>
    <w:qFormat/>
    <w:rsid w:val="00FC693F"/>
    <w:pPr>
      <w:outlineLvl w:val="9"/>
    </w:pPr>
  </w:style>
  <w:style w:type="table" w:styleId="aff1">
    <w:name w:val="Table Grid"/>
    <w:basedOn w:val="a3"/>
    <w:uiPriority w:val="59"/>
    <w:rsid w:val="00FC69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aff2">
    <w:name w:val="Light Shading"/>
    <w:basedOn w:val="a3"/>
    <w:uiPriority w:val="60"/>
    <w:rsid w:val="00FC693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1">
    <w:name w:val="Light Shading Accent 1"/>
    <w:basedOn w:val="a3"/>
    <w:uiPriority w:val="60"/>
    <w:rsid w:val="00FC693F"/>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2">
    <w:name w:val="Light Shading Accent 2"/>
    <w:basedOn w:val="a3"/>
    <w:uiPriority w:val="60"/>
    <w:rsid w:val="00FC693F"/>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3">
    <w:name w:val="Light Shading Accent 3"/>
    <w:basedOn w:val="a3"/>
    <w:uiPriority w:val="60"/>
    <w:rsid w:val="00FC693F"/>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4">
    <w:name w:val="Light Shading Accent 4"/>
    <w:basedOn w:val="a3"/>
    <w:uiPriority w:val="60"/>
    <w:rsid w:val="00FC693F"/>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5">
    <w:name w:val="Light Shading Accent 5"/>
    <w:basedOn w:val="a3"/>
    <w:uiPriority w:val="60"/>
    <w:rsid w:val="00FC693F"/>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6">
    <w:name w:val="Light Shading Accent 6"/>
    <w:basedOn w:val="a3"/>
    <w:uiPriority w:val="60"/>
    <w:rsid w:val="00FC693F"/>
    <w:pPr>
      <w:spacing w:after="0" w:line="240" w:lineRule="auto"/>
    </w:pPr>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aff3">
    <w:name w:val="Light List"/>
    <w:basedOn w:val="a3"/>
    <w:uiPriority w:val="61"/>
    <w:rsid w:val="00FC693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10">
    <w:name w:val="Light List Accent 1"/>
    <w:basedOn w:val="a3"/>
    <w:uiPriority w:val="61"/>
    <w:rsid w:val="00FC693F"/>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20">
    <w:name w:val="Light List Accent 2"/>
    <w:basedOn w:val="a3"/>
    <w:uiPriority w:val="61"/>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30">
    <w:name w:val="Light List Accent 3"/>
    <w:basedOn w:val="a3"/>
    <w:uiPriority w:val="61"/>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40">
    <w:name w:val="Light List Accent 4"/>
    <w:basedOn w:val="a3"/>
    <w:uiPriority w:val="61"/>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50">
    <w:name w:val="Light List Accent 5"/>
    <w:basedOn w:val="a3"/>
    <w:uiPriority w:val="61"/>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60">
    <w:name w:val="Light List Accent 6"/>
    <w:basedOn w:val="a3"/>
    <w:uiPriority w:val="61"/>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aff4">
    <w:name w:val="Light Grid"/>
    <w:basedOn w:val="a3"/>
    <w:uiPriority w:val="62"/>
    <w:rsid w:val="00CB0664"/>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11">
    <w:name w:val="Light Grid Accent 1"/>
    <w:basedOn w:val="a3"/>
    <w:uiPriority w:val="62"/>
    <w:rsid w:val="00CB0664"/>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21">
    <w:name w:val="Light Grid Accent 2"/>
    <w:basedOn w:val="a3"/>
    <w:uiPriority w:val="62"/>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31">
    <w:name w:val="Light Grid Accent 3"/>
    <w:basedOn w:val="a3"/>
    <w:uiPriority w:val="62"/>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41">
    <w:name w:val="Light Grid Accent 4"/>
    <w:basedOn w:val="a3"/>
    <w:uiPriority w:val="62"/>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51">
    <w:name w:val="Light Grid Accent 5"/>
    <w:basedOn w:val="a3"/>
    <w:uiPriority w:val="62"/>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61">
    <w:name w:val="Light Grid Accent 6"/>
    <w:basedOn w:val="a3"/>
    <w:uiPriority w:val="62"/>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11">
    <w:name w:val="Medium Shading 1"/>
    <w:basedOn w:val="a3"/>
    <w:uiPriority w:val="63"/>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1-1">
    <w:name w:val="Medium Shading 1 Accent 1"/>
    <w:basedOn w:val="a3"/>
    <w:uiPriority w:val="63"/>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1-2">
    <w:name w:val="Medium Shading 1 Accent 2"/>
    <w:basedOn w:val="a3"/>
    <w:uiPriority w:val="63"/>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1-3">
    <w:name w:val="Medium Shading 1 Accent 3"/>
    <w:basedOn w:val="a3"/>
    <w:uiPriority w:val="63"/>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1-4">
    <w:name w:val="Medium Shading 1 Accent 4"/>
    <w:basedOn w:val="a3"/>
    <w:uiPriority w:val="63"/>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1-5">
    <w:name w:val="Medium Shading 1 Accent 5"/>
    <w:basedOn w:val="a3"/>
    <w:uiPriority w:val="63"/>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1-6">
    <w:name w:val="Medium Shading 1 Accent 6"/>
    <w:basedOn w:val="a3"/>
    <w:uiPriority w:val="63"/>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27">
    <w:name w:val="Medium Shading 2"/>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1">
    <w:name w:val="Medium Shading 2 Accent 1"/>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2">
    <w:name w:val="Medium Shading 2 Accent 2"/>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3">
    <w:name w:val="Medium Shading 2 Accent 3"/>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4">
    <w:name w:val="Medium Shading 2 Accent 4"/>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5">
    <w:name w:val="Medium Shading 2 Accent 5"/>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6">
    <w:name w:val="Medium Shading 2 Accent 6"/>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12">
    <w:name w:val="Medium List 1"/>
    <w:basedOn w:val="a3"/>
    <w:uiPriority w:val="65"/>
    <w:rsid w:val="00CB0664"/>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1-10">
    <w:name w:val="Medium List 1 Accent 1"/>
    <w:basedOn w:val="a3"/>
    <w:uiPriority w:val="65"/>
    <w:rsid w:val="00CB0664"/>
    <w:pPr>
      <w:spacing w:after="0"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1-20">
    <w:name w:val="Medium List 1 Accent 2"/>
    <w:basedOn w:val="a3"/>
    <w:uiPriority w:val="65"/>
    <w:rsid w:val="00CB0664"/>
    <w:pPr>
      <w:spacing w:after="0" w:line="240" w:lineRule="auto"/>
    </w:pPr>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1-30">
    <w:name w:val="Medium List 1 Accent 3"/>
    <w:basedOn w:val="a3"/>
    <w:uiPriority w:val="65"/>
    <w:rsid w:val="00CB0664"/>
    <w:pPr>
      <w:spacing w:after="0" w:line="240" w:lineRule="auto"/>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1-40">
    <w:name w:val="Medium List 1 Accent 4"/>
    <w:basedOn w:val="a3"/>
    <w:uiPriority w:val="65"/>
    <w:rsid w:val="00CB0664"/>
    <w:pPr>
      <w:spacing w:after="0" w:line="240" w:lineRule="auto"/>
    </w:pPr>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1-50">
    <w:name w:val="Medium List 1 Accent 5"/>
    <w:basedOn w:val="a3"/>
    <w:uiPriority w:val="65"/>
    <w:rsid w:val="00CB0664"/>
    <w:pPr>
      <w:spacing w:after="0" w:line="240" w:lineRule="auto"/>
    </w:pPr>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1-60">
    <w:name w:val="Medium List 1 Accent 6"/>
    <w:basedOn w:val="a3"/>
    <w:uiPriority w:val="65"/>
    <w:rsid w:val="00CB0664"/>
    <w:pPr>
      <w:spacing w:after="0" w:line="240" w:lineRule="auto"/>
    </w:pPr>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28">
    <w:name w:val="Medium List 2"/>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2-10">
    <w:name w:val="Medium List 2 Accent 1"/>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2-20">
    <w:name w:val="Medium List 2 Accent 2"/>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2-30">
    <w:name w:val="Medium List 2 Accent 3"/>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2-40">
    <w:name w:val="Medium List 2 Accent 4"/>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2-50">
    <w:name w:val="Medium List 2 Accent 5"/>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2-60">
    <w:name w:val="Medium List 2 Accent 6"/>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13">
    <w:name w:val="Medium Grid 1"/>
    <w:basedOn w:val="a3"/>
    <w:uiPriority w:val="67"/>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11">
    <w:name w:val="Medium Grid 1 Accent 1"/>
    <w:basedOn w:val="a3"/>
    <w:uiPriority w:val="67"/>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1-21">
    <w:name w:val="Medium Grid 1 Accent 2"/>
    <w:basedOn w:val="a3"/>
    <w:uiPriority w:val="67"/>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1-31">
    <w:name w:val="Medium Grid 1 Accent 3"/>
    <w:basedOn w:val="a3"/>
    <w:uiPriority w:val="67"/>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1-41">
    <w:name w:val="Medium Grid 1 Accent 4"/>
    <w:basedOn w:val="a3"/>
    <w:uiPriority w:val="67"/>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1-51">
    <w:name w:val="Medium Grid 1 Accent 5"/>
    <w:basedOn w:val="a3"/>
    <w:uiPriority w:val="67"/>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1-61">
    <w:name w:val="Medium Grid 1 Accent 6"/>
    <w:basedOn w:val="a3"/>
    <w:uiPriority w:val="67"/>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29">
    <w:name w:val="Medium Grid 2"/>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2-11">
    <w:name w:val="Medium Grid 2 Accent 1"/>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2-21">
    <w:name w:val="Medium Grid 2 Accent 2"/>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2-31">
    <w:name w:val="Medium Grid 2 Accent 3"/>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2-41">
    <w:name w:val="Medium Grid 2 Accent 4"/>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2-51">
    <w:name w:val="Medium Grid 2 Accent 5"/>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2-61">
    <w:name w:val="Medium Grid 2 Accent 6"/>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37">
    <w:name w:val="Medium Grid 3"/>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3-1">
    <w:name w:val="Medium Grid 3 Accent 1"/>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3-2">
    <w:name w:val="Medium Grid 3 Accent 2"/>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3-3">
    <w:name w:val="Medium Grid 3 Accent 3"/>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3-4">
    <w:name w:val="Medium Grid 3 Accent 4"/>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3-5">
    <w:name w:val="Medium Grid 3 Accent 5"/>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3-6">
    <w:name w:val="Medium Grid 3 Accent 6"/>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aff5">
    <w:name w:val="Dark List"/>
    <w:basedOn w:val="a3"/>
    <w:uiPriority w:val="70"/>
    <w:rsid w:val="00CB0664"/>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12">
    <w:name w:val="Dark List Accent 1"/>
    <w:basedOn w:val="a3"/>
    <w:uiPriority w:val="70"/>
    <w:rsid w:val="00CB0664"/>
    <w:pPr>
      <w:spacing w:after="0" w:line="240" w:lineRule="auto"/>
    </w:pPr>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22">
    <w:name w:val="Dark List Accent 2"/>
    <w:basedOn w:val="a3"/>
    <w:uiPriority w:val="70"/>
    <w:rsid w:val="00CB0664"/>
    <w:pPr>
      <w:spacing w:after="0" w:line="240" w:lineRule="auto"/>
    </w:pPr>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32">
    <w:name w:val="Dark List Accent 3"/>
    <w:basedOn w:val="a3"/>
    <w:uiPriority w:val="70"/>
    <w:rsid w:val="00CB0664"/>
    <w:pPr>
      <w:spacing w:after="0" w:line="240" w:lineRule="auto"/>
    </w:pPr>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42">
    <w:name w:val="Dark List Accent 4"/>
    <w:basedOn w:val="a3"/>
    <w:uiPriority w:val="70"/>
    <w:rsid w:val="00CB0664"/>
    <w:pPr>
      <w:spacing w:after="0" w:line="240" w:lineRule="auto"/>
    </w:pPr>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52">
    <w:name w:val="Dark List Accent 5"/>
    <w:basedOn w:val="a3"/>
    <w:uiPriority w:val="70"/>
    <w:rsid w:val="00CB0664"/>
    <w:pPr>
      <w:spacing w:after="0" w:line="240" w:lineRule="auto"/>
    </w:pPr>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62">
    <w:name w:val="Dark List Accent 6"/>
    <w:basedOn w:val="a3"/>
    <w:uiPriority w:val="70"/>
    <w:rsid w:val="00CB0664"/>
    <w:pPr>
      <w:spacing w:after="0" w:line="240" w:lineRule="auto"/>
    </w:pPr>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aff6">
    <w:name w:val="Colorful Shading"/>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13">
    <w:name w:val="Colorful Shading Accent 1"/>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23">
    <w:name w:val="Colorful Shading Accent 2"/>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33">
    <w:name w:val="Colorful Shading Accent 3"/>
    <w:basedOn w:val="a3"/>
    <w:uiPriority w:val="71"/>
    <w:rsid w:val="00CB0664"/>
    <w:pPr>
      <w:spacing w:after="0" w:line="240" w:lineRule="auto"/>
    </w:pPr>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43">
    <w:name w:val="Colorful Shading Accent 4"/>
    <w:basedOn w:val="a3"/>
    <w:uiPriority w:val="71"/>
    <w:rsid w:val="00CB0664"/>
    <w:pPr>
      <w:spacing w:after="0" w:line="240" w:lineRule="auto"/>
    </w:pPr>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53">
    <w:name w:val="Colorful Shading Accent 5"/>
    <w:basedOn w:val="a3"/>
    <w:uiPriority w:val="71"/>
    <w:rsid w:val="00CB0664"/>
    <w:pPr>
      <w:spacing w:after="0" w:line="240" w:lineRule="auto"/>
    </w:pPr>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63">
    <w:name w:val="Colorful Shading Accent 6"/>
    <w:basedOn w:val="a3"/>
    <w:uiPriority w:val="71"/>
    <w:rsid w:val="00CB0664"/>
    <w:pPr>
      <w:spacing w:after="0" w:line="240" w:lineRule="auto"/>
    </w:pPr>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aff7">
    <w:name w:val="Colorful List"/>
    <w:basedOn w:val="a3"/>
    <w:uiPriority w:val="72"/>
    <w:rsid w:val="00CB0664"/>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14">
    <w:name w:val="Colorful List Accent 1"/>
    <w:basedOn w:val="a3"/>
    <w:uiPriority w:val="72"/>
    <w:rsid w:val="00CB0664"/>
    <w:pPr>
      <w:spacing w:after="0" w:line="240" w:lineRule="auto"/>
    </w:pPr>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24">
    <w:name w:val="Colorful List Accent 2"/>
    <w:basedOn w:val="a3"/>
    <w:uiPriority w:val="72"/>
    <w:rsid w:val="00CB0664"/>
    <w:pPr>
      <w:spacing w:after="0" w:line="240" w:lineRule="auto"/>
    </w:pPr>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34">
    <w:name w:val="Colorful List Accent 3"/>
    <w:basedOn w:val="a3"/>
    <w:uiPriority w:val="72"/>
    <w:rsid w:val="00CB0664"/>
    <w:pPr>
      <w:spacing w:after="0" w:line="240" w:lineRule="auto"/>
    </w:pPr>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44">
    <w:name w:val="Colorful List Accent 4"/>
    <w:basedOn w:val="a3"/>
    <w:uiPriority w:val="72"/>
    <w:rsid w:val="00CB0664"/>
    <w:pPr>
      <w:spacing w:after="0" w:line="240" w:lineRule="auto"/>
    </w:pPr>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54">
    <w:name w:val="Colorful List Accent 5"/>
    <w:basedOn w:val="a3"/>
    <w:uiPriority w:val="72"/>
    <w:rsid w:val="00CB0664"/>
    <w:pPr>
      <w:spacing w:after="0" w:line="240" w:lineRule="auto"/>
    </w:pPr>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64">
    <w:name w:val="Colorful List Accent 6"/>
    <w:basedOn w:val="a3"/>
    <w:uiPriority w:val="72"/>
    <w:rsid w:val="00CB0664"/>
    <w:pPr>
      <w:spacing w:after="0" w:line="240" w:lineRule="auto"/>
    </w:pPr>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aff8">
    <w:name w:val="Colorful Grid"/>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5">
    <w:name w:val="Colorful Grid Accent 1"/>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25">
    <w:name w:val="Colorful Grid Accent 2"/>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35">
    <w:name w:val="Colorful Grid Accent 3"/>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45">
    <w:name w:val="Colorful Grid Accent 4"/>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55">
    <w:name w:val="Colorful Grid Accent 5"/>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65">
    <w:name w:val="Colorful Grid Accent 6"/>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25</Pages>
  <Words>11545</Words>
  <Characters>12835</Characters>
  <Application>Microsoft Office Word</Application>
  <DocSecurity>0</DocSecurity>
  <Lines>497</Lines>
  <Paragraphs>248</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13136</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舜杰 艾</cp:lastModifiedBy>
  <cp:revision>2</cp:revision>
  <dcterms:created xsi:type="dcterms:W3CDTF">2026-04-06T06:30:00Z</dcterms:created>
  <dcterms:modified xsi:type="dcterms:W3CDTF">2026-04-06T06:30:00Z</dcterms:modified>
  <cp:category/>
</cp:coreProperties>
</file>