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00" w:lineRule="exact"/>
        <w:ind w:firstLine="0"/>
        <w:jc w:val="center"/>
      </w:pPr>
      <w:r>
        <w:rPr>
          <w:rFonts w:ascii="黑体" w:hAnsi="黑体" w:eastAsia="黑体"/>
          <w:b w:val="0"/>
          <w:sz w:val="36"/>
        </w:rPr>
        <w:t>橙源智鉴项目计划书</w:t>
      </w:r>
    </w:p>
    <w:p>
      <w:pPr>
        <w:spacing w:before="0" w:after="0" w:line="500" w:lineRule="exact"/>
        <w:ind w:firstLine="0"/>
        <w:jc w:val="center"/>
      </w:pPr>
      <w:r>
        <w:rPr>
          <w:rFonts w:ascii="仿宋_GB2312" w:hAnsi="仿宋_GB2312" w:eastAsia="仿宋_GB2312"/>
          <w:b w:val="0"/>
          <w:sz w:val="24"/>
        </w:rPr>
        <w:t>版本：V1.0</w:t>
      </w:r>
    </w:p>
    <w:p>
      <w:pPr>
        <w:spacing w:before="0" w:after="0" w:line="500" w:lineRule="exact"/>
        <w:ind w:firstLine="0"/>
        <w:jc w:val="center"/>
      </w:pPr>
      <w:r>
        <w:rPr>
          <w:rFonts w:ascii="仿宋_GB2312" w:hAnsi="仿宋_GB2312" w:eastAsia="仿宋_GB2312"/>
          <w:b w:val="0"/>
          <w:sz w:val="24"/>
        </w:rPr>
        <w:t>日期：2026年4月6日</w:t>
      </w:r>
    </w:p>
    <w:p>
      <w:pPr>
        <w:spacing w:before="0" w:after="0" w:line="500" w:lineRule="exact"/>
        <w:ind w:firstLine="0"/>
        <w:jc w:val="center"/>
      </w:pPr>
      <w:r>
        <w:rPr>
          <w:rFonts w:ascii="仿宋_GB2312" w:hAnsi="仿宋_GB2312" w:eastAsia="仿宋_GB2312"/>
          <w:b w:val="0"/>
          <w:sz w:val="24"/>
        </w:rPr>
        <w:t>说明：本稿按“挑战杯”文档格式要求调整页面与正文样式，当前为去图文字版。</w:t>
      </w:r>
    </w:p>
    <w:p>
      <w:pPr>
        <w:sectPr>
          <w:footerReference w:type="default" r:id="rId9"/>
          <w:pgSz w:w="11906" w:h="16838"/>
          <w:pgMar w:top="1417" w:right="1417" w:bottom="1417" w:left="1417" w:header="850" w:footer="992" w:gutter="0"/>
          <w:cols w:space="720"/>
          <w:docGrid w:linePitch="360"/>
        </w:sectPr>
      </w:pPr>
    </w:p>
    <w:p>
      <w:pPr>
        <w:spacing w:before="0" w:after="0" w:line="500" w:lineRule="exact"/>
        <w:ind w:firstLine="0"/>
        <w:jc w:val="center"/>
      </w:pPr>
      <w:r>
        <w:rPr>
          <w:rFonts w:ascii="黑体" w:hAnsi="黑体" w:eastAsia="黑体"/>
          <w:b w:val="0"/>
          <w:sz w:val="32"/>
        </w:rPr>
        <w:t>目 录</w:t>
      </w:r>
    </w:p>
    <w:p>
      <w:pPr>
        <w:spacing w:before="0" w:after="0" w:line="500" w:lineRule="exact"/>
        <w:ind w:firstLine="480"/>
        <w:jc w:val="both"/>
      </w:pPr>
      <w:r>
        <w:rPr>
          <w:rFonts w:ascii="仿宋_GB2312" w:hAnsi="仿宋_GB2312" w:eastAsia="仿宋_GB2312"/>
          <w:b w:val="0"/>
          <w:sz w:val="24"/>
        </w:rPr>
        <w:t>第一章 项目概述</w:t>
      </w:r>
    </w:p>
    <w:p>
      <w:pPr>
        <w:spacing w:before="0" w:after="0" w:line="500" w:lineRule="exact"/>
        <w:ind w:firstLine="480"/>
        <w:jc w:val="both"/>
      </w:pPr>
      <w:r>
        <w:rPr>
          <w:rFonts w:ascii="仿宋_GB2312" w:hAnsi="仿宋_GB2312" w:eastAsia="仿宋_GB2312"/>
          <w:b w:val="0"/>
          <w:sz w:val="24"/>
        </w:rPr>
        <w:t>1.1 项目背景</w:t>
      </w:r>
    </w:p>
    <w:p>
      <w:pPr>
        <w:spacing w:before="0" w:after="0" w:line="500" w:lineRule="exact"/>
        <w:ind w:firstLine="480"/>
        <w:jc w:val="both"/>
      </w:pPr>
      <w:r>
        <w:rPr>
          <w:rFonts w:ascii="仿宋_GB2312" w:hAnsi="仿宋_GB2312" w:eastAsia="仿宋_GB2312"/>
          <w:b w:val="0"/>
          <w:sz w:val="24"/>
        </w:rPr>
        <w:t>1.2 政策支持</w:t>
      </w:r>
    </w:p>
    <w:p>
      <w:pPr>
        <w:spacing w:before="0" w:after="0" w:line="500" w:lineRule="exact"/>
        <w:ind w:firstLine="480"/>
        <w:jc w:val="both"/>
      </w:pPr>
      <w:r>
        <w:rPr>
          <w:rFonts w:ascii="仿宋_GB2312" w:hAnsi="仿宋_GB2312" w:eastAsia="仿宋_GB2312"/>
          <w:b w:val="0"/>
          <w:sz w:val="24"/>
        </w:rPr>
        <w:t>1.2.1 国家智慧农业与追溯政策支撑</w:t>
      </w:r>
    </w:p>
    <w:p>
      <w:pPr>
        <w:spacing w:before="0" w:after="0" w:line="500" w:lineRule="exact"/>
        <w:ind w:firstLine="480"/>
        <w:jc w:val="both"/>
      </w:pPr>
      <w:r>
        <w:rPr>
          <w:rFonts w:ascii="仿宋_GB2312" w:hAnsi="仿宋_GB2312" w:eastAsia="仿宋_GB2312"/>
          <w:b w:val="0"/>
          <w:sz w:val="24"/>
        </w:rPr>
        <w:t>1.2.2 海南区域产业与人工智能场景支撑</w:t>
      </w:r>
    </w:p>
    <w:p>
      <w:pPr>
        <w:spacing w:before="0" w:after="0" w:line="500" w:lineRule="exact"/>
        <w:ind w:firstLine="480"/>
        <w:jc w:val="both"/>
      </w:pPr>
      <w:r>
        <w:rPr>
          <w:rFonts w:ascii="仿宋_GB2312" w:hAnsi="仿宋_GB2312" w:eastAsia="仿宋_GB2312"/>
          <w:b w:val="0"/>
          <w:sz w:val="24"/>
        </w:rPr>
        <w:t>1.3 技术支撑</w:t>
      </w:r>
    </w:p>
    <w:p>
      <w:pPr>
        <w:spacing w:before="0" w:after="0" w:line="500" w:lineRule="exact"/>
        <w:ind w:firstLine="480"/>
        <w:jc w:val="both"/>
      </w:pPr>
      <w:r>
        <w:rPr>
          <w:rFonts w:ascii="仿宋_GB2312" w:hAnsi="仿宋_GB2312" w:eastAsia="仿宋_GB2312"/>
          <w:b w:val="0"/>
          <w:sz w:val="24"/>
        </w:rPr>
        <w:t>1.3.1 高光谱成像提供无损检测基础</w:t>
      </w:r>
    </w:p>
    <w:p>
      <w:pPr>
        <w:spacing w:before="0" w:after="0" w:line="500" w:lineRule="exact"/>
        <w:ind w:firstLine="480"/>
        <w:jc w:val="both"/>
      </w:pPr>
      <w:r>
        <w:rPr>
          <w:rFonts w:ascii="仿宋_GB2312" w:hAnsi="仿宋_GB2312" w:eastAsia="仿宋_GB2312"/>
          <w:b w:val="0"/>
          <w:sz w:val="24"/>
        </w:rPr>
        <w:t>1.3.2 智能模型支撑分类与预测双任务</w:t>
      </w:r>
    </w:p>
    <w:p>
      <w:pPr>
        <w:spacing w:before="0" w:after="0" w:line="500" w:lineRule="exact"/>
        <w:ind w:firstLine="480"/>
        <w:jc w:val="both"/>
      </w:pPr>
      <w:r>
        <w:rPr>
          <w:rFonts w:ascii="仿宋_GB2312" w:hAnsi="仿宋_GB2312" w:eastAsia="仿宋_GB2312"/>
          <w:b w:val="0"/>
          <w:sz w:val="24"/>
        </w:rPr>
        <w:t>1.3.3 平台原型为技术落地提供载体</w:t>
      </w:r>
    </w:p>
    <w:p>
      <w:pPr>
        <w:spacing w:before="0" w:after="0" w:line="500" w:lineRule="exact"/>
        <w:ind w:firstLine="480"/>
        <w:jc w:val="both"/>
      </w:pPr>
      <w:r>
        <w:rPr>
          <w:rFonts w:ascii="仿宋_GB2312" w:hAnsi="仿宋_GB2312" w:eastAsia="仿宋_GB2312"/>
          <w:b w:val="0"/>
          <w:sz w:val="24"/>
        </w:rPr>
        <w:t>1.4 项目基础与阶段目标</w:t>
      </w:r>
    </w:p>
    <w:p>
      <w:pPr>
        <w:spacing w:before="0" w:after="0" w:line="500" w:lineRule="exact"/>
        <w:ind w:firstLine="480"/>
        <w:jc w:val="both"/>
      </w:pPr>
      <w:r>
        <w:rPr>
          <w:rFonts w:ascii="仿宋_GB2312" w:hAnsi="仿宋_GB2312" w:eastAsia="仿宋_GB2312"/>
          <w:b w:val="0"/>
          <w:sz w:val="24"/>
        </w:rPr>
        <w:t>第二章 产品效益</w:t>
      </w:r>
    </w:p>
    <w:p>
      <w:pPr>
        <w:spacing w:before="0" w:after="0" w:line="500" w:lineRule="exact"/>
        <w:ind w:firstLine="480"/>
        <w:jc w:val="both"/>
      </w:pPr>
      <w:r>
        <w:rPr>
          <w:rFonts w:ascii="仿宋_GB2312" w:hAnsi="仿宋_GB2312" w:eastAsia="仿宋_GB2312"/>
          <w:b w:val="0"/>
          <w:sz w:val="24"/>
        </w:rPr>
        <w:t>2.1 社会效益</w:t>
      </w:r>
    </w:p>
    <w:p>
      <w:pPr>
        <w:spacing w:before="0" w:after="0" w:line="500" w:lineRule="exact"/>
        <w:ind w:firstLine="480"/>
        <w:jc w:val="both"/>
      </w:pPr>
      <w:r>
        <w:rPr>
          <w:rFonts w:ascii="仿宋_GB2312" w:hAnsi="仿宋_GB2312" w:eastAsia="仿宋_GB2312"/>
          <w:b w:val="0"/>
          <w:sz w:val="24"/>
        </w:rPr>
        <w:t>2.1.1 质量治理效益</w:t>
      </w:r>
    </w:p>
    <w:p>
      <w:pPr>
        <w:spacing w:before="0" w:after="0" w:line="500" w:lineRule="exact"/>
        <w:ind w:firstLine="480"/>
        <w:jc w:val="both"/>
      </w:pPr>
      <w:r>
        <w:rPr>
          <w:rFonts w:ascii="仿宋_GB2312" w:hAnsi="仿宋_GB2312" w:eastAsia="仿宋_GB2312"/>
          <w:b w:val="0"/>
          <w:sz w:val="24"/>
        </w:rPr>
        <w:t>2.1.2 品牌信任效益</w:t>
      </w:r>
    </w:p>
    <w:p>
      <w:pPr>
        <w:spacing w:before="0" w:after="0" w:line="500" w:lineRule="exact"/>
        <w:ind w:firstLine="480"/>
        <w:jc w:val="both"/>
      </w:pPr>
      <w:r>
        <w:rPr>
          <w:rFonts w:ascii="仿宋_GB2312" w:hAnsi="仿宋_GB2312" w:eastAsia="仿宋_GB2312"/>
          <w:b w:val="0"/>
          <w:sz w:val="24"/>
        </w:rPr>
        <w:t>2.1.3 数据沉淀效益</w:t>
      </w:r>
    </w:p>
    <w:p>
      <w:pPr>
        <w:spacing w:before="0" w:after="0" w:line="500" w:lineRule="exact"/>
        <w:ind w:firstLine="480"/>
        <w:jc w:val="both"/>
      </w:pPr>
      <w:r>
        <w:rPr>
          <w:rFonts w:ascii="仿宋_GB2312" w:hAnsi="仿宋_GB2312" w:eastAsia="仿宋_GB2312"/>
          <w:b w:val="0"/>
          <w:sz w:val="24"/>
        </w:rPr>
        <w:t>2.2 经济效益</w:t>
      </w:r>
    </w:p>
    <w:p>
      <w:pPr>
        <w:spacing w:before="0" w:after="0" w:line="500" w:lineRule="exact"/>
        <w:ind w:firstLine="480"/>
        <w:jc w:val="both"/>
      </w:pPr>
      <w:r>
        <w:rPr>
          <w:rFonts w:ascii="仿宋_GB2312" w:hAnsi="仿宋_GB2312" w:eastAsia="仿宋_GB2312"/>
          <w:b w:val="0"/>
          <w:sz w:val="24"/>
        </w:rPr>
        <w:t>2.2.1 降本增效效益</w:t>
      </w:r>
    </w:p>
    <w:p>
      <w:pPr>
        <w:spacing w:before="0" w:after="0" w:line="500" w:lineRule="exact"/>
        <w:ind w:firstLine="480"/>
        <w:jc w:val="both"/>
      </w:pPr>
      <w:r>
        <w:rPr>
          <w:rFonts w:ascii="仿宋_GB2312" w:hAnsi="仿宋_GB2312" w:eastAsia="仿宋_GB2312"/>
          <w:b w:val="0"/>
          <w:sz w:val="24"/>
        </w:rPr>
        <w:t>2.2.2 溢价与议价效益</w:t>
      </w:r>
    </w:p>
    <w:p>
      <w:pPr>
        <w:spacing w:before="0" w:after="0" w:line="500" w:lineRule="exact"/>
        <w:ind w:firstLine="480"/>
        <w:jc w:val="both"/>
      </w:pPr>
      <w:r>
        <w:rPr>
          <w:rFonts w:ascii="仿宋_GB2312" w:hAnsi="仿宋_GB2312" w:eastAsia="仿宋_GB2312"/>
          <w:b w:val="0"/>
          <w:sz w:val="24"/>
        </w:rPr>
        <w:t>2.2.3 项目商业延伸效益</w:t>
      </w:r>
    </w:p>
    <w:p>
      <w:pPr>
        <w:spacing w:before="0" w:after="0" w:line="500" w:lineRule="exact"/>
        <w:ind w:firstLine="480"/>
        <w:jc w:val="both"/>
      </w:pPr>
      <w:r>
        <w:rPr>
          <w:rFonts w:ascii="仿宋_GB2312" w:hAnsi="仿宋_GB2312" w:eastAsia="仿宋_GB2312"/>
          <w:b w:val="0"/>
          <w:sz w:val="24"/>
        </w:rPr>
        <w:t>2.3 教育引领</w:t>
      </w:r>
    </w:p>
    <w:p>
      <w:pPr>
        <w:spacing w:before="0" w:after="0" w:line="500" w:lineRule="exact"/>
        <w:ind w:firstLine="480"/>
        <w:jc w:val="both"/>
      </w:pPr>
      <w:r>
        <w:rPr>
          <w:rFonts w:ascii="仿宋_GB2312" w:hAnsi="仿宋_GB2312" w:eastAsia="仿宋_GB2312"/>
          <w:b w:val="0"/>
          <w:sz w:val="24"/>
        </w:rPr>
        <w:t>2.3.1 人才培养效益</w:t>
      </w:r>
    </w:p>
    <w:p>
      <w:pPr>
        <w:spacing w:before="0" w:after="0" w:line="500" w:lineRule="exact"/>
        <w:ind w:firstLine="480"/>
        <w:jc w:val="both"/>
      </w:pPr>
      <w:r>
        <w:rPr>
          <w:rFonts w:ascii="仿宋_GB2312" w:hAnsi="仿宋_GB2312" w:eastAsia="仿宋_GB2312"/>
          <w:b w:val="0"/>
          <w:sz w:val="24"/>
        </w:rPr>
        <w:t>2.3.2 区域示范效益</w:t>
      </w:r>
    </w:p>
    <w:p>
      <w:pPr>
        <w:spacing w:before="0" w:after="0" w:line="500" w:lineRule="exact"/>
        <w:ind w:firstLine="480"/>
        <w:jc w:val="both"/>
      </w:pPr>
      <w:r>
        <w:rPr>
          <w:rFonts w:ascii="仿宋_GB2312" w:hAnsi="仿宋_GB2312" w:eastAsia="仿宋_GB2312"/>
          <w:b w:val="0"/>
          <w:sz w:val="24"/>
        </w:rPr>
        <w:t>2.3.3 竞赛与传播效益</w:t>
      </w:r>
    </w:p>
    <w:p>
      <w:pPr>
        <w:spacing w:before="0" w:after="0" w:line="500" w:lineRule="exact"/>
        <w:ind w:firstLine="480"/>
        <w:jc w:val="both"/>
      </w:pPr>
      <w:r>
        <w:rPr>
          <w:rFonts w:ascii="仿宋_GB2312" w:hAnsi="仿宋_GB2312" w:eastAsia="仿宋_GB2312"/>
          <w:b w:val="0"/>
          <w:sz w:val="24"/>
        </w:rPr>
        <w:t>第三章 可行性分析</w:t>
      </w:r>
    </w:p>
    <w:p>
      <w:pPr>
        <w:spacing w:before="0" w:after="0" w:line="500" w:lineRule="exact"/>
        <w:ind w:firstLine="480"/>
        <w:jc w:val="both"/>
      </w:pPr>
      <w:r>
        <w:rPr>
          <w:rFonts w:ascii="仿宋_GB2312" w:hAnsi="仿宋_GB2312" w:eastAsia="仿宋_GB2312"/>
          <w:b w:val="0"/>
          <w:sz w:val="24"/>
        </w:rPr>
        <w:t>3.1 市场可行性</w:t>
      </w:r>
    </w:p>
    <w:p>
      <w:pPr>
        <w:spacing w:before="0" w:after="0" w:line="500" w:lineRule="exact"/>
        <w:ind w:firstLine="480"/>
        <w:jc w:val="both"/>
      </w:pPr>
      <w:r>
        <w:rPr>
          <w:rFonts w:ascii="仿宋_GB2312" w:hAnsi="仿宋_GB2312" w:eastAsia="仿宋_GB2312"/>
          <w:b w:val="0"/>
          <w:sz w:val="24"/>
        </w:rPr>
        <w:t>3.1.1 需求基础明确</w:t>
      </w:r>
    </w:p>
    <w:p>
      <w:pPr>
        <w:spacing w:before="0" w:after="0" w:line="500" w:lineRule="exact"/>
        <w:ind w:firstLine="480"/>
        <w:jc w:val="both"/>
      </w:pPr>
      <w:r>
        <w:rPr>
          <w:rFonts w:ascii="仿宋_GB2312" w:hAnsi="仿宋_GB2312" w:eastAsia="仿宋_GB2312"/>
          <w:b w:val="0"/>
          <w:sz w:val="24"/>
        </w:rPr>
        <w:t>3.1.2 场景对象清晰</w:t>
      </w:r>
    </w:p>
    <w:p>
      <w:pPr>
        <w:spacing w:before="0" w:after="0" w:line="500" w:lineRule="exact"/>
        <w:ind w:firstLine="480"/>
        <w:jc w:val="both"/>
      </w:pPr>
      <w:r>
        <w:rPr>
          <w:rFonts w:ascii="仿宋_GB2312" w:hAnsi="仿宋_GB2312" w:eastAsia="仿宋_GB2312"/>
          <w:b w:val="0"/>
          <w:sz w:val="24"/>
        </w:rPr>
        <w:t>3.1.3 政策导向与场景需求形成同向拉动</w:t>
      </w:r>
    </w:p>
    <w:p>
      <w:pPr>
        <w:spacing w:before="0" w:after="0" w:line="500" w:lineRule="exact"/>
        <w:ind w:firstLine="480"/>
        <w:jc w:val="both"/>
      </w:pPr>
      <w:r>
        <w:rPr>
          <w:rFonts w:ascii="仿宋_GB2312" w:hAnsi="仿宋_GB2312" w:eastAsia="仿宋_GB2312"/>
          <w:b w:val="0"/>
          <w:sz w:val="24"/>
        </w:rPr>
        <w:t>3.2 技术可行性</w:t>
      </w:r>
    </w:p>
    <w:p>
      <w:pPr>
        <w:spacing w:before="0" w:after="0" w:line="500" w:lineRule="exact"/>
        <w:ind w:firstLine="480"/>
        <w:jc w:val="both"/>
      </w:pPr>
      <w:r>
        <w:rPr>
          <w:rFonts w:ascii="仿宋_GB2312" w:hAnsi="仿宋_GB2312" w:eastAsia="仿宋_GB2312"/>
          <w:b w:val="0"/>
          <w:sz w:val="24"/>
        </w:rPr>
        <w:t>3.2.1 技术路径合理</w:t>
      </w:r>
    </w:p>
    <w:p>
      <w:pPr>
        <w:spacing w:before="0" w:after="0" w:line="500" w:lineRule="exact"/>
        <w:ind w:firstLine="480"/>
        <w:jc w:val="both"/>
      </w:pPr>
      <w:r>
        <w:rPr>
          <w:rFonts w:ascii="仿宋_GB2312" w:hAnsi="仿宋_GB2312" w:eastAsia="仿宋_GB2312"/>
          <w:b w:val="0"/>
          <w:sz w:val="24"/>
        </w:rPr>
        <w:t>3.2.2 原型基础已具备</w:t>
      </w:r>
    </w:p>
    <w:p>
      <w:pPr>
        <w:spacing w:before="0" w:after="0" w:line="500" w:lineRule="exact"/>
        <w:ind w:firstLine="480"/>
        <w:jc w:val="both"/>
      </w:pPr>
      <w:r>
        <w:rPr>
          <w:rFonts w:ascii="仿宋_GB2312" w:hAnsi="仿宋_GB2312" w:eastAsia="仿宋_GB2312"/>
          <w:b w:val="0"/>
          <w:sz w:val="24"/>
        </w:rPr>
        <w:t>3.2.3 后续优化方向明确</w:t>
      </w:r>
    </w:p>
    <w:p>
      <w:pPr>
        <w:spacing w:before="0" w:after="0" w:line="500" w:lineRule="exact"/>
        <w:ind w:firstLine="480"/>
        <w:jc w:val="both"/>
      </w:pPr>
      <w:r>
        <w:rPr>
          <w:rFonts w:ascii="仿宋_GB2312" w:hAnsi="仿宋_GB2312" w:eastAsia="仿宋_GB2312"/>
          <w:b w:val="0"/>
          <w:sz w:val="24"/>
        </w:rPr>
        <w:t>3.3 经济可行性</w:t>
      </w:r>
    </w:p>
    <w:p>
      <w:pPr>
        <w:spacing w:before="0" w:after="0" w:line="500" w:lineRule="exact"/>
        <w:ind w:firstLine="480"/>
        <w:jc w:val="both"/>
      </w:pPr>
      <w:r>
        <w:rPr>
          <w:rFonts w:ascii="仿宋_GB2312" w:hAnsi="仿宋_GB2312" w:eastAsia="仿宋_GB2312"/>
          <w:b w:val="0"/>
          <w:sz w:val="24"/>
        </w:rPr>
        <w:t>3.3.1 早期投入具有可控性</w:t>
      </w:r>
    </w:p>
    <w:p>
      <w:pPr>
        <w:spacing w:before="0" w:after="0" w:line="500" w:lineRule="exact"/>
        <w:ind w:firstLine="480"/>
        <w:jc w:val="both"/>
      </w:pPr>
      <w:r>
        <w:rPr>
          <w:rFonts w:ascii="仿宋_GB2312" w:hAnsi="仿宋_GB2312" w:eastAsia="仿宋_GB2312"/>
          <w:b w:val="0"/>
          <w:sz w:val="24"/>
        </w:rPr>
        <w:t>3.3.2 收入路径具备扩展性</w:t>
      </w:r>
    </w:p>
    <w:p>
      <w:pPr>
        <w:spacing w:before="0" w:after="0" w:line="500" w:lineRule="exact"/>
        <w:ind w:firstLine="480"/>
        <w:jc w:val="both"/>
      </w:pPr>
      <w:r>
        <w:rPr>
          <w:rFonts w:ascii="仿宋_GB2312" w:hAnsi="仿宋_GB2312" w:eastAsia="仿宋_GB2312"/>
          <w:b w:val="0"/>
          <w:sz w:val="24"/>
        </w:rPr>
        <w:t>3.3.3 分阶段商业化更符合项目当前边界</w:t>
      </w:r>
    </w:p>
    <w:p>
      <w:pPr>
        <w:spacing w:before="0" w:after="0" w:line="500" w:lineRule="exact"/>
        <w:ind w:firstLine="480"/>
        <w:jc w:val="both"/>
      </w:pPr>
      <w:r>
        <w:rPr>
          <w:rFonts w:ascii="仿宋_GB2312" w:hAnsi="仿宋_GB2312" w:eastAsia="仿宋_GB2312"/>
          <w:b w:val="0"/>
          <w:sz w:val="24"/>
        </w:rPr>
        <w:t>3.4 运营可行性</w:t>
      </w:r>
    </w:p>
    <w:p>
      <w:pPr>
        <w:spacing w:before="0" w:after="0" w:line="500" w:lineRule="exact"/>
        <w:ind w:firstLine="480"/>
        <w:jc w:val="both"/>
      </w:pPr>
      <w:r>
        <w:rPr>
          <w:rFonts w:ascii="仿宋_GB2312" w:hAnsi="仿宋_GB2312" w:eastAsia="仿宋_GB2312"/>
          <w:b w:val="0"/>
          <w:sz w:val="24"/>
        </w:rPr>
        <w:t>3.4.1 团队与组织基础具备支撑</w:t>
      </w:r>
    </w:p>
    <w:p>
      <w:pPr>
        <w:spacing w:before="0" w:after="0" w:line="500" w:lineRule="exact"/>
        <w:ind w:firstLine="480"/>
        <w:jc w:val="both"/>
      </w:pPr>
      <w:r>
        <w:rPr>
          <w:rFonts w:ascii="仿宋_GB2312" w:hAnsi="仿宋_GB2312" w:eastAsia="仿宋_GB2312"/>
          <w:b w:val="0"/>
          <w:sz w:val="24"/>
        </w:rPr>
        <w:t>3.4.2 推进路径相对清晰</w:t>
      </w:r>
    </w:p>
    <w:p>
      <w:pPr>
        <w:spacing w:before="0" w:after="0" w:line="500" w:lineRule="exact"/>
        <w:ind w:firstLine="480"/>
        <w:jc w:val="both"/>
      </w:pPr>
      <w:r>
        <w:rPr>
          <w:rFonts w:ascii="仿宋_GB2312" w:hAnsi="仿宋_GB2312" w:eastAsia="仿宋_GB2312"/>
          <w:b w:val="0"/>
          <w:sz w:val="24"/>
        </w:rPr>
        <w:t>3.4.3 Web 原型有助于缩短合作转化周期</w:t>
      </w:r>
    </w:p>
    <w:p>
      <w:pPr>
        <w:spacing w:before="0" w:after="0" w:line="500" w:lineRule="exact"/>
        <w:ind w:firstLine="480"/>
        <w:jc w:val="both"/>
      </w:pPr>
      <w:r>
        <w:rPr>
          <w:rFonts w:ascii="仿宋_GB2312" w:hAnsi="仿宋_GB2312" w:eastAsia="仿宋_GB2312"/>
          <w:b w:val="0"/>
          <w:sz w:val="24"/>
        </w:rPr>
        <w:t>第四章 市场优势</w:t>
      </w:r>
    </w:p>
    <w:p>
      <w:pPr>
        <w:spacing w:before="0" w:after="0" w:line="500" w:lineRule="exact"/>
        <w:ind w:firstLine="480"/>
        <w:jc w:val="both"/>
      </w:pPr>
      <w:r>
        <w:rPr>
          <w:rFonts w:ascii="仿宋_GB2312" w:hAnsi="仿宋_GB2312" w:eastAsia="仿宋_GB2312"/>
          <w:b w:val="0"/>
          <w:sz w:val="24"/>
        </w:rPr>
        <w:t>4.1 检测市场分析</w:t>
      </w:r>
    </w:p>
    <w:p>
      <w:pPr>
        <w:spacing w:before="0" w:after="0" w:line="500" w:lineRule="exact"/>
        <w:ind w:firstLine="480"/>
        <w:jc w:val="both"/>
      </w:pPr>
      <w:r>
        <w:rPr>
          <w:rFonts w:ascii="仿宋_GB2312" w:hAnsi="仿宋_GB2312" w:eastAsia="仿宋_GB2312"/>
          <w:b w:val="0"/>
          <w:sz w:val="24"/>
        </w:rPr>
        <w:t>4.1.1 产业规模与需求牵引</w:t>
      </w:r>
    </w:p>
    <w:p>
      <w:pPr>
        <w:spacing w:before="0" w:after="0" w:line="500" w:lineRule="exact"/>
        <w:ind w:firstLine="480"/>
        <w:jc w:val="both"/>
      </w:pPr>
      <w:r>
        <w:rPr>
          <w:rFonts w:ascii="仿宋_GB2312" w:hAnsi="仿宋_GB2312" w:eastAsia="仿宋_GB2312"/>
          <w:b w:val="0"/>
          <w:sz w:val="24"/>
        </w:rPr>
        <w:t>4.1.2 区域品牌果品场景扩张</w:t>
      </w:r>
    </w:p>
    <w:p>
      <w:pPr>
        <w:spacing w:before="0" w:after="0" w:line="500" w:lineRule="exact"/>
        <w:ind w:firstLine="480"/>
        <w:jc w:val="both"/>
      </w:pPr>
      <w:r>
        <w:rPr>
          <w:rFonts w:ascii="仿宋_GB2312" w:hAnsi="仿宋_GB2312" w:eastAsia="仿宋_GB2312"/>
          <w:b w:val="0"/>
          <w:sz w:val="24"/>
        </w:rPr>
        <w:t>4.1.3 检测方式演进趋势</w:t>
      </w:r>
    </w:p>
    <w:p>
      <w:pPr>
        <w:spacing w:before="0" w:after="0" w:line="500" w:lineRule="exact"/>
        <w:ind w:firstLine="480"/>
        <w:jc w:val="both"/>
      </w:pPr>
      <w:r>
        <w:rPr>
          <w:rFonts w:ascii="仿宋_GB2312" w:hAnsi="仿宋_GB2312" w:eastAsia="仿宋_GB2312"/>
          <w:b w:val="0"/>
          <w:sz w:val="24"/>
        </w:rPr>
        <w:t>4.2 行业痛点与需求结构</w:t>
      </w:r>
    </w:p>
    <w:p>
      <w:pPr>
        <w:spacing w:before="0" w:after="0" w:line="500" w:lineRule="exact"/>
        <w:ind w:firstLine="480"/>
        <w:jc w:val="both"/>
      </w:pPr>
      <w:r>
        <w:rPr>
          <w:rFonts w:ascii="仿宋_GB2312" w:hAnsi="仿宋_GB2312" w:eastAsia="仿宋_GB2312"/>
          <w:b w:val="0"/>
          <w:sz w:val="24"/>
        </w:rPr>
        <w:t>4.2.1 传统理化检测周期偏长</w:t>
      </w:r>
    </w:p>
    <w:p>
      <w:pPr>
        <w:spacing w:before="0" w:after="0" w:line="500" w:lineRule="exact"/>
        <w:ind w:firstLine="480"/>
        <w:jc w:val="both"/>
      </w:pPr>
      <w:r>
        <w:rPr>
          <w:rFonts w:ascii="仿宋_GB2312" w:hAnsi="仿宋_GB2312" w:eastAsia="仿宋_GB2312"/>
          <w:b w:val="0"/>
          <w:sz w:val="24"/>
        </w:rPr>
        <w:t>4.2.2 人工经验分级标准不一</w:t>
      </w:r>
    </w:p>
    <w:p>
      <w:pPr>
        <w:spacing w:before="0" w:after="0" w:line="500" w:lineRule="exact"/>
        <w:ind w:firstLine="480"/>
        <w:jc w:val="both"/>
      </w:pPr>
      <w:r>
        <w:rPr>
          <w:rFonts w:ascii="仿宋_GB2312" w:hAnsi="仿宋_GB2312" w:eastAsia="仿宋_GB2312"/>
          <w:b w:val="0"/>
          <w:sz w:val="24"/>
        </w:rPr>
        <w:t>4.2.3 品牌表达与数据留痕不足</w:t>
      </w:r>
    </w:p>
    <w:p>
      <w:pPr>
        <w:spacing w:before="0" w:after="0" w:line="500" w:lineRule="exact"/>
        <w:ind w:firstLine="480"/>
        <w:jc w:val="both"/>
      </w:pPr>
      <w:r>
        <w:rPr>
          <w:rFonts w:ascii="仿宋_GB2312" w:hAnsi="仿宋_GB2312" w:eastAsia="仿宋_GB2312"/>
          <w:b w:val="0"/>
          <w:sz w:val="24"/>
        </w:rPr>
        <w:t>4.3 用户分析</w:t>
      </w:r>
    </w:p>
    <w:p>
      <w:pPr>
        <w:spacing w:before="0" w:after="0" w:line="500" w:lineRule="exact"/>
        <w:ind w:firstLine="480"/>
        <w:jc w:val="both"/>
      </w:pPr>
      <w:r>
        <w:rPr>
          <w:rFonts w:ascii="仿宋_GB2312" w:hAnsi="仿宋_GB2312" w:eastAsia="仿宋_GB2312"/>
          <w:b w:val="0"/>
          <w:sz w:val="24"/>
        </w:rPr>
        <w:t>4.3.1 产地端用户</w:t>
      </w:r>
    </w:p>
    <w:p>
      <w:pPr>
        <w:spacing w:before="0" w:after="0" w:line="500" w:lineRule="exact"/>
        <w:ind w:firstLine="480"/>
        <w:jc w:val="both"/>
      </w:pPr>
      <w:r>
        <w:rPr>
          <w:rFonts w:ascii="仿宋_GB2312" w:hAnsi="仿宋_GB2312" w:eastAsia="仿宋_GB2312"/>
          <w:b w:val="0"/>
          <w:sz w:val="24"/>
        </w:rPr>
        <w:t>4.3.2 渠道端与品牌端用户</w:t>
      </w:r>
    </w:p>
    <w:p>
      <w:pPr>
        <w:spacing w:before="0" w:after="0" w:line="500" w:lineRule="exact"/>
        <w:ind w:firstLine="480"/>
        <w:jc w:val="both"/>
      </w:pPr>
      <w:r>
        <w:rPr>
          <w:rFonts w:ascii="仿宋_GB2312" w:hAnsi="仿宋_GB2312" w:eastAsia="仿宋_GB2312"/>
          <w:b w:val="0"/>
          <w:sz w:val="24"/>
        </w:rPr>
        <w:t>4.3.3 公共服务与科研用户</w:t>
      </w:r>
    </w:p>
    <w:p>
      <w:pPr>
        <w:spacing w:before="0" w:after="0" w:line="500" w:lineRule="exact"/>
        <w:ind w:firstLine="480"/>
        <w:jc w:val="both"/>
      </w:pPr>
      <w:r>
        <w:rPr>
          <w:rFonts w:ascii="仿宋_GB2312" w:hAnsi="仿宋_GB2312" w:eastAsia="仿宋_GB2312"/>
          <w:b w:val="0"/>
          <w:sz w:val="24"/>
        </w:rPr>
        <w:t>4.4 竞争分析</w:t>
      </w:r>
    </w:p>
    <w:p>
      <w:pPr>
        <w:spacing w:before="0" w:after="0" w:line="500" w:lineRule="exact"/>
        <w:ind w:firstLine="480"/>
        <w:jc w:val="both"/>
      </w:pPr>
      <w:r>
        <w:rPr>
          <w:rFonts w:ascii="仿宋_GB2312" w:hAnsi="仿宋_GB2312" w:eastAsia="仿宋_GB2312"/>
          <w:b w:val="0"/>
          <w:sz w:val="24"/>
        </w:rPr>
        <w:t>4.4.1 传统检测机构与实验室方案</w:t>
      </w:r>
    </w:p>
    <w:p>
      <w:pPr>
        <w:spacing w:before="0" w:after="0" w:line="500" w:lineRule="exact"/>
        <w:ind w:firstLine="480"/>
        <w:jc w:val="both"/>
      </w:pPr>
      <w:r>
        <w:rPr>
          <w:rFonts w:ascii="仿宋_GB2312" w:hAnsi="仿宋_GB2312" w:eastAsia="仿宋_GB2312"/>
          <w:b w:val="0"/>
          <w:sz w:val="24"/>
        </w:rPr>
        <w:t>4.4.2 通用视觉设备与单点光谱设备</w:t>
      </w:r>
    </w:p>
    <w:p>
      <w:pPr>
        <w:spacing w:before="0" w:after="0" w:line="500" w:lineRule="exact"/>
        <w:ind w:firstLine="480"/>
        <w:jc w:val="both"/>
      </w:pPr>
      <w:r>
        <w:rPr>
          <w:rFonts w:ascii="仿宋_GB2312" w:hAnsi="仿宋_GB2312" w:eastAsia="仿宋_GB2312"/>
          <w:b w:val="0"/>
          <w:sz w:val="24"/>
        </w:rPr>
        <w:t>4.4.3 项目差异化优势与阶段性壁垒</w:t>
      </w:r>
    </w:p>
    <w:p>
      <w:pPr>
        <w:spacing w:before="0" w:after="0" w:line="500" w:lineRule="exact"/>
        <w:ind w:firstLine="480"/>
        <w:jc w:val="both"/>
      </w:pPr>
      <w:r>
        <w:rPr>
          <w:rFonts w:ascii="仿宋_GB2312" w:hAnsi="仿宋_GB2312" w:eastAsia="仿宋_GB2312"/>
          <w:b w:val="0"/>
          <w:sz w:val="24"/>
        </w:rPr>
        <w:t>第五章 技术策略</w:t>
      </w:r>
    </w:p>
    <w:p>
      <w:pPr>
        <w:spacing w:before="0" w:after="0" w:line="500" w:lineRule="exact"/>
        <w:ind w:firstLine="480"/>
        <w:jc w:val="both"/>
      </w:pPr>
      <w:r>
        <w:rPr>
          <w:rFonts w:ascii="仿宋_GB2312" w:hAnsi="仿宋_GB2312" w:eastAsia="仿宋_GB2312"/>
          <w:b w:val="0"/>
          <w:sz w:val="24"/>
        </w:rPr>
        <w:t>5.1 总体技术路线</w:t>
      </w:r>
    </w:p>
    <w:p>
      <w:pPr>
        <w:spacing w:before="0" w:after="0" w:line="500" w:lineRule="exact"/>
        <w:ind w:firstLine="480"/>
        <w:jc w:val="both"/>
      </w:pPr>
      <w:r>
        <w:rPr>
          <w:rFonts w:ascii="仿宋_GB2312" w:hAnsi="仿宋_GB2312" w:eastAsia="仿宋_GB2312"/>
          <w:b w:val="0"/>
          <w:sz w:val="24"/>
        </w:rPr>
        <w:t>5.1.1 样本采集与标签体系</w:t>
      </w:r>
    </w:p>
    <w:p>
      <w:pPr>
        <w:spacing w:before="0" w:after="0" w:line="500" w:lineRule="exact"/>
        <w:ind w:firstLine="480"/>
        <w:jc w:val="both"/>
      </w:pPr>
      <w:r>
        <w:rPr>
          <w:rFonts w:ascii="仿宋_GB2312" w:hAnsi="仿宋_GB2312" w:eastAsia="仿宋_GB2312"/>
          <w:b w:val="0"/>
          <w:sz w:val="24"/>
        </w:rPr>
        <w:t>5.1.2 数据处理与多任务建模</w:t>
      </w:r>
    </w:p>
    <w:p>
      <w:pPr>
        <w:spacing w:before="0" w:after="0" w:line="500" w:lineRule="exact"/>
        <w:ind w:firstLine="480"/>
        <w:jc w:val="both"/>
      </w:pPr>
      <w:r>
        <w:rPr>
          <w:rFonts w:ascii="仿宋_GB2312" w:hAnsi="仿宋_GB2312" w:eastAsia="仿宋_GB2312"/>
          <w:b w:val="0"/>
          <w:sz w:val="24"/>
        </w:rPr>
        <w:t>5.1.3 平台集成与结果输出</w:t>
      </w:r>
    </w:p>
    <w:p>
      <w:pPr>
        <w:spacing w:before="0" w:after="0" w:line="500" w:lineRule="exact"/>
        <w:ind w:firstLine="480"/>
        <w:jc w:val="both"/>
      </w:pPr>
      <w:r>
        <w:rPr>
          <w:rFonts w:ascii="仿宋_GB2312" w:hAnsi="仿宋_GB2312" w:eastAsia="仿宋_GB2312"/>
          <w:b w:val="0"/>
          <w:sz w:val="24"/>
        </w:rPr>
        <w:t>5.2 实验设计与标准化流程</w:t>
      </w:r>
    </w:p>
    <w:p>
      <w:pPr>
        <w:spacing w:before="0" w:after="0" w:line="500" w:lineRule="exact"/>
        <w:ind w:firstLine="480"/>
        <w:jc w:val="both"/>
      </w:pPr>
      <w:r>
        <w:rPr>
          <w:rFonts w:ascii="仿宋_GB2312" w:hAnsi="仿宋_GB2312" w:eastAsia="仿宋_GB2312"/>
          <w:b w:val="0"/>
          <w:sz w:val="24"/>
        </w:rPr>
        <w:t>5.2.1 样本分层设计</w:t>
      </w:r>
    </w:p>
    <w:p>
      <w:pPr>
        <w:spacing w:before="0" w:after="0" w:line="500" w:lineRule="exact"/>
        <w:ind w:firstLine="480"/>
        <w:jc w:val="both"/>
      </w:pPr>
      <w:r>
        <w:rPr>
          <w:rFonts w:ascii="仿宋_GB2312" w:hAnsi="仿宋_GB2312" w:eastAsia="仿宋_GB2312"/>
          <w:b w:val="0"/>
          <w:sz w:val="24"/>
        </w:rPr>
        <w:t>5.2.2 采集环境与流程规范</w:t>
      </w:r>
    </w:p>
    <w:p>
      <w:pPr>
        <w:spacing w:before="0" w:after="0" w:line="500" w:lineRule="exact"/>
        <w:ind w:firstLine="480"/>
        <w:jc w:val="both"/>
      </w:pPr>
      <w:r>
        <w:rPr>
          <w:rFonts w:ascii="仿宋_GB2312" w:hAnsi="仿宋_GB2312" w:eastAsia="仿宋_GB2312"/>
          <w:b w:val="0"/>
          <w:sz w:val="24"/>
        </w:rPr>
        <w:t>5.2.3 训练验证与迭代机制</w:t>
      </w:r>
    </w:p>
    <w:p>
      <w:pPr>
        <w:spacing w:before="0" w:after="0" w:line="500" w:lineRule="exact"/>
        <w:ind w:firstLine="480"/>
        <w:jc w:val="both"/>
      </w:pPr>
      <w:r>
        <w:rPr>
          <w:rFonts w:ascii="仿宋_GB2312" w:hAnsi="仿宋_GB2312" w:eastAsia="仿宋_GB2312"/>
          <w:b w:val="0"/>
          <w:sz w:val="24"/>
        </w:rPr>
        <w:t>5.3 核心算法与模型策略</w:t>
      </w:r>
    </w:p>
    <w:p>
      <w:pPr>
        <w:spacing w:before="0" w:after="0" w:line="500" w:lineRule="exact"/>
        <w:ind w:firstLine="480"/>
        <w:jc w:val="both"/>
      </w:pPr>
      <w:r>
        <w:rPr>
          <w:rFonts w:ascii="仿宋_GB2312" w:hAnsi="仿宋_GB2312" w:eastAsia="仿宋_GB2312"/>
          <w:b w:val="0"/>
          <w:sz w:val="24"/>
        </w:rPr>
        <w:t>5.3.1 产地分类模型路径</w:t>
      </w:r>
    </w:p>
    <w:p>
      <w:pPr>
        <w:spacing w:before="0" w:after="0" w:line="500" w:lineRule="exact"/>
        <w:ind w:firstLine="480"/>
        <w:jc w:val="both"/>
      </w:pPr>
      <w:r>
        <w:rPr>
          <w:rFonts w:ascii="仿宋_GB2312" w:hAnsi="仿宋_GB2312" w:eastAsia="仿宋_GB2312"/>
          <w:b w:val="0"/>
          <w:sz w:val="24"/>
        </w:rPr>
        <w:t>5.3.2 品质回归模型路径</w:t>
      </w:r>
    </w:p>
    <w:p>
      <w:pPr>
        <w:spacing w:before="0" w:after="0" w:line="500" w:lineRule="exact"/>
        <w:ind w:firstLine="480"/>
        <w:jc w:val="both"/>
      </w:pPr>
      <w:r>
        <w:rPr>
          <w:rFonts w:ascii="仿宋_GB2312" w:hAnsi="仿宋_GB2312" w:eastAsia="仿宋_GB2312"/>
          <w:b w:val="0"/>
          <w:sz w:val="24"/>
        </w:rPr>
        <w:t>5.3.3 可解释分析与异常预警</w:t>
      </w:r>
    </w:p>
    <w:p>
      <w:pPr>
        <w:spacing w:before="0" w:after="0" w:line="500" w:lineRule="exact"/>
        <w:ind w:firstLine="480"/>
        <w:jc w:val="both"/>
      </w:pPr>
      <w:r>
        <w:rPr>
          <w:rFonts w:ascii="仿宋_GB2312" w:hAnsi="仿宋_GB2312" w:eastAsia="仿宋_GB2312"/>
          <w:b w:val="0"/>
          <w:sz w:val="24"/>
        </w:rPr>
        <w:t>5.4 光谱机理与特征指纹</w:t>
      </w:r>
    </w:p>
    <w:p>
      <w:pPr>
        <w:spacing w:before="0" w:after="0" w:line="500" w:lineRule="exact"/>
        <w:ind w:firstLine="480"/>
        <w:jc w:val="both"/>
      </w:pPr>
      <w:r>
        <w:rPr>
          <w:rFonts w:ascii="仿宋_GB2312" w:hAnsi="仿宋_GB2312" w:eastAsia="仿宋_GB2312"/>
          <w:b w:val="0"/>
          <w:sz w:val="24"/>
        </w:rPr>
        <w:t>5.4.1 色素变化与成熟度响应</w:t>
      </w:r>
    </w:p>
    <w:p>
      <w:pPr>
        <w:spacing w:before="0" w:after="0" w:line="500" w:lineRule="exact"/>
        <w:ind w:firstLine="480"/>
        <w:jc w:val="both"/>
      </w:pPr>
      <w:r>
        <w:rPr>
          <w:rFonts w:ascii="仿宋_GB2312" w:hAnsi="仿宋_GB2312" w:eastAsia="仿宋_GB2312"/>
          <w:b w:val="0"/>
          <w:sz w:val="24"/>
        </w:rPr>
        <w:t>5.4.2 水分、糖酸与组织结构信息</w:t>
      </w:r>
    </w:p>
    <w:p>
      <w:pPr>
        <w:spacing w:before="0" w:after="0" w:line="500" w:lineRule="exact"/>
        <w:ind w:firstLine="480"/>
        <w:jc w:val="both"/>
      </w:pPr>
      <w:r>
        <w:rPr>
          <w:rFonts w:ascii="仿宋_GB2312" w:hAnsi="仿宋_GB2312" w:eastAsia="仿宋_GB2312"/>
          <w:b w:val="0"/>
          <w:sz w:val="24"/>
        </w:rPr>
        <w:t>5.4.3 特征波段库与区域指纹沉淀</w:t>
      </w:r>
    </w:p>
    <w:p>
      <w:pPr>
        <w:spacing w:before="0" w:after="0" w:line="500" w:lineRule="exact"/>
        <w:ind w:firstLine="480"/>
        <w:jc w:val="both"/>
      </w:pPr>
      <w:r>
        <w:rPr>
          <w:rFonts w:ascii="仿宋_GB2312" w:hAnsi="仿宋_GB2312" w:eastAsia="仿宋_GB2312"/>
          <w:b w:val="0"/>
          <w:sz w:val="24"/>
        </w:rPr>
        <w:t>第六章 产品策略</w:t>
      </w:r>
    </w:p>
    <w:p>
      <w:pPr>
        <w:spacing w:before="0" w:after="0" w:line="500" w:lineRule="exact"/>
        <w:ind w:firstLine="480"/>
        <w:jc w:val="both"/>
      </w:pPr>
      <w:r>
        <w:rPr>
          <w:rFonts w:ascii="仿宋_GB2312" w:hAnsi="仿宋_GB2312" w:eastAsia="仿宋_GB2312"/>
          <w:b w:val="0"/>
          <w:sz w:val="24"/>
        </w:rPr>
        <w:t>6.1 产品定位与交付形态</w:t>
      </w:r>
    </w:p>
    <w:p>
      <w:pPr>
        <w:spacing w:before="0" w:after="0" w:line="500" w:lineRule="exact"/>
        <w:ind w:firstLine="480"/>
        <w:jc w:val="both"/>
      </w:pPr>
      <w:r>
        <w:rPr>
          <w:rFonts w:ascii="仿宋_GB2312" w:hAnsi="仿宋_GB2312" w:eastAsia="仿宋_GB2312"/>
          <w:b w:val="0"/>
          <w:sz w:val="24"/>
        </w:rPr>
        <w:t>6.1.1 从展示型原型走向试点型系统</w:t>
      </w:r>
    </w:p>
    <w:p>
      <w:pPr>
        <w:spacing w:before="0" w:after="0" w:line="500" w:lineRule="exact"/>
        <w:ind w:firstLine="480"/>
        <w:jc w:val="both"/>
      </w:pPr>
      <w:r>
        <w:rPr>
          <w:rFonts w:ascii="仿宋_GB2312" w:hAnsi="仿宋_GB2312" w:eastAsia="仿宋_GB2312"/>
          <w:b w:val="0"/>
          <w:sz w:val="24"/>
        </w:rPr>
        <w:t>6.1.2 功能模块闭环</w:t>
      </w:r>
    </w:p>
    <w:p>
      <w:pPr>
        <w:spacing w:before="0" w:after="0" w:line="500" w:lineRule="exact"/>
        <w:ind w:firstLine="480"/>
        <w:jc w:val="both"/>
      </w:pPr>
      <w:r>
        <w:rPr>
          <w:rFonts w:ascii="仿宋_GB2312" w:hAnsi="仿宋_GB2312" w:eastAsia="仿宋_GB2312"/>
          <w:b w:val="0"/>
          <w:sz w:val="24"/>
        </w:rPr>
        <w:t>6.1.3 面向合作场景的交付形态</w:t>
      </w:r>
    </w:p>
    <w:p>
      <w:pPr>
        <w:spacing w:before="0" w:after="0" w:line="500" w:lineRule="exact"/>
        <w:ind w:firstLine="480"/>
        <w:jc w:val="both"/>
      </w:pPr>
      <w:r>
        <w:rPr>
          <w:rFonts w:ascii="仿宋_GB2312" w:hAnsi="仿宋_GB2312" w:eastAsia="仿宋_GB2312"/>
          <w:b w:val="0"/>
          <w:sz w:val="24"/>
        </w:rPr>
        <w:t>6.2 产品分层与收费思路</w:t>
      </w:r>
    </w:p>
    <w:p>
      <w:pPr>
        <w:spacing w:before="0" w:after="0" w:line="500" w:lineRule="exact"/>
        <w:ind w:firstLine="480"/>
        <w:jc w:val="both"/>
      </w:pPr>
      <w:r>
        <w:rPr>
          <w:rFonts w:ascii="仿宋_GB2312" w:hAnsi="仿宋_GB2312" w:eastAsia="仿宋_GB2312"/>
          <w:b w:val="0"/>
          <w:sz w:val="24"/>
        </w:rPr>
        <w:t>6.2.1 展示与合作版</w:t>
      </w:r>
    </w:p>
    <w:p>
      <w:pPr>
        <w:spacing w:before="0" w:after="0" w:line="500" w:lineRule="exact"/>
        <w:ind w:firstLine="480"/>
        <w:jc w:val="both"/>
      </w:pPr>
      <w:r>
        <w:rPr>
          <w:rFonts w:ascii="仿宋_GB2312" w:hAnsi="仿宋_GB2312" w:eastAsia="仿宋_GB2312"/>
          <w:b w:val="0"/>
          <w:sz w:val="24"/>
        </w:rPr>
        <w:t>6.2.2 试点服务版</w:t>
      </w:r>
    </w:p>
    <w:p>
      <w:pPr>
        <w:spacing w:before="0" w:after="0" w:line="500" w:lineRule="exact"/>
        <w:ind w:firstLine="480"/>
        <w:jc w:val="both"/>
      </w:pPr>
      <w:r>
        <w:rPr>
          <w:rFonts w:ascii="仿宋_GB2312" w:hAnsi="仿宋_GB2312" w:eastAsia="仿宋_GB2312"/>
          <w:b w:val="0"/>
          <w:sz w:val="24"/>
        </w:rPr>
        <w:t>6.2.3 平台订阅与定制版</w:t>
      </w:r>
    </w:p>
    <w:p>
      <w:pPr>
        <w:spacing w:before="0" w:after="0" w:line="500" w:lineRule="exact"/>
        <w:ind w:firstLine="480"/>
        <w:jc w:val="both"/>
      </w:pPr>
      <w:r>
        <w:rPr>
          <w:rFonts w:ascii="仿宋_GB2312" w:hAnsi="仿宋_GB2312" w:eastAsia="仿宋_GB2312"/>
          <w:b w:val="0"/>
          <w:sz w:val="24"/>
        </w:rPr>
        <w:t>6.3 实施与交付策略</w:t>
      </w:r>
    </w:p>
    <w:p>
      <w:pPr>
        <w:spacing w:before="0" w:after="0" w:line="500" w:lineRule="exact"/>
        <w:ind w:firstLine="480"/>
        <w:jc w:val="both"/>
      </w:pPr>
      <w:r>
        <w:rPr>
          <w:rFonts w:ascii="仿宋_GB2312" w:hAnsi="仿宋_GB2312" w:eastAsia="仿宋_GB2312"/>
          <w:b w:val="0"/>
          <w:sz w:val="24"/>
        </w:rPr>
        <w:t>6.3.1 试点前准备</w:t>
      </w:r>
    </w:p>
    <w:p>
      <w:pPr>
        <w:spacing w:before="0" w:after="0" w:line="500" w:lineRule="exact"/>
        <w:ind w:firstLine="480"/>
        <w:jc w:val="both"/>
      </w:pPr>
      <w:r>
        <w:rPr>
          <w:rFonts w:ascii="仿宋_GB2312" w:hAnsi="仿宋_GB2312" w:eastAsia="仿宋_GB2312"/>
          <w:b w:val="0"/>
          <w:sz w:val="24"/>
        </w:rPr>
        <w:t>6.3.2 现场部署与人员培训</w:t>
      </w:r>
    </w:p>
    <w:p>
      <w:pPr>
        <w:spacing w:before="0" w:after="0" w:line="500" w:lineRule="exact"/>
        <w:ind w:firstLine="480"/>
        <w:jc w:val="both"/>
      </w:pPr>
      <w:r>
        <w:rPr>
          <w:rFonts w:ascii="仿宋_GB2312" w:hAnsi="仿宋_GB2312" w:eastAsia="仿宋_GB2312"/>
          <w:b w:val="0"/>
          <w:sz w:val="24"/>
        </w:rPr>
        <w:t>6.3.3 复盘迭代与版本升级</w:t>
      </w:r>
    </w:p>
    <w:p>
      <w:pPr>
        <w:spacing w:before="0" w:after="0" w:line="500" w:lineRule="exact"/>
        <w:ind w:firstLine="480"/>
        <w:jc w:val="both"/>
      </w:pPr>
      <w:r>
        <w:rPr>
          <w:rFonts w:ascii="仿宋_GB2312" w:hAnsi="仿宋_GB2312" w:eastAsia="仿宋_GB2312"/>
          <w:b w:val="0"/>
          <w:sz w:val="24"/>
        </w:rPr>
        <w:t>6.4 推广与销售模式</w:t>
      </w:r>
    </w:p>
    <w:p>
      <w:pPr>
        <w:spacing w:before="0" w:after="0" w:line="500" w:lineRule="exact"/>
        <w:ind w:firstLine="480"/>
        <w:jc w:val="both"/>
      </w:pPr>
      <w:r>
        <w:rPr>
          <w:rFonts w:ascii="仿宋_GB2312" w:hAnsi="仿宋_GB2312" w:eastAsia="仿宋_GB2312"/>
          <w:b w:val="0"/>
          <w:sz w:val="24"/>
        </w:rPr>
        <w:t>6.4.1 标杆场景牵引</w:t>
      </w:r>
    </w:p>
    <w:p>
      <w:pPr>
        <w:spacing w:before="0" w:after="0" w:line="500" w:lineRule="exact"/>
        <w:ind w:firstLine="480"/>
        <w:jc w:val="both"/>
      </w:pPr>
      <w:r>
        <w:rPr>
          <w:rFonts w:ascii="仿宋_GB2312" w:hAnsi="仿宋_GB2312" w:eastAsia="仿宋_GB2312"/>
          <w:b w:val="0"/>
          <w:sz w:val="24"/>
        </w:rPr>
        <w:t>6.4.2 校地合作与项目联动</w:t>
      </w:r>
    </w:p>
    <w:p>
      <w:pPr>
        <w:spacing w:before="0" w:after="0" w:line="500" w:lineRule="exact"/>
        <w:ind w:firstLine="480"/>
        <w:jc w:val="both"/>
      </w:pPr>
      <w:r>
        <w:rPr>
          <w:rFonts w:ascii="仿宋_GB2312" w:hAnsi="仿宋_GB2312" w:eastAsia="仿宋_GB2312"/>
          <w:b w:val="0"/>
          <w:sz w:val="24"/>
        </w:rPr>
        <w:t>6.4.3 联合方案与渠道合作</w:t>
      </w:r>
    </w:p>
    <w:p>
      <w:pPr>
        <w:spacing w:before="0" w:after="0" w:line="500" w:lineRule="exact"/>
        <w:ind w:firstLine="480"/>
        <w:jc w:val="both"/>
      </w:pPr>
      <w:r>
        <w:rPr>
          <w:rFonts w:ascii="仿宋_GB2312" w:hAnsi="仿宋_GB2312" w:eastAsia="仿宋_GB2312"/>
          <w:b w:val="0"/>
          <w:sz w:val="24"/>
        </w:rPr>
        <w:t>第七章 运营策略</w:t>
      </w:r>
    </w:p>
    <w:p>
      <w:pPr>
        <w:spacing w:before="0" w:after="0" w:line="500" w:lineRule="exact"/>
        <w:ind w:firstLine="480"/>
        <w:jc w:val="both"/>
      </w:pPr>
      <w:r>
        <w:rPr>
          <w:rFonts w:ascii="仿宋_GB2312" w:hAnsi="仿宋_GB2312" w:eastAsia="仿宋_GB2312"/>
          <w:b w:val="0"/>
          <w:sz w:val="24"/>
        </w:rPr>
        <w:t>7.1 运营定位与目标</w:t>
      </w:r>
    </w:p>
    <w:p>
      <w:pPr>
        <w:spacing w:before="0" w:after="0" w:line="500" w:lineRule="exact"/>
        <w:ind w:firstLine="480"/>
        <w:jc w:val="both"/>
      </w:pPr>
      <w:r>
        <w:rPr>
          <w:rFonts w:ascii="仿宋_GB2312" w:hAnsi="仿宋_GB2312" w:eastAsia="仿宋_GB2312"/>
          <w:b w:val="0"/>
          <w:sz w:val="24"/>
        </w:rPr>
        <w:t>7.1.1 以试点验证替代重投入铺开</w:t>
      </w:r>
    </w:p>
    <w:p>
      <w:pPr>
        <w:spacing w:before="0" w:after="0" w:line="500" w:lineRule="exact"/>
        <w:ind w:firstLine="480"/>
        <w:jc w:val="both"/>
      </w:pPr>
      <w:r>
        <w:rPr>
          <w:rFonts w:ascii="仿宋_GB2312" w:hAnsi="仿宋_GB2312" w:eastAsia="仿宋_GB2312"/>
          <w:b w:val="0"/>
          <w:sz w:val="24"/>
        </w:rPr>
        <w:t>7.1.2 以数据沉淀驱动能力迭代</w:t>
      </w:r>
    </w:p>
    <w:p>
      <w:pPr>
        <w:spacing w:before="0" w:after="0" w:line="500" w:lineRule="exact"/>
        <w:ind w:firstLine="480"/>
        <w:jc w:val="both"/>
      </w:pPr>
      <w:r>
        <w:rPr>
          <w:rFonts w:ascii="仿宋_GB2312" w:hAnsi="仿宋_GB2312" w:eastAsia="仿宋_GB2312"/>
          <w:b w:val="0"/>
          <w:sz w:val="24"/>
        </w:rPr>
        <w:t>7.1.3 以标准化交付支撑区域复制</w:t>
      </w:r>
    </w:p>
    <w:p>
      <w:pPr>
        <w:spacing w:before="0" w:after="0" w:line="500" w:lineRule="exact"/>
        <w:ind w:firstLine="480"/>
        <w:jc w:val="both"/>
      </w:pPr>
      <w:r>
        <w:rPr>
          <w:rFonts w:ascii="仿宋_GB2312" w:hAnsi="仿宋_GB2312" w:eastAsia="仿宋_GB2312"/>
          <w:b w:val="0"/>
          <w:sz w:val="24"/>
        </w:rPr>
        <w:t>7.2 阶段运营安排</w:t>
      </w:r>
    </w:p>
    <w:p>
      <w:pPr>
        <w:spacing w:before="0" w:after="0" w:line="500" w:lineRule="exact"/>
        <w:ind w:firstLine="480"/>
        <w:jc w:val="both"/>
      </w:pPr>
      <w:r>
        <w:rPr>
          <w:rFonts w:ascii="仿宋_GB2312" w:hAnsi="仿宋_GB2312" w:eastAsia="仿宋_GB2312"/>
          <w:b w:val="0"/>
          <w:sz w:val="24"/>
        </w:rPr>
        <w:t>7.2.1 第一阶段：样本补强与原型完善</w:t>
      </w:r>
    </w:p>
    <w:p>
      <w:pPr>
        <w:spacing w:before="0" w:after="0" w:line="500" w:lineRule="exact"/>
        <w:ind w:firstLine="480"/>
        <w:jc w:val="both"/>
      </w:pPr>
      <w:r>
        <w:rPr>
          <w:rFonts w:ascii="仿宋_GB2312" w:hAnsi="仿宋_GB2312" w:eastAsia="仿宋_GB2312"/>
          <w:b w:val="0"/>
          <w:sz w:val="24"/>
        </w:rPr>
        <w:t>7.2.2 第二阶段：场景试点与合作验证</w:t>
      </w:r>
    </w:p>
    <w:p>
      <w:pPr>
        <w:spacing w:before="0" w:after="0" w:line="500" w:lineRule="exact"/>
        <w:ind w:firstLine="480"/>
        <w:jc w:val="both"/>
      </w:pPr>
      <w:r>
        <w:rPr>
          <w:rFonts w:ascii="仿宋_GB2312" w:hAnsi="仿宋_GB2312" w:eastAsia="仿宋_GB2312"/>
          <w:b w:val="0"/>
          <w:sz w:val="24"/>
        </w:rPr>
        <w:t>7.2.3 第三阶段：标准沉淀与区域复制</w:t>
      </w:r>
    </w:p>
    <w:p>
      <w:pPr>
        <w:spacing w:before="0" w:after="0" w:line="500" w:lineRule="exact"/>
        <w:ind w:firstLine="480"/>
        <w:jc w:val="both"/>
      </w:pPr>
      <w:r>
        <w:rPr>
          <w:rFonts w:ascii="仿宋_GB2312" w:hAnsi="仿宋_GB2312" w:eastAsia="仿宋_GB2312"/>
          <w:b w:val="0"/>
          <w:sz w:val="24"/>
        </w:rPr>
        <w:t>7.3 核心运营模块</w:t>
      </w:r>
    </w:p>
    <w:p>
      <w:pPr>
        <w:spacing w:before="0" w:after="0" w:line="500" w:lineRule="exact"/>
        <w:ind w:firstLine="480"/>
        <w:jc w:val="both"/>
      </w:pPr>
      <w:r>
        <w:rPr>
          <w:rFonts w:ascii="仿宋_GB2312" w:hAnsi="仿宋_GB2312" w:eastAsia="仿宋_GB2312"/>
          <w:b w:val="0"/>
          <w:sz w:val="24"/>
        </w:rPr>
        <w:t>7.3.1 样本与数据运营</w:t>
      </w:r>
    </w:p>
    <w:p>
      <w:pPr>
        <w:spacing w:before="0" w:after="0" w:line="500" w:lineRule="exact"/>
        <w:ind w:firstLine="480"/>
        <w:jc w:val="both"/>
      </w:pPr>
      <w:r>
        <w:rPr>
          <w:rFonts w:ascii="仿宋_GB2312" w:hAnsi="仿宋_GB2312" w:eastAsia="仿宋_GB2312"/>
          <w:b w:val="0"/>
          <w:sz w:val="24"/>
        </w:rPr>
        <w:t>7.3.2 客户成功与项目运营</w:t>
      </w:r>
    </w:p>
    <w:p>
      <w:pPr>
        <w:spacing w:before="0" w:after="0" w:line="500" w:lineRule="exact"/>
        <w:ind w:firstLine="480"/>
        <w:jc w:val="both"/>
      </w:pPr>
      <w:r>
        <w:rPr>
          <w:rFonts w:ascii="仿宋_GB2312" w:hAnsi="仿宋_GB2312" w:eastAsia="仿宋_GB2312"/>
          <w:b w:val="0"/>
          <w:sz w:val="24"/>
        </w:rPr>
        <w:t>7.3.3 平台内容与报告运营</w:t>
      </w:r>
    </w:p>
    <w:p>
      <w:pPr>
        <w:spacing w:before="0" w:after="0" w:line="500" w:lineRule="exact"/>
        <w:ind w:firstLine="480"/>
        <w:jc w:val="both"/>
      </w:pPr>
      <w:r>
        <w:rPr>
          <w:rFonts w:ascii="仿宋_GB2312" w:hAnsi="仿宋_GB2312" w:eastAsia="仿宋_GB2312"/>
          <w:b w:val="0"/>
          <w:sz w:val="24"/>
        </w:rPr>
        <w:t>7.3.4 合作与渠道运营</w:t>
      </w:r>
    </w:p>
    <w:p>
      <w:pPr>
        <w:spacing w:before="0" w:after="0" w:line="500" w:lineRule="exact"/>
        <w:ind w:firstLine="480"/>
        <w:jc w:val="both"/>
      </w:pPr>
      <w:r>
        <w:rPr>
          <w:rFonts w:ascii="仿宋_GB2312" w:hAnsi="仿宋_GB2312" w:eastAsia="仿宋_GB2312"/>
          <w:b w:val="0"/>
          <w:sz w:val="24"/>
        </w:rPr>
        <w:t>第八章 团队介绍</w:t>
      </w:r>
    </w:p>
    <w:p>
      <w:pPr>
        <w:spacing w:before="0" w:after="0" w:line="500" w:lineRule="exact"/>
        <w:ind w:firstLine="480"/>
        <w:jc w:val="both"/>
      </w:pPr>
      <w:r>
        <w:rPr>
          <w:rFonts w:ascii="仿宋_GB2312" w:hAnsi="仿宋_GB2312" w:eastAsia="仿宋_GB2312"/>
          <w:b w:val="0"/>
          <w:sz w:val="24"/>
        </w:rPr>
        <w:t>8.1 团队组织架构</w:t>
      </w:r>
    </w:p>
    <w:p>
      <w:pPr>
        <w:spacing w:before="0" w:after="0" w:line="500" w:lineRule="exact"/>
        <w:ind w:firstLine="480"/>
        <w:jc w:val="both"/>
      </w:pPr>
      <w:r>
        <w:rPr>
          <w:rFonts w:ascii="仿宋_GB2312" w:hAnsi="仿宋_GB2312" w:eastAsia="仿宋_GB2312"/>
          <w:b w:val="0"/>
          <w:sz w:val="24"/>
        </w:rPr>
        <w:t>8.1.1 技术部</w:t>
      </w:r>
    </w:p>
    <w:p>
      <w:pPr>
        <w:spacing w:before="0" w:after="0" w:line="500" w:lineRule="exact"/>
        <w:ind w:firstLine="480"/>
        <w:jc w:val="both"/>
      </w:pPr>
      <w:r>
        <w:rPr>
          <w:rFonts w:ascii="仿宋_GB2312" w:hAnsi="仿宋_GB2312" w:eastAsia="仿宋_GB2312"/>
          <w:b w:val="0"/>
          <w:sz w:val="24"/>
        </w:rPr>
        <w:t>8.1.2 市场营销部</w:t>
      </w:r>
    </w:p>
    <w:p>
      <w:pPr>
        <w:spacing w:before="0" w:after="0" w:line="500" w:lineRule="exact"/>
        <w:ind w:firstLine="480"/>
        <w:jc w:val="both"/>
      </w:pPr>
      <w:r>
        <w:rPr>
          <w:rFonts w:ascii="仿宋_GB2312" w:hAnsi="仿宋_GB2312" w:eastAsia="仿宋_GB2312"/>
          <w:b w:val="0"/>
          <w:sz w:val="24"/>
        </w:rPr>
        <w:t>8.1.3 财务部</w:t>
      </w:r>
    </w:p>
    <w:p>
      <w:pPr>
        <w:spacing w:before="0" w:after="0" w:line="500" w:lineRule="exact"/>
        <w:ind w:firstLine="480"/>
        <w:jc w:val="both"/>
      </w:pPr>
      <w:r>
        <w:rPr>
          <w:rFonts w:ascii="仿宋_GB2312" w:hAnsi="仿宋_GB2312" w:eastAsia="仿宋_GB2312"/>
          <w:b w:val="0"/>
          <w:sz w:val="24"/>
        </w:rPr>
        <w:t>8.1.4 行政部</w:t>
      </w:r>
    </w:p>
    <w:p>
      <w:pPr>
        <w:spacing w:before="0" w:after="0" w:line="500" w:lineRule="exact"/>
        <w:ind w:firstLine="480"/>
        <w:jc w:val="both"/>
      </w:pPr>
      <w:r>
        <w:rPr>
          <w:rFonts w:ascii="仿宋_GB2312" w:hAnsi="仿宋_GB2312" w:eastAsia="仿宋_GB2312"/>
          <w:b w:val="0"/>
          <w:sz w:val="24"/>
        </w:rPr>
        <w:t>8.2 专家顾问团队</w:t>
      </w:r>
    </w:p>
    <w:p>
      <w:pPr>
        <w:spacing w:before="0" w:after="0" w:line="500" w:lineRule="exact"/>
        <w:ind w:firstLine="480"/>
        <w:jc w:val="both"/>
      </w:pPr>
      <w:r>
        <w:rPr>
          <w:rFonts w:ascii="仿宋_GB2312" w:hAnsi="仿宋_GB2312" w:eastAsia="仿宋_GB2312"/>
          <w:b w:val="0"/>
          <w:sz w:val="24"/>
        </w:rPr>
        <w:t>8.2.1 刘波副教授：算法建模顾问</w:t>
      </w:r>
    </w:p>
    <w:p>
      <w:pPr>
        <w:spacing w:before="0" w:after="0" w:line="500" w:lineRule="exact"/>
        <w:ind w:firstLine="480"/>
        <w:jc w:val="both"/>
      </w:pPr>
      <w:r>
        <w:rPr>
          <w:rFonts w:ascii="仿宋_GB2312" w:hAnsi="仿宋_GB2312" w:eastAsia="仿宋_GB2312"/>
          <w:b w:val="0"/>
          <w:sz w:val="24"/>
        </w:rPr>
        <w:t>8.2.2 龙海侠教授：深度学习顾问</w:t>
      </w:r>
    </w:p>
    <w:p>
      <w:pPr>
        <w:spacing w:before="0" w:after="0" w:line="500" w:lineRule="exact"/>
        <w:ind w:firstLine="480"/>
        <w:jc w:val="both"/>
      </w:pPr>
      <w:r>
        <w:rPr>
          <w:rFonts w:ascii="仿宋_GB2312" w:hAnsi="仿宋_GB2312" w:eastAsia="仿宋_GB2312"/>
          <w:b w:val="0"/>
          <w:sz w:val="24"/>
        </w:rPr>
        <w:t>8.2.3 程明雄副教授：商业与供应链顾问</w:t>
      </w:r>
    </w:p>
    <w:p>
      <w:pPr>
        <w:spacing w:before="0" w:after="0" w:line="500" w:lineRule="exact"/>
        <w:ind w:firstLine="480"/>
        <w:jc w:val="both"/>
      </w:pPr>
      <w:r>
        <w:rPr>
          <w:rFonts w:ascii="仿宋_GB2312" w:hAnsi="仿宋_GB2312" w:eastAsia="仿宋_GB2312"/>
          <w:b w:val="0"/>
          <w:sz w:val="24"/>
        </w:rPr>
        <w:t>8.3 核心团队成员介绍</w:t>
      </w:r>
    </w:p>
    <w:p>
      <w:pPr>
        <w:spacing w:before="0" w:after="0" w:line="500" w:lineRule="exact"/>
        <w:ind w:firstLine="480"/>
        <w:jc w:val="both"/>
      </w:pPr>
      <w:r>
        <w:rPr>
          <w:rFonts w:ascii="仿宋_GB2312" w:hAnsi="仿宋_GB2312" w:eastAsia="仿宋_GB2312"/>
          <w:b w:val="0"/>
          <w:sz w:val="24"/>
        </w:rPr>
        <w:t>8.3.1 彭斯逸：项目负责人</w:t>
      </w:r>
    </w:p>
    <w:p>
      <w:pPr>
        <w:spacing w:before="0" w:after="0" w:line="500" w:lineRule="exact"/>
        <w:ind w:firstLine="480"/>
        <w:jc w:val="both"/>
      </w:pPr>
      <w:r>
        <w:rPr>
          <w:rFonts w:ascii="仿宋_GB2312" w:hAnsi="仿宋_GB2312" w:eastAsia="仿宋_GB2312"/>
          <w:b w:val="0"/>
          <w:sz w:val="24"/>
        </w:rPr>
        <w:t>8.3.2 唐天赐：算法与后端开发</w:t>
      </w:r>
    </w:p>
    <w:p>
      <w:pPr>
        <w:spacing w:before="0" w:after="0" w:line="500" w:lineRule="exact"/>
        <w:ind w:firstLine="480"/>
        <w:jc w:val="both"/>
      </w:pPr>
      <w:r>
        <w:rPr>
          <w:rFonts w:ascii="仿宋_GB2312" w:hAnsi="仿宋_GB2312" w:eastAsia="仿宋_GB2312"/>
          <w:b w:val="0"/>
          <w:sz w:val="24"/>
        </w:rPr>
        <w:t>8.3.3 艾舜杰：平台集成与前端开发</w:t>
      </w:r>
    </w:p>
    <w:p>
      <w:pPr>
        <w:spacing w:before="0" w:after="0" w:line="500" w:lineRule="exact"/>
        <w:ind w:firstLine="480"/>
        <w:jc w:val="both"/>
      </w:pPr>
      <w:r>
        <w:rPr>
          <w:rFonts w:ascii="仿宋_GB2312" w:hAnsi="仿宋_GB2312" w:eastAsia="仿宋_GB2312"/>
          <w:b w:val="0"/>
          <w:sz w:val="24"/>
        </w:rPr>
        <w:t>8.4 团队核心优势</w:t>
      </w:r>
    </w:p>
    <w:p>
      <w:pPr>
        <w:spacing w:before="0" w:after="0" w:line="500" w:lineRule="exact"/>
        <w:ind w:firstLine="480"/>
        <w:jc w:val="both"/>
      </w:pPr>
      <w:r>
        <w:rPr>
          <w:rFonts w:ascii="仿宋_GB2312" w:hAnsi="仿宋_GB2312" w:eastAsia="仿宋_GB2312"/>
          <w:b w:val="0"/>
          <w:sz w:val="24"/>
        </w:rPr>
        <w:t>8.4.1 专业结构较为完整</w:t>
      </w:r>
    </w:p>
    <w:p>
      <w:pPr>
        <w:spacing w:before="0" w:after="0" w:line="500" w:lineRule="exact"/>
        <w:ind w:firstLine="480"/>
        <w:jc w:val="both"/>
      </w:pPr>
      <w:r>
        <w:rPr>
          <w:rFonts w:ascii="仿宋_GB2312" w:hAnsi="仿宋_GB2312" w:eastAsia="仿宋_GB2312"/>
          <w:b w:val="0"/>
          <w:sz w:val="24"/>
        </w:rPr>
        <w:t>8.4.2 校内资源与顾问支持扎实</w:t>
      </w:r>
    </w:p>
    <w:p>
      <w:pPr>
        <w:spacing w:before="0" w:after="0" w:line="500" w:lineRule="exact"/>
        <w:ind w:firstLine="480"/>
        <w:jc w:val="both"/>
      </w:pPr>
      <w:r>
        <w:rPr>
          <w:rFonts w:ascii="仿宋_GB2312" w:hAnsi="仿宋_GB2312" w:eastAsia="仿宋_GB2312"/>
          <w:b w:val="0"/>
          <w:sz w:val="24"/>
        </w:rPr>
        <w:t>8.4.3 项目执行与竞赛表达基础较好</w:t>
      </w:r>
    </w:p>
    <w:p>
      <w:pPr>
        <w:spacing w:before="0" w:after="0" w:line="500" w:lineRule="exact"/>
        <w:ind w:firstLine="480"/>
        <w:jc w:val="both"/>
      </w:pPr>
      <w:r>
        <w:rPr>
          <w:rFonts w:ascii="仿宋_GB2312" w:hAnsi="仿宋_GB2312" w:eastAsia="仿宋_GB2312"/>
          <w:b w:val="0"/>
          <w:sz w:val="24"/>
        </w:rPr>
        <w:t>8.4.4 海南在地场景认知较强</w:t>
      </w:r>
    </w:p>
    <w:p>
      <w:pPr>
        <w:spacing w:before="0" w:after="0" w:line="500" w:lineRule="exact"/>
        <w:ind w:firstLine="480"/>
        <w:jc w:val="both"/>
      </w:pPr>
      <w:r>
        <w:rPr>
          <w:rFonts w:ascii="仿宋_GB2312" w:hAnsi="仿宋_GB2312" w:eastAsia="仿宋_GB2312"/>
          <w:b w:val="0"/>
          <w:sz w:val="24"/>
        </w:rPr>
        <w:t>第九章 财务预测</w:t>
      </w:r>
    </w:p>
    <w:p>
      <w:pPr>
        <w:spacing w:before="0" w:after="0" w:line="500" w:lineRule="exact"/>
        <w:ind w:firstLine="480"/>
        <w:jc w:val="both"/>
      </w:pPr>
      <w:r>
        <w:rPr>
          <w:rFonts w:ascii="仿宋_GB2312" w:hAnsi="仿宋_GB2312" w:eastAsia="仿宋_GB2312"/>
          <w:b w:val="0"/>
          <w:sz w:val="24"/>
        </w:rPr>
        <w:t>9.1 财务假设前提</w:t>
      </w:r>
    </w:p>
    <w:p>
      <w:pPr>
        <w:spacing w:before="0" w:after="0" w:line="500" w:lineRule="exact"/>
        <w:ind w:firstLine="480"/>
        <w:jc w:val="both"/>
      </w:pPr>
      <w:r>
        <w:rPr>
          <w:rFonts w:ascii="仿宋_GB2312" w:hAnsi="仿宋_GB2312" w:eastAsia="仿宋_GB2312"/>
          <w:b w:val="0"/>
          <w:sz w:val="24"/>
        </w:rPr>
        <w:t>9.1.1 收入端假设</w:t>
      </w:r>
    </w:p>
    <w:p>
      <w:pPr>
        <w:spacing w:before="0" w:after="0" w:line="500" w:lineRule="exact"/>
        <w:ind w:firstLine="480"/>
        <w:jc w:val="both"/>
      </w:pPr>
      <w:r>
        <w:rPr>
          <w:rFonts w:ascii="仿宋_GB2312" w:hAnsi="仿宋_GB2312" w:eastAsia="仿宋_GB2312"/>
          <w:b w:val="0"/>
          <w:sz w:val="24"/>
        </w:rPr>
        <w:t>9.1.2 成本与费用假设</w:t>
      </w:r>
    </w:p>
    <w:p>
      <w:pPr>
        <w:spacing w:before="0" w:after="0" w:line="500" w:lineRule="exact"/>
        <w:ind w:firstLine="480"/>
        <w:jc w:val="both"/>
      </w:pPr>
      <w:r>
        <w:rPr>
          <w:rFonts w:ascii="仿宋_GB2312" w:hAnsi="仿宋_GB2312" w:eastAsia="仿宋_GB2312"/>
          <w:b w:val="0"/>
          <w:sz w:val="24"/>
        </w:rPr>
        <w:t>9.1.3 测算边界说明</w:t>
      </w:r>
    </w:p>
    <w:p>
      <w:pPr>
        <w:spacing w:before="0" w:after="0" w:line="500" w:lineRule="exact"/>
        <w:ind w:firstLine="480"/>
        <w:jc w:val="both"/>
      </w:pPr>
      <w:r>
        <w:rPr>
          <w:rFonts w:ascii="仿宋_GB2312" w:hAnsi="仿宋_GB2312" w:eastAsia="仿宋_GB2312"/>
          <w:b w:val="0"/>
          <w:sz w:val="24"/>
        </w:rPr>
        <w:t>9.2 三情景核心假设对比</w:t>
      </w:r>
    </w:p>
    <w:p>
      <w:pPr>
        <w:spacing w:before="0" w:after="0" w:line="500" w:lineRule="exact"/>
        <w:ind w:firstLine="480"/>
        <w:jc w:val="both"/>
      </w:pPr>
      <w:r>
        <w:rPr>
          <w:rFonts w:ascii="仿宋_GB2312" w:hAnsi="仿宋_GB2312" w:eastAsia="仿宋_GB2312"/>
          <w:b w:val="0"/>
          <w:sz w:val="24"/>
        </w:rPr>
        <w:t>9.2.1 乐观情景</w:t>
      </w:r>
    </w:p>
    <w:p>
      <w:pPr>
        <w:spacing w:before="0" w:after="0" w:line="500" w:lineRule="exact"/>
        <w:ind w:firstLine="480"/>
        <w:jc w:val="both"/>
      </w:pPr>
      <w:r>
        <w:rPr>
          <w:rFonts w:ascii="仿宋_GB2312" w:hAnsi="仿宋_GB2312" w:eastAsia="仿宋_GB2312"/>
          <w:b w:val="0"/>
          <w:sz w:val="24"/>
        </w:rPr>
        <w:t>9.2.2 中性情景</w:t>
      </w:r>
    </w:p>
    <w:p>
      <w:pPr>
        <w:spacing w:before="0" w:after="0" w:line="500" w:lineRule="exact"/>
        <w:ind w:firstLine="480"/>
        <w:jc w:val="both"/>
      </w:pPr>
      <w:r>
        <w:rPr>
          <w:rFonts w:ascii="仿宋_GB2312" w:hAnsi="仿宋_GB2312" w:eastAsia="仿宋_GB2312"/>
          <w:b w:val="0"/>
          <w:sz w:val="24"/>
        </w:rPr>
        <w:t>9.2.3 保守情景</w:t>
      </w:r>
    </w:p>
    <w:p>
      <w:pPr>
        <w:spacing w:before="0" w:after="0" w:line="500" w:lineRule="exact"/>
        <w:ind w:firstLine="480"/>
        <w:jc w:val="both"/>
      </w:pPr>
      <w:r>
        <w:rPr>
          <w:rFonts w:ascii="仿宋_GB2312" w:hAnsi="仿宋_GB2312" w:eastAsia="仿宋_GB2312"/>
          <w:b w:val="0"/>
          <w:sz w:val="24"/>
        </w:rPr>
        <w:t>9.3 五年损益预测</w:t>
      </w:r>
    </w:p>
    <w:p>
      <w:pPr>
        <w:spacing w:before="0" w:after="0" w:line="500" w:lineRule="exact"/>
        <w:ind w:firstLine="480"/>
        <w:jc w:val="both"/>
      </w:pPr>
      <w:r>
        <w:rPr>
          <w:rFonts w:ascii="仿宋_GB2312" w:hAnsi="仿宋_GB2312" w:eastAsia="仿宋_GB2312"/>
          <w:b w:val="0"/>
          <w:sz w:val="24"/>
        </w:rPr>
        <w:t>9.3.1 前两年亏损形成原因</w:t>
      </w:r>
    </w:p>
    <w:p>
      <w:pPr>
        <w:spacing w:before="0" w:after="0" w:line="500" w:lineRule="exact"/>
        <w:ind w:firstLine="480"/>
        <w:jc w:val="both"/>
      </w:pPr>
      <w:r>
        <w:rPr>
          <w:rFonts w:ascii="仿宋_GB2312" w:hAnsi="仿宋_GB2312" w:eastAsia="仿宋_GB2312"/>
          <w:b w:val="0"/>
          <w:sz w:val="24"/>
        </w:rPr>
        <w:t>9.3.2 盈利拐点判断</w:t>
      </w:r>
    </w:p>
    <w:p>
      <w:pPr>
        <w:spacing w:before="0" w:after="0" w:line="500" w:lineRule="exact"/>
        <w:ind w:firstLine="480"/>
        <w:jc w:val="both"/>
      </w:pPr>
      <w:r>
        <w:rPr>
          <w:rFonts w:ascii="仿宋_GB2312" w:hAnsi="仿宋_GB2312" w:eastAsia="仿宋_GB2312"/>
          <w:b w:val="0"/>
          <w:sz w:val="24"/>
        </w:rPr>
        <w:t>9.4 五年现金流量预测</w:t>
      </w:r>
    </w:p>
    <w:p>
      <w:pPr>
        <w:spacing w:before="0" w:after="0" w:line="500" w:lineRule="exact"/>
        <w:ind w:firstLine="480"/>
        <w:jc w:val="both"/>
      </w:pPr>
      <w:r>
        <w:rPr>
          <w:rFonts w:ascii="仿宋_GB2312" w:hAnsi="仿宋_GB2312" w:eastAsia="仿宋_GB2312"/>
          <w:b w:val="0"/>
          <w:sz w:val="24"/>
        </w:rPr>
        <w:t>9.4.1 现金流压力来源</w:t>
      </w:r>
    </w:p>
    <w:p>
      <w:pPr>
        <w:spacing w:before="0" w:after="0" w:line="500" w:lineRule="exact"/>
        <w:ind w:firstLine="480"/>
        <w:jc w:val="both"/>
      </w:pPr>
      <w:r>
        <w:rPr>
          <w:rFonts w:ascii="仿宋_GB2312" w:hAnsi="仿宋_GB2312" w:eastAsia="仿宋_GB2312"/>
          <w:b w:val="0"/>
          <w:sz w:val="24"/>
        </w:rPr>
        <w:t>9.4.2 资金安全垫安排</w:t>
      </w:r>
    </w:p>
    <w:p>
      <w:pPr>
        <w:spacing w:before="0" w:after="0" w:line="500" w:lineRule="exact"/>
        <w:ind w:firstLine="480"/>
        <w:jc w:val="both"/>
      </w:pPr>
      <w:r>
        <w:rPr>
          <w:rFonts w:ascii="仿宋_GB2312" w:hAnsi="仿宋_GB2312" w:eastAsia="仿宋_GB2312"/>
          <w:b w:val="0"/>
          <w:sz w:val="24"/>
        </w:rPr>
        <w:t>9.5 资产负债结构判断</w:t>
      </w:r>
    </w:p>
    <w:p>
      <w:pPr>
        <w:spacing w:before="0" w:after="0" w:line="500" w:lineRule="exact"/>
        <w:ind w:firstLine="480"/>
        <w:jc w:val="both"/>
      </w:pPr>
      <w:r>
        <w:rPr>
          <w:rFonts w:ascii="仿宋_GB2312" w:hAnsi="仿宋_GB2312" w:eastAsia="仿宋_GB2312"/>
          <w:b w:val="0"/>
          <w:sz w:val="24"/>
        </w:rPr>
        <w:t>9.5.1 轻资产结构特征</w:t>
      </w:r>
    </w:p>
    <w:p>
      <w:pPr>
        <w:spacing w:before="0" w:after="0" w:line="500" w:lineRule="exact"/>
        <w:ind w:firstLine="480"/>
        <w:jc w:val="both"/>
      </w:pPr>
      <w:r>
        <w:rPr>
          <w:rFonts w:ascii="仿宋_GB2312" w:hAnsi="仿宋_GB2312" w:eastAsia="仿宋_GB2312"/>
          <w:b w:val="0"/>
          <w:sz w:val="24"/>
        </w:rPr>
        <w:t>9.5.2 负债安排原则</w:t>
      </w:r>
    </w:p>
    <w:p>
      <w:pPr>
        <w:spacing w:before="0" w:after="0" w:line="500" w:lineRule="exact"/>
        <w:ind w:firstLine="480"/>
        <w:jc w:val="both"/>
      </w:pPr>
      <w:r>
        <w:rPr>
          <w:rFonts w:ascii="仿宋_GB2312" w:hAnsi="仿宋_GB2312" w:eastAsia="仿宋_GB2312"/>
          <w:b w:val="0"/>
          <w:sz w:val="24"/>
        </w:rPr>
        <w:t>9.6 三情景营收与盈利对比</w:t>
      </w:r>
    </w:p>
    <w:p>
      <w:pPr>
        <w:spacing w:before="0" w:after="0" w:line="500" w:lineRule="exact"/>
        <w:ind w:firstLine="480"/>
        <w:jc w:val="both"/>
      </w:pPr>
      <w:r>
        <w:rPr>
          <w:rFonts w:ascii="仿宋_GB2312" w:hAnsi="仿宋_GB2312" w:eastAsia="仿宋_GB2312"/>
          <w:b w:val="0"/>
          <w:sz w:val="24"/>
        </w:rPr>
        <w:t>9.6.1 收入质量差异</w:t>
      </w:r>
    </w:p>
    <w:p>
      <w:pPr>
        <w:spacing w:before="0" w:after="0" w:line="500" w:lineRule="exact"/>
        <w:ind w:firstLine="480"/>
        <w:jc w:val="both"/>
      </w:pPr>
      <w:r>
        <w:rPr>
          <w:rFonts w:ascii="仿宋_GB2312" w:hAnsi="仿宋_GB2312" w:eastAsia="仿宋_GB2312"/>
          <w:b w:val="0"/>
          <w:sz w:val="24"/>
        </w:rPr>
        <w:t>9.6.2 利润弹性判断</w:t>
      </w:r>
    </w:p>
    <w:p>
      <w:pPr>
        <w:spacing w:before="0" w:after="0" w:line="500" w:lineRule="exact"/>
        <w:ind w:firstLine="480"/>
        <w:jc w:val="both"/>
      </w:pPr>
      <w:r>
        <w:rPr>
          <w:rFonts w:ascii="仿宋_GB2312" w:hAnsi="仿宋_GB2312" w:eastAsia="仿宋_GB2312"/>
          <w:b w:val="0"/>
          <w:sz w:val="24"/>
        </w:rPr>
        <w:t>9.7 盈亏平衡分析</w:t>
      </w:r>
    </w:p>
    <w:p>
      <w:pPr>
        <w:spacing w:before="0" w:after="0" w:line="500" w:lineRule="exact"/>
        <w:ind w:firstLine="480"/>
        <w:jc w:val="both"/>
      </w:pPr>
      <w:r>
        <w:rPr>
          <w:rFonts w:ascii="仿宋_GB2312" w:hAnsi="仿宋_GB2312" w:eastAsia="仿宋_GB2312"/>
          <w:b w:val="0"/>
          <w:sz w:val="24"/>
        </w:rPr>
        <w:t>9.7.1 固定成本覆盖门槛</w:t>
      </w:r>
    </w:p>
    <w:p>
      <w:pPr>
        <w:spacing w:before="0" w:after="0" w:line="500" w:lineRule="exact"/>
        <w:ind w:firstLine="480"/>
        <w:jc w:val="both"/>
      </w:pPr>
      <w:r>
        <w:rPr>
          <w:rFonts w:ascii="仿宋_GB2312" w:hAnsi="仿宋_GB2312" w:eastAsia="仿宋_GB2312"/>
          <w:b w:val="0"/>
          <w:sz w:val="24"/>
        </w:rPr>
        <w:t>9.7.2 平衡点后的增长逻辑</w:t>
      </w:r>
    </w:p>
    <w:p>
      <w:pPr>
        <w:spacing w:before="0" w:after="0" w:line="500" w:lineRule="exact"/>
        <w:ind w:firstLine="480"/>
        <w:jc w:val="both"/>
      </w:pPr>
      <w:r>
        <w:rPr>
          <w:rFonts w:ascii="仿宋_GB2312" w:hAnsi="仿宋_GB2312" w:eastAsia="仿宋_GB2312"/>
          <w:b w:val="0"/>
          <w:sz w:val="24"/>
        </w:rPr>
        <w:t>9.8 敏感性分析</w:t>
      </w:r>
    </w:p>
    <w:p>
      <w:pPr>
        <w:spacing w:before="0" w:after="0" w:line="500" w:lineRule="exact"/>
        <w:ind w:firstLine="480"/>
        <w:jc w:val="both"/>
      </w:pPr>
      <w:r>
        <w:rPr>
          <w:rFonts w:ascii="仿宋_GB2312" w:hAnsi="仿宋_GB2312" w:eastAsia="仿宋_GB2312"/>
          <w:b w:val="0"/>
          <w:sz w:val="24"/>
        </w:rPr>
        <w:t>9.8.1 高敏变量识别</w:t>
      </w:r>
    </w:p>
    <w:p>
      <w:pPr>
        <w:spacing w:before="0" w:after="0" w:line="500" w:lineRule="exact"/>
        <w:ind w:firstLine="480"/>
        <w:jc w:val="both"/>
      </w:pPr>
      <w:r>
        <w:rPr>
          <w:rFonts w:ascii="仿宋_GB2312" w:hAnsi="仿宋_GB2312" w:eastAsia="仿宋_GB2312"/>
          <w:b w:val="0"/>
          <w:sz w:val="24"/>
        </w:rPr>
        <w:t>9.8.2 管控重点判断</w:t>
      </w:r>
    </w:p>
    <w:p>
      <w:pPr>
        <w:spacing w:before="0" w:after="0" w:line="500" w:lineRule="exact"/>
        <w:ind w:firstLine="480"/>
        <w:jc w:val="both"/>
      </w:pPr>
      <w:r>
        <w:rPr>
          <w:rFonts w:ascii="仿宋_GB2312" w:hAnsi="仿宋_GB2312" w:eastAsia="仿宋_GB2312"/>
          <w:b w:val="0"/>
          <w:sz w:val="24"/>
        </w:rPr>
        <w:t>9.9 关键财务比率趋势</w:t>
      </w:r>
    </w:p>
    <w:p>
      <w:pPr>
        <w:spacing w:before="0" w:after="0" w:line="500" w:lineRule="exact"/>
        <w:ind w:firstLine="480"/>
        <w:jc w:val="both"/>
      </w:pPr>
      <w:r>
        <w:rPr>
          <w:rFonts w:ascii="仿宋_GB2312" w:hAnsi="仿宋_GB2312" w:eastAsia="仿宋_GB2312"/>
          <w:b w:val="0"/>
          <w:sz w:val="24"/>
        </w:rPr>
        <w:t>9.9.1 核心指标观察</w:t>
      </w:r>
    </w:p>
    <w:p>
      <w:pPr>
        <w:spacing w:before="0" w:after="0" w:line="500" w:lineRule="exact"/>
        <w:ind w:firstLine="480"/>
        <w:jc w:val="both"/>
      </w:pPr>
      <w:r>
        <w:rPr>
          <w:rFonts w:ascii="仿宋_GB2312" w:hAnsi="仿宋_GB2312" w:eastAsia="仿宋_GB2312"/>
          <w:b w:val="0"/>
          <w:sz w:val="24"/>
        </w:rPr>
        <w:t>9.9.2 指标改善节奏</w:t>
      </w:r>
    </w:p>
    <w:p>
      <w:pPr>
        <w:spacing w:before="0" w:after="0" w:line="500" w:lineRule="exact"/>
        <w:ind w:firstLine="480"/>
        <w:jc w:val="both"/>
      </w:pPr>
      <w:r>
        <w:rPr>
          <w:rFonts w:ascii="仿宋_GB2312" w:hAnsi="仿宋_GB2312" w:eastAsia="仿宋_GB2312"/>
          <w:b w:val="0"/>
          <w:sz w:val="24"/>
        </w:rPr>
        <w:t>9.10 资本需求与融资规划</w:t>
      </w:r>
    </w:p>
    <w:p>
      <w:pPr>
        <w:spacing w:before="0" w:after="0" w:line="500" w:lineRule="exact"/>
        <w:ind w:firstLine="480"/>
        <w:jc w:val="both"/>
      </w:pPr>
      <w:r>
        <w:rPr>
          <w:rFonts w:ascii="仿宋_GB2312" w:hAnsi="仿宋_GB2312" w:eastAsia="仿宋_GB2312"/>
          <w:b w:val="0"/>
          <w:sz w:val="24"/>
        </w:rPr>
        <w:t>9.10.1 资金使用方向</w:t>
      </w:r>
    </w:p>
    <w:p>
      <w:pPr>
        <w:spacing w:before="0" w:after="0" w:line="500" w:lineRule="exact"/>
        <w:ind w:firstLine="480"/>
        <w:jc w:val="both"/>
      </w:pPr>
      <w:r>
        <w:rPr>
          <w:rFonts w:ascii="仿宋_GB2312" w:hAnsi="仿宋_GB2312" w:eastAsia="仿宋_GB2312"/>
          <w:b w:val="0"/>
          <w:sz w:val="24"/>
        </w:rPr>
        <w:t>9.10.2 融资节奏建议</w:t>
      </w:r>
    </w:p>
    <w:p>
      <w:pPr>
        <w:spacing w:before="0" w:after="0" w:line="500" w:lineRule="exact"/>
        <w:ind w:firstLine="480"/>
        <w:jc w:val="both"/>
      </w:pPr>
      <w:r>
        <w:rPr>
          <w:rFonts w:ascii="仿宋_GB2312" w:hAnsi="仿宋_GB2312" w:eastAsia="仿宋_GB2312"/>
          <w:b w:val="0"/>
          <w:sz w:val="24"/>
        </w:rPr>
        <w:t>9.10.3 外部融资边界</w:t>
      </w:r>
    </w:p>
    <w:p>
      <w:pPr>
        <w:spacing w:before="0" w:after="0" w:line="500" w:lineRule="exact"/>
        <w:ind w:firstLine="480"/>
        <w:jc w:val="both"/>
      </w:pPr>
      <w:r>
        <w:rPr>
          <w:rFonts w:ascii="仿宋_GB2312" w:hAnsi="仿宋_GB2312" w:eastAsia="仿宋_GB2312"/>
          <w:b w:val="0"/>
          <w:sz w:val="24"/>
        </w:rPr>
        <w:t>第十章 风险分析</w:t>
      </w:r>
    </w:p>
    <w:p>
      <w:pPr>
        <w:spacing w:before="0" w:after="0" w:line="500" w:lineRule="exact"/>
        <w:ind w:firstLine="480"/>
        <w:jc w:val="both"/>
      </w:pPr>
      <w:r>
        <w:rPr>
          <w:rFonts w:ascii="仿宋_GB2312" w:hAnsi="仿宋_GB2312" w:eastAsia="仿宋_GB2312"/>
          <w:b w:val="0"/>
          <w:sz w:val="24"/>
        </w:rPr>
        <w:t>10.1 分析假设条件声明</w:t>
      </w:r>
    </w:p>
    <w:p>
      <w:pPr>
        <w:spacing w:before="0" w:after="0" w:line="500" w:lineRule="exact"/>
        <w:ind w:firstLine="480"/>
        <w:jc w:val="both"/>
      </w:pPr>
      <w:r>
        <w:rPr>
          <w:rFonts w:ascii="仿宋_GB2312" w:hAnsi="仿宋_GB2312" w:eastAsia="仿宋_GB2312"/>
          <w:b w:val="0"/>
          <w:sz w:val="24"/>
        </w:rPr>
        <w:t>10.1.1 风险分析适用边界</w:t>
      </w:r>
    </w:p>
    <w:p>
      <w:pPr>
        <w:spacing w:before="0" w:after="0" w:line="500" w:lineRule="exact"/>
        <w:ind w:firstLine="480"/>
        <w:jc w:val="both"/>
      </w:pPr>
      <w:r>
        <w:rPr>
          <w:rFonts w:ascii="仿宋_GB2312" w:hAnsi="仿宋_GB2312" w:eastAsia="仿宋_GB2312"/>
          <w:b w:val="0"/>
          <w:sz w:val="24"/>
        </w:rPr>
        <w:t>10.1.2 风险识别原则</w:t>
      </w:r>
    </w:p>
    <w:p>
      <w:pPr>
        <w:spacing w:before="0" w:after="0" w:line="500" w:lineRule="exact"/>
        <w:ind w:firstLine="480"/>
        <w:jc w:val="both"/>
      </w:pPr>
      <w:r>
        <w:rPr>
          <w:rFonts w:ascii="仿宋_GB2312" w:hAnsi="仿宋_GB2312" w:eastAsia="仿宋_GB2312"/>
          <w:b w:val="0"/>
          <w:sz w:val="24"/>
        </w:rPr>
        <w:t>10.2 财务风险维度分析</w:t>
      </w:r>
    </w:p>
    <w:p>
      <w:pPr>
        <w:spacing w:before="0" w:after="0" w:line="500" w:lineRule="exact"/>
        <w:ind w:firstLine="480"/>
        <w:jc w:val="both"/>
      </w:pPr>
      <w:r>
        <w:rPr>
          <w:rFonts w:ascii="仿宋_GB2312" w:hAnsi="仿宋_GB2312" w:eastAsia="仿宋_GB2312"/>
          <w:b w:val="0"/>
          <w:sz w:val="24"/>
        </w:rPr>
        <w:t>10.2.1 现金流缺口风险</w:t>
      </w:r>
    </w:p>
    <w:p>
      <w:pPr>
        <w:spacing w:before="0" w:after="0" w:line="500" w:lineRule="exact"/>
        <w:ind w:firstLine="480"/>
        <w:jc w:val="both"/>
      </w:pPr>
      <w:r>
        <w:rPr>
          <w:rFonts w:ascii="仿宋_GB2312" w:hAnsi="仿宋_GB2312" w:eastAsia="仿宋_GB2312"/>
          <w:b w:val="0"/>
          <w:sz w:val="24"/>
        </w:rPr>
        <w:t>10.2.2 回款与收入质量风险</w:t>
      </w:r>
    </w:p>
    <w:p>
      <w:pPr>
        <w:spacing w:before="0" w:after="0" w:line="500" w:lineRule="exact"/>
        <w:ind w:firstLine="480"/>
        <w:jc w:val="both"/>
      </w:pPr>
      <w:r>
        <w:rPr>
          <w:rFonts w:ascii="仿宋_GB2312" w:hAnsi="仿宋_GB2312" w:eastAsia="仿宋_GB2312"/>
          <w:b w:val="0"/>
          <w:sz w:val="24"/>
        </w:rPr>
        <w:t>10.3 市场风险维度分析</w:t>
      </w:r>
    </w:p>
    <w:p>
      <w:pPr>
        <w:spacing w:before="0" w:after="0" w:line="500" w:lineRule="exact"/>
        <w:ind w:firstLine="480"/>
        <w:jc w:val="both"/>
      </w:pPr>
      <w:r>
        <w:rPr>
          <w:rFonts w:ascii="仿宋_GB2312" w:hAnsi="仿宋_GB2312" w:eastAsia="仿宋_GB2312"/>
          <w:b w:val="0"/>
          <w:sz w:val="24"/>
        </w:rPr>
        <w:t>10.3.1 市场教育风险</w:t>
      </w:r>
    </w:p>
    <w:p>
      <w:pPr>
        <w:spacing w:before="0" w:after="0" w:line="500" w:lineRule="exact"/>
        <w:ind w:firstLine="480"/>
        <w:jc w:val="both"/>
      </w:pPr>
      <w:r>
        <w:rPr>
          <w:rFonts w:ascii="仿宋_GB2312" w:hAnsi="仿宋_GB2312" w:eastAsia="仿宋_GB2312"/>
          <w:b w:val="0"/>
          <w:sz w:val="24"/>
        </w:rPr>
        <w:t>10.3.2 客户集中度风险</w:t>
      </w:r>
    </w:p>
    <w:p>
      <w:pPr>
        <w:spacing w:before="0" w:after="0" w:line="500" w:lineRule="exact"/>
        <w:ind w:firstLine="480"/>
        <w:jc w:val="both"/>
      </w:pPr>
      <w:r>
        <w:rPr>
          <w:rFonts w:ascii="仿宋_GB2312" w:hAnsi="仿宋_GB2312" w:eastAsia="仿宋_GB2312"/>
          <w:b w:val="0"/>
          <w:sz w:val="24"/>
        </w:rPr>
        <w:t>10.4 运营风险维度分析</w:t>
      </w:r>
    </w:p>
    <w:p>
      <w:pPr>
        <w:spacing w:before="0" w:after="0" w:line="500" w:lineRule="exact"/>
        <w:ind w:firstLine="480"/>
        <w:jc w:val="both"/>
      </w:pPr>
      <w:r>
        <w:rPr>
          <w:rFonts w:ascii="仿宋_GB2312" w:hAnsi="仿宋_GB2312" w:eastAsia="仿宋_GB2312"/>
          <w:b w:val="0"/>
          <w:sz w:val="24"/>
        </w:rPr>
        <w:t>10.4.1 样本组织与交付排期风险</w:t>
      </w:r>
    </w:p>
    <w:p>
      <w:pPr>
        <w:spacing w:before="0" w:after="0" w:line="500" w:lineRule="exact"/>
        <w:ind w:firstLine="480"/>
        <w:jc w:val="both"/>
      </w:pPr>
      <w:r>
        <w:rPr>
          <w:rFonts w:ascii="仿宋_GB2312" w:hAnsi="仿宋_GB2312" w:eastAsia="仿宋_GB2312"/>
          <w:b w:val="0"/>
          <w:sz w:val="24"/>
        </w:rPr>
        <w:t>10.4.2 团队协同与知识沉淀风险</w:t>
      </w:r>
    </w:p>
    <w:p>
      <w:pPr>
        <w:spacing w:before="0" w:after="0" w:line="500" w:lineRule="exact"/>
        <w:ind w:firstLine="480"/>
        <w:jc w:val="both"/>
      </w:pPr>
      <w:r>
        <w:rPr>
          <w:rFonts w:ascii="仿宋_GB2312" w:hAnsi="仿宋_GB2312" w:eastAsia="仿宋_GB2312"/>
          <w:b w:val="0"/>
          <w:sz w:val="24"/>
        </w:rPr>
        <w:t>10.5 技术与合规风险维度分析</w:t>
      </w:r>
    </w:p>
    <w:p>
      <w:pPr>
        <w:spacing w:before="0" w:after="0" w:line="500" w:lineRule="exact"/>
        <w:ind w:firstLine="480"/>
        <w:jc w:val="both"/>
      </w:pPr>
      <w:r>
        <w:rPr>
          <w:rFonts w:ascii="仿宋_GB2312" w:hAnsi="仿宋_GB2312" w:eastAsia="仿宋_GB2312"/>
          <w:b w:val="0"/>
          <w:sz w:val="24"/>
        </w:rPr>
        <w:t>10.5.1 模型泛化风险</w:t>
      </w:r>
    </w:p>
    <w:p>
      <w:pPr>
        <w:spacing w:before="0" w:after="0" w:line="500" w:lineRule="exact"/>
        <w:ind w:firstLine="480"/>
        <w:jc w:val="both"/>
      </w:pPr>
      <w:r>
        <w:rPr>
          <w:rFonts w:ascii="仿宋_GB2312" w:hAnsi="仿宋_GB2312" w:eastAsia="仿宋_GB2312"/>
          <w:b w:val="0"/>
          <w:sz w:val="24"/>
        </w:rPr>
        <w:t>10.5.2 数据与知识产权合规风险</w:t>
      </w:r>
    </w:p>
    <w:p>
      <w:pPr>
        <w:spacing w:before="0" w:after="0" w:line="500" w:lineRule="exact"/>
        <w:ind w:firstLine="480"/>
        <w:jc w:val="both"/>
      </w:pPr>
      <w:r>
        <w:rPr>
          <w:rFonts w:ascii="仿宋_GB2312" w:hAnsi="仿宋_GB2312" w:eastAsia="仿宋_GB2312"/>
          <w:b w:val="0"/>
          <w:sz w:val="24"/>
        </w:rPr>
        <w:t>10.6 风险量化评估矩阵</w:t>
      </w:r>
    </w:p>
    <w:p>
      <w:pPr>
        <w:spacing w:before="0" w:after="0" w:line="500" w:lineRule="exact"/>
        <w:ind w:firstLine="480"/>
        <w:jc w:val="both"/>
      </w:pPr>
      <w:r>
        <w:rPr>
          <w:rFonts w:ascii="仿宋_GB2312" w:hAnsi="仿宋_GB2312" w:eastAsia="仿宋_GB2312"/>
          <w:b w:val="0"/>
          <w:sz w:val="24"/>
        </w:rPr>
        <w:t>10.6.1 高风险事项</w:t>
      </w:r>
    </w:p>
    <w:p>
      <w:pPr>
        <w:spacing w:before="0" w:after="0" w:line="500" w:lineRule="exact"/>
        <w:ind w:firstLine="480"/>
        <w:jc w:val="both"/>
      </w:pPr>
      <w:r>
        <w:rPr>
          <w:rFonts w:ascii="仿宋_GB2312" w:hAnsi="仿宋_GB2312" w:eastAsia="仿宋_GB2312"/>
          <w:b w:val="0"/>
          <w:sz w:val="24"/>
        </w:rPr>
        <w:t>10.6.2 中低风险事项</w:t>
      </w:r>
    </w:p>
    <w:p>
      <w:pPr>
        <w:spacing w:before="0" w:after="0" w:line="500" w:lineRule="exact"/>
        <w:ind w:firstLine="480"/>
        <w:jc w:val="both"/>
      </w:pPr>
      <w:r>
        <w:rPr>
          <w:rFonts w:ascii="仿宋_GB2312" w:hAnsi="仿宋_GB2312" w:eastAsia="仿宋_GB2312"/>
          <w:b w:val="0"/>
          <w:sz w:val="24"/>
        </w:rPr>
        <w:t>10.7 三情景风险演变路径</w:t>
      </w:r>
    </w:p>
    <w:p>
      <w:pPr>
        <w:spacing w:before="0" w:after="0" w:line="500" w:lineRule="exact"/>
        <w:ind w:firstLine="480"/>
        <w:jc w:val="both"/>
      </w:pPr>
      <w:r>
        <w:rPr>
          <w:rFonts w:ascii="仿宋_GB2312" w:hAnsi="仿宋_GB2312" w:eastAsia="仿宋_GB2312"/>
          <w:b w:val="0"/>
          <w:sz w:val="24"/>
        </w:rPr>
        <w:t>10.7.1 乐观情景下的风险迁移</w:t>
      </w:r>
    </w:p>
    <w:p>
      <w:pPr>
        <w:spacing w:before="0" w:after="0" w:line="500" w:lineRule="exact"/>
        <w:ind w:firstLine="480"/>
        <w:jc w:val="both"/>
      </w:pPr>
      <w:r>
        <w:rPr>
          <w:rFonts w:ascii="仿宋_GB2312" w:hAnsi="仿宋_GB2312" w:eastAsia="仿宋_GB2312"/>
          <w:b w:val="0"/>
          <w:sz w:val="24"/>
        </w:rPr>
        <w:t>10.7.2 中性与保守情景下的处置重点</w:t>
      </w:r>
    </w:p>
    <w:p>
      <w:pPr>
        <w:spacing w:before="0" w:after="0" w:line="500" w:lineRule="exact"/>
        <w:ind w:firstLine="480"/>
        <w:jc w:val="both"/>
      </w:pPr>
      <w:r>
        <w:rPr>
          <w:rFonts w:ascii="仿宋_GB2312" w:hAnsi="仿宋_GB2312" w:eastAsia="仿宋_GB2312"/>
          <w:b w:val="0"/>
          <w:sz w:val="24"/>
        </w:rPr>
        <w:t>10.8 风险应对策略矩阵</w:t>
      </w:r>
    </w:p>
    <w:p>
      <w:pPr>
        <w:spacing w:before="0" w:after="0" w:line="500" w:lineRule="exact"/>
        <w:ind w:firstLine="480"/>
        <w:jc w:val="both"/>
      </w:pPr>
      <w:r>
        <w:rPr>
          <w:rFonts w:ascii="仿宋_GB2312" w:hAnsi="仿宋_GB2312" w:eastAsia="仿宋_GB2312"/>
          <w:b w:val="0"/>
          <w:sz w:val="24"/>
        </w:rPr>
        <w:t>10.8.1 规避类策略</w:t>
      </w:r>
    </w:p>
    <w:p>
      <w:pPr>
        <w:spacing w:before="0" w:after="0" w:line="500" w:lineRule="exact"/>
        <w:ind w:firstLine="480"/>
        <w:jc w:val="both"/>
      </w:pPr>
      <w:r>
        <w:rPr>
          <w:rFonts w:ascii="仿宋_GB2312" w:hAnsi="仿宋_GB2312" w:eastAsia="仿宋_GB2312"/>
          <w:b w:val="0"/>
          <w:sz w:val="24"/>
        </w:rPr>
        <w:t>10.8.2 缓释类策略</w:t>
      </w:r>
    </w:p>
    <w:p>
      <w:pPr>
        <w:spacing w:before="0" w:after="0" w:line="500" w:lineRule="exact"/>
        <w:ind w:firstLine="480"/>
        <w:jc w:val="both"/>
      </w:pPr>
      <w:r>
        <w:rPr>
          <w:rFonts w:ascii="仿宋_GB2312" w:hAnsi="仿宋_GB2312" w:eastAsia="仿宋_GB2312"/>
          <w:b w:val="0"/>
          <w:sz w:val="24"/>
        </w:rPr>
        <w:t>10.8.3 转移与预案类策略</w:t>
      </w:r>
    </w:p>
    <w:p>
      <w:pPr>
        <w:spacing w:before="0" w:after="0" w:line="500" w:lineRule="exact"/>
        <w:ind w:firstLine="480"/>
        <w:jc w:val="both"/>
      </w:pPr>
      <w:r>
        <w:rPr>
          <w:rFonts w:ascii="仿宋_GB2312" w:hAnsi="仿宋_GB2312" w:eastAsia="仿宋_GB2312"/>
          <w:b w:val="0"/>
          <w:sz w:val="24"/>
        </w:rPr>
        <w:t>10.9 关键风险指标监控建议</w:t>
      </w:r>
    </w:p>
    <w:p>
      <w:pPr>
        <w:spacing w:before="0" w:after="0" w:line="500" w:lineRule="exact"/>
        <w:ind w:firstLine="480"/>
        <w:jc w:val="both"/>
      </w:pPr>
      <w:r>
        <w:rPr>
          <w:rFonts w:ascii="仿宋_GB2312" w:hAnsi="仿宋_GB2312" w:eastAsia="仿宋_GB2312"/>
          <w:b w:val="0"/>
          <w:sz w:val="24"/>
        </w:rPr>
        <w:t>10.9.1 月度经营类指标</w:t>
      </w:r>
    </w:p>
    <w:p>
      <w:pPr>
        <w:spacing w:before="0" w:after="0" w:line="500" w:lineRule="exact"/>
        <w:ind w:firstLine="480"/>
        <w:jc w:val="both"/>
      </w:pPr>
      <w:r>
        <w:rPr>
          <w:rFonts w:ascii="仿宋_GB2312" w:hAnsi="仿宋_GB2312" w:eastAsia="仿宋_GB2312"/>
          <w:b w:val="0"/>
          <w:sz w:val="24"/>
        </w:rPr>
        <w:t>10.9.2 技术验证类指标</w:t>
      </w:r>
    </w:p>
    <w:p>
      <w:pPr>
        <w:spacing w:before="0" w:after="0" w:line="500" w:lineRule="exact"/>
        <w:ind w:firstLine="480"/>
        <w:jc w:val="both"/>
      </w:pPr>
      <w:r>
        <w:rPr>
          <w:rFonts w:ascii="仿宋_GB2312" w:hAnsi="仿宋_GB2312" w:eastAsia="仿宋_GB2312"/>
          <w:b w:val="0"/>
          <w:sz w:val="24"/>
        </w:rPr>
        <w:t>10.9.3 团队与合作类指标</w:t>
      </w:r>
    </w:p>
    <w:p>
      <w:pPr>
        <w:sectPr>
          <w:pgSz w:w="11906" w:h="16838"/>
          <w:pgMar w:top="1417" w:right="1417" w:bottom="1417" w:left="1417" w:header="850" w:footer="992" w:gutter="0"/>
          <w:cols w:space="720"/>
          <w:docGrid w:linePitch="360"/>
        </w:sectPr>
      </w:pPr>
    </w:p>
    <w:p>
      <w:pPr>
        <w:spacing w:before="0" w:after="0" w:line="500" w:lineRule="exact"/>
        <w:ind w:firstLine="0"/>
        <w:jc w:val="both"/>
      </w:pPr>
      <w:r>
        <w:rPr>
          <w:rFonts w:ascii="仿宋_GB2312" w:hAnsi="仿宋_GB2312" w:eastAsia="仿宋_GB2312"/>
          <w:b/>
          <w:sz w:val="24"/>
        </w:rPr>
        <w:t xml:space="preserve">摘要 </w:t>
      </w:r>
      <w:r>
        <w:rPr>
          <w:rFonts w:ascii="仿宋_GB2312" w:hAnsi="仿宋_GB2312" w:eastAsia="仿宋_GB2312"/>
          <w:b w:val="0"/>
          <w:sz w:val="24"/>
        </w:rPr>
        <w:t>橙源智鉴不是把高光谱技术简单搬到网页上，而是尝试为海南特色橙类打造一套能真正进入分选、验货和品牌沟通环节的轻量化智能检测方案。设想在澄迈福橙或琼中绿橙的采后处理中，工作人员完成样本扫描后，系统能够在同一页面上给出产地判别、糖度与糖酸比区间判断、异常样本提示以及可直接用于对外展示的图文化报告，帮助基地端做批次分级，帮助渠道端做验货沟通，也帮助品牌端把“这批果品为什么值得卖得更好”讲得更有依据。项目以高光谱成像为数据入口，以分类与回归模型为核心引擎，以可解释分析、历史留痕和报告输出为交付形态，目前已经具备首页门户、可视化大屏、样本分析、模型解释、历史记录等前端原型，也已经沉淀糖度、酸度、糖酸比、维生素C等基础字段与曲线展示逻辑，具备由展示型原型走向试点型系统的现实基础。需要说明的是，项目现阶段强调的是“把品牌果品的快速研判、批次留痕和结果表达做出来”，而不是夸大为已经替代实验室标准检测。基于这一边界，橙源智鉴更适合先围绕海南区域品牌橙类做小范围试点，逐步积累样本、案例和合作流程，再从一个能被看见的项目，长成一个能被真正使用的项目。</w:t>
      </w:r>
    </w:p>
    <w:p>
      <w:pPr>
        <w:spacing w:before="0" w:after="0" w:line="500" w:lineRule="exact"/>
        <w:ind w:firstLine="0"/>
        <w:jc w:val="both"/>
      </w:pPr>
      <w:r>
        <w:rPr>
          <w:rFonts w:ascii="仿宋_GB2312" w:hAnsi="仿宋_GB2312" w:eastAsia="仿宋_GB2312"/>
          <w:b/>
          <w:sz w:val="24"/>
        </w:rPr>
        <w:t xml:space="preserve">关键词 </w:t>
      </w:r>
      <w:r>
        <w:rPr>
          <w:rFonts w:ascii="仿宋_GB2312" w:hAnsi="仿宋_GB2312" w:eastAsia="仿宋_GB2312"/>
          <w:b w:val="0"/>
          <w:sz w:val="24"/>
        </w:rPr>
        <w:t>高光谱成像；橙类品质检测；产地识别；智慧农业；可解释AI</w:t>
      </w:r>
    </w:p>
    <w:p>
      <w:pPr>
        <w:spacing w:before="0" w:after="0" w:line="500" w:lineRule="exact"/>
        <w:ind w:firstLine="0"/>
        <w:jc w:val="both"/>
      </w:pPr>
      <w:r>
        <w:rPr>
          <w:rFonts w:ascii="Times New Roman" w:hAnsi="Times New Roman" w:eastAsia="Times New Roman"/>
          <w:b/>
          <w:sz w:val="24"/>
        </w:rPr>
        <w:t xml:space="preserve">Abstract </w:t>
      </w:r>
      <w:r>
        <w:rPr>
          <w:rFonts w:ascii="Times New Roman" w:hAnsi="Times New Roman" w:eastAsia="Times New Roman"/>
          <w:b w:val="0"/>
          <w:sz w:val="24"/>
        </w:rPr>
        <w:t>Chengyuan Insight is designed as a practical inspection workflow for branded citrus rather than a purely conceptual demo. In a future pilot scenario for Hainan oranges, the system is expected to support batch screening, origin identification, quality estimation, anomaly alerts and visual report generation in one interface, helping growers, distributors and brand operators communicate quality with clearer evidence. Built on hyperspectral imaging, classification and regression models, explainable analysis and report-oriented product design, the project already has a usable web prototype and a basic data structure, providing a realistic foundation for moving from demonstration to pilot validation.</w:t>
      </w:r>
    </w:p>
    <w:p>
      <w:pPr>
        <w:spacing w:before="0" w:after="0" w:line="500" w:lineRule="exact"/>
        <w:ind w:firstLine="0"/>
        <w:jc w:val="both"/>
      </w:pPr>
      <w:r>
        <w:rPr>
          <w:rFonts w:ascii="Times New Roman" w:hAnsi="Times New Roman" w:eastAsia="Times New Roman"/>
          <w:b/>
          <w:sz w:val="24"/>
        </w:rPr>
        <w:t xml:space="preserve">Key words </w:t>
      </w:r>
      <w:r>
        <w:rPr>
          <w:rFonts w:ascii="Times New Roman" w:hAnsi="Times New Roman" w:eastAsia="Times New Roman"/>
          <w:b w:val="0"/>
          <w:sz w:val="24"/>
        </w:rPr>
        <w:t>hyperspectral imaging; citrus quality inspection; origin identification; smart agriculture; explainable AI</w:t>
      </w:r>
    </w:p>
    <w:p>
      <w:pPr>
        <w:sectPr>
          <w:pgSz w:w="11906" w:h="16838"/>
          <w:pgMar w:top="1417" w:right="1417" w:bottom="1417" w:left="1417" w:header="850" w:footer="992" w:gutter="0"/>
          <w:cols w:space="720"/>
          <w:docGrid w:linePitch="360"/>
        </w:sectPr>
      </w:pPr>
    </w:p>
    <w:p>
      <w:pPr>
        <w:pStyle w:val="Heading1"/>
        <w:spacing w:before="0" w:after="0" w:line="500" w:lineRule="exact"/>
        <w:ind w:firstLine="0"/>
        <w:jc w:val="left"/>
      </w:pPr>
      <w:r>
        <w:rPr>
          <w:rFonts w:ascii="黑体" w:hAnsi="黑体" w:eastAsia="黑体"/>
          <w:b w:val="0"/>
          <w:sz w:val="32"/>
        </w:rPr>
        <w:t>第一章 项目概述</w:t>
      </w:r>
    </w:p>
    <w:p>
      <w:pPr>
        <w:spacing w:before="0" w:after="0" w:line="500" w:lineRule="exact"/>
        <w:ind w:firstLine="480"/>
        <w:jc w:val="both"/>
      </w:pPr>
      <w:r>
        <w:rPr>
          <w:rFonts w:ascii="仿宋_GB2312" w:hAnsi="仿宋_GB2312" w:eastAsia="仿宋_GB2312"/>
          <w:b w:val="0"/>
          <w:sz w:val="24"/>
        </w:rPr>
        <w:t>橙源智鉴面向区域品牌橙类的产地识别、品质预测、批次留痕和报告输出需求，服务对象包括基地、分选中心、品牌运营方和渠道采购方。</w:t>
      </w:r>
    </w:p>
    <w:p>
      <w:pPr>
        <w:pStyle w:val="Heading2"/>
        <w:spacing w:before="0" w:after="0" w:line="500" w:lineRule="exact"/>
        <w:ind w:firstLine="0"/>
        <w:jc w:val="left"/>
      </w:pPr>
      <w:r>
        <w:rPr>
          <w:rFonts w:ascii="楷体_GB2312" w:hAnsi="楷体_GB2312" w:eastAsia="楷体_GB2312"/>
          <w:b w:val="0"/>
          <w:sz w:val="32"/>
        </w:rPr>
        <w:t>1.1 项目背景</w:t>
      </w:r>
    </w:p>
    <w:p>
      <w:pPr>
        <w:spacing w:before="0" w:after="0" w:line="500" w:lineRule="exact"/>
        <w:ind w:firstLine="480"/>
        <w:jc w:val="both"/>
      </w:pPr>
      <w:r>
        <w:rPr>
          <w:rFonts w:ascii="仿宋_GB2312" w:hAnsi="仿宋_GB2312" w:eastAsia="仿宋_GB2312"/>
          <w:b w:val="0"/>
          <w:sz w:val="24"/>
        </w:rPr>
        <w:t>近年来，我国水果产业正在从“规模扩张”转向“品质提升”和“品牌经营”并重的发展阶段。对于橙类产品而言，传统分级更多依赖人工经验、抽样理化检测和外观判断，这种方式在小规模销售中尚可维持，但一旦进入品牌果、电商果、礼盒果、节令果等对稳定性和证明力要求更高的场景，问题就会迅速放大：分选标准因人而异，抽检结果难以覆盖整批货，品牌方在面对渠道或消费者时也很难把“这批果到底好在哪里”讲得既快又清楚。</w:t>
      </w:r>
    </w:p>
    <w:p>
      <w:pPr>
        <w:spacing w:before="0" w:after="0" w:line="500" w:lineRule="exact"/>
        <w:ind w:firstLine="480"/>
        <w:jc w:val="both"/>
      </w:pPr>
      <w:r>
        <w:rPr>
          <w:rFonts w:ascii="仿宋_GB2312" w:hAnsi="仿宋_GB2312" w:eastAsia="仿宋_GB2312"/>
          <w:b w:val="0"/>
          <w:sz w:val="24"/>
        </w:rPr>
        <w:t>就产业规模而言，柑橘依然是我国最具代表性的优势水果之一。农业农村部2024年公开资料显示，我国柑橘种植面积约4493.72万亩、年产量约6003.89万吨，约占全球总产量28%。与此同时，农业农村部《2024年4月农产品供需形势分析月报（水果）》指出，2023产季主产区天气总体良好，柑橘普遍丰产，2024年3月全国重点监测批发市场柑橘均价为7.03元/公斤，同比下跌12.5%。供给端充足、价格端承压，意味着产业竞争正在从“有没有货”转向“能不能稳定证明品质更好、来源更真、分级更清晰”。</w:t>
      </w:r>
    </w:p>
    <w:p>
      <w:pPr>
        <w:spacing w:before="0" w:after="0" w:line="500" w:lineRule="exact"/>
        <w:ind w:firstLine="480"/>
        <w:jc w:val="both"/>
      </w:pPr>
      <w:r>
        <w:rPr>
          <w:rFonts w:ascii="仿宋_GB2312" w:hAnsi="仿宋_GB2312" w:eastAsia="仿宋_GB2312"/>
          <w:b w:val="0"/>
          <w:sz w:val="24"/>
        </w:rPr>
        <w:t>海南特色水果产业目前仍处于稳步增长阶段。根据海南省统计局2025年1月发布的《海南省2024年国民经济和社会发展统计公报》，2024年海南水果总产量617.66万吨，同比增长4.2%；海南农业农村领域公开资料也显示，全省热带水果种植面积约312万亩、年产量约412万吨。对澄迈福橙、琼中绿橙这类具有地域辨识度、品牌属性和溢价空间的产品而言，品质分级、产地可信表达和检测数据留痕，已经不只是检测环节的技术问题，更是品牌经营和产业升级中的关键环节。</w:t>
      </w:r>
    </w:p>
    <w:p>
      <w:pPr>
        <w:spacing w:before="0" w:after="0" w:line="500" w:lineRule="exact"/>
        <w:ind w:firstLine="480"/>
        <w:jc w:val="both"/>
      </w:pPr>
      <w:r>
        <w:rPr>
          <w:rFonts w:ascii="仿宋_GB2312" w:hAnsi="仿宋_GB2312" w:eastAsia="仿宋_GB2312"/>
          <w:b w:val="0"/>
          <w:sz w:val="24"/>
        </w:rPr>
        <w:t>正是在这一背景下，橙源智鉴提出以高光谱成像为数据入口，以产地分类模型和品质回归模型为核心引擎，以可解释分析和图文化报告为输出形式，建设一套面向橙类及相关特色水果的智能检测与产地识别平台。项目并不试图简单替代传统理化检测，而是希望补上品牌果品在快速识别、批次留痕、产地判别和展示表达上的能力短板，让检测结果真正转化为生产管理、流通协同和品牌证明的一部分。</w:t>
      </w:r>
    </w:p>
    <w:p>
      <w:pPr>
        <w:pStyle w:val="Heading2"/>
        <w:spacing w:before="0" w:after="0" w:line="500" w:lineRule="exact"/>
        <w:ind w:firstLine="0"/>
        <w:jc w:val="left"/>
      </w:pPr>
      <w:r>
        <w:rPr>
          <w:rFonts w:ascii="楷体_GB2312" w:hAnsi="楷体_GB2312" w:eastAsia="楷体_GB2312"/>
          <w:b w:val="0"/>
          <w:sz w:val="32"/>
        </w:rPr>
        <w:t>1.2 政策支持</w:t>
      </w:r>
    </w:p>
    <w:p>
      <w:pPr>
        <w:pStyle w:val="Heading3"/>
        <w:spacing w:before="0" w:after="0" w:line="500" w:lineRule="exact"/>
        <w:ind w:firstLine="0"/>
        <w:jc w:val="left"/>
      </w:pPr>
      <w:r>
        <w:rPr>
          <w:rFonts w:ascii="仿宋_GB2312" w:hAnsi="仿宋_GB2312" w:eastAsia="仿宋_GB2312"/>
          <w:b w:val="0"/>
          <w:sz w:val="28"/>
        </w:rPr>
        <w:t>1.2.1 国家智慧农业与追溯政策支撑</w:t>
      </w:r>
    </w:p>
    <w:p>
      <w:pPr>
        <w:spacing w:before="0" w:after="0" w:line="500" w:lineRule="exact"/>
        <w:ind w:firstLine="480"/>
        <w:jc w:val="both"/>
      </w:pPr>
      <w:r>
        <w:rPr>
          <w:rFonts w:ascii="仿宋_GB2312" w:hAnsi="仿宋_GB2312" w:eastAsia="仿宋_GB2312"/>
          <w:b w:val="0"/>
          <w:sz w:val="24"/>
        </w:rPr>
        <w:t>农业农村部于2024年11月印发《全国智慧农业行动计划（2024—2028年）》，明确提出到2028年底农业生产信息化率达到32%以上，重点推动农业全链条数字化、智能化升级。该政策的核心导向并不是单纯增加设备数量，而是推动农业数据采集、智能分析、生产决策和服务交付形成闭环，这与橙源智鉴“采集—分析—解释—应用”的建设逻辑高度一致。</w:t>
      </w:r>
    </w:p>
    <w:p>
      <w:pPr>
        <w:spacing w:before="0" w:after="0" w:line="500" w:lineRule="exact"/>
        <w:ind w:firstLine="480"/>
        <w:jc w:val="both"/>
      </w:pPr>
      <w:r>
        <w:rPr>
          <w:rFonts w:ascii="仿宋_GB2312" w:hAnsi="仿宋_GB2312" w:eastAsia="仿宋_GB2312"/>
          <w:b w:val="0"/>
          <w:sz w:val="24"/>
        </w:rPr>
        <w:t>与此同时，农业农村部《农产品质量安全信息化追溯管理办法（试行）》对追溯主体、信息采集、流向记录和真实性管理提出了明确要求。对品牌果品而言，后续竞争不会停留在一纸检测证明，而是会越来越依赖成体系的数据记录与过程留痕。橙源智鉴将检测结果、批次记录、历史样本和可视化报告整合到同一平台中，本质上就是在为后续追溯化、标准化和品牌化经营提供基础设施。</w:t>
      </w:r>
    </w:p>
    <w:p>
      <w:pPr>
        <w:pStyle w:val="Heading3"/>
        <w:spacing w:before="0" w:after="0" w:line="500" w:lineRule="exact"/>
        <w:ind w:firstLine="0"/>
        <w:jc w:val="left"/>
      </w:pPr>
      <w:r>
        <w:rPr>
          <w:rFonts w:ascii="仿宋_GB2312" w:hAnsi="仿宋_GB2312" w:eastAsia="仿宋_GB2312"/>
          <w:b w:val="0"/>
          <w:sz w:val="28"/>
        </w:rPr>
        <w:t>1.2.2 海南区域产业与人工智能场景支撑</w:t>
      </w:r>
    </w:p>
    <w:p>
      <w:pPr>
        <w:spacing w:before="0" w:after="0" w:line="500" w:lineRule="exact"/>
        <w:ind w:firstLine="480"/>
        <w:jc w:val="both"/>
      </w:pPr>
      <w:r>
        <w:rPr>
          <w:rFonts w:ascii="仿宋_GB2312" w:hAnsi="仿宋_GB2312" w:eastAsia="仿宋_GB2312"/>
          <w:b w:val="0"/>
          <w:sz w:val="24"/>
        </w:rPr>
        <w:t>海南自由贸易港建设、热带特色高效农业发展以及“人工智能+”场景扩展，为项目提供了较明确的区域落点。一方面，海南特色水果产业规模持续扩大，区域品牌化需求越来越突出；另一方面，地方层面对智慧监管、数字农业和绿色低碳技术的重视，也为高光谱无损检测这类新技术提供了应用土壤。</w:t>
      </w:r>
    </w:p>
    <w:p>
      <w:pPr>
        <w:spacing w:before="0" w:after="0" w:line="500" w:lineRule="exact"/>
        <w:ind w:firstLine="480"/>
        <w:jc w:val="both"/>
      </w:pPr>
      <w:r>
        <w:rPr>
          <w:rFonts w:ascii="仿宋_GB2312" w:hAnsi="仿宋_GB2312" w:eastAsia="仿宋_GB2312"/>
          <w:b w:val="0"/>
          <w:sz w:val="24"/>
        </w:rPr>
        <w:t>以澄迈福橙、琼中绿橙等为代表的区域品牌果品，本身就兼具品牌传播、品质分级和产地识别三类需求。项目若能先在这些具有代表性的海南场景中形成样板，将更有利于后续向其他果品和其他地区复制推广。</w:t>
      </w:r>
    </w:p>
    <w:p>
      <w:pPr>
        <w:pStyle w:val="Heading2"/>
        <w:spacing w:before="0" w:after="0" w:line="500" w:lineRule="exact"/>
        <w:ind w:firstLine="0"/>
        <w:jc w:val="left"/>
      </w:pPr>
      <w:r>
        <w:rPr>
          <w:rFonts w:ascii="楷体_GB2312" w:hAnsi="楷体_GB2312" w:eastAsia="楷体_GB2312"/>
          <w:b w:val="0"/>
          <w:sz w:val="32"/>
        </w:rPr>
        <w:t>1.3 技术支撑</w:t>
      </w:r>
    </w:p>
    <w:p>
      <w:pPr>
        <w:pStyle w:val="Heading3"/>
        <w:spacing w:before="0" w:after="0" w:line="500" w:lineRule="exact"/>
        <w:ind w:firstLine="0"/>
        <w:jc w:val="left"/>
      </w:pPr>
      <w:r>
        <w:rPr>
          <w:rFonts w:ascii="仿宋_GB2312" w:hAnsi="仿宋_GB2312" w:eastAsia="仿宋_GB2312"/>
          <w:b w:val="0"/>
          <w:sz w:val="28"/>
        </w:rPr>
        <w:t>1.3.1 高光谱成像提供无损检测基础</w:t>
      </w:r>
    </w:p>
    <w:p>
      <w:pPr>
        <w:spacing w:before="0" w:after="0" w:line="500" w:lineRule="exact"/>
        <w:ind w:firstLine="480"/>
        <w:jc w:val="both"/>
      </w:pPr>
      <w:r>
        <w:rPr>
          <w:rFonts w:ascii="仿宋_GB2312" w:hAnsi="仿宋_GB2312" w:eastAsia="仿宋_GB2312"/>
          <w:b w:val="0"/>
          <w:sz w:val="24"/>
        </w:rPr>
        <w:t>高光谱成像的核心优势，在于能够同时获取样本的空间信息和连续光谱信息，为果品内部品质分析和差异识别提供比普通图像更丰富的特征依据。对于橙类产品来说，这种能力尤其适合承接糖度、酸度、成熟度、产地差异等多维任务，是构建无损检测系统的合理技术底座。</w:t>
      </w:r>
    </w:p>
    <w:p>
      <w:pPr>
        <w:pStyle w:val="Heading3"/>
        <w:spacing w:before="0" w:after="0" w:line="500" w:lineRule="exact"/>
        <w:ind w:firstLine="0"/>
        <w:jc w:val="left"/>
      </w:pPr>
      <w:r>
        <w:rPr>
          <w:rFonts w:ascii="仿宋_GB2312" w:hAnsi="仿宋_GB2312" w:eastAsia="仿宋_GB2312"/>
          <w:b w:val="0"/>
          <w:sz w:val="28"/>
        </w:rPr>
        <w:t>1.3.2 智能模型支撑分类与预测双任务</w:t>
      </w:r>
    </w:p>
    <w:p>
      <w:pPr>
        <w:spacing w:before="0" w:after="0" w:line="500" w:lineRule="exact"/>
        <w:ind w:firstLine="480"/>
        <w:jc w:val="both"/>
      </w:pPr>
      <w:r>
        <w:rPr>
          <w:rFonts w:ascii="仿宋_GB2312" w:hAnsi="仿宋_GB2312" w:eastAsia="仿宋_GB2312"/>
          <w:b w:val="0"/>
          <w:sz w:val="24"/>
        </w:rPr>
        <w:t>在算法层面，项目并非只关注单一分类结论，而是同时考虑产地识别与品质预测两类任务。一方面，通过分类模型识别不同区域样本的特征差异；另一方面，通过回归模型对糖度、酸度、糖酸比、维生素C等指标进行预测，再结合异常识别和可解释分析增强结果可信度。这种“双任务并行”的策略更符合真实业务场景。</w:t>
      </w:r>
    </w:p>
    <w:p>
      <w:pPr>
        <w:pStyle w:val="Heading3"/>
        <w:spacing w:before="0" w:after="0" w:line="500" w:lineRule="exact"/>
        <w:ind w:firstLine="0"/>
        <w:jc w:val="left"/>
      </w:pPr>
      <w:r>
        <w:rPr>
          <w:rFonts w:ascii="仿宋_GB2312" w:hAnsi="仿宋_GB2312" w:eastAsia="仿宋_GB2312"/>
          <w:b w:val="0"/>
          <w:sz w:val="28"/>
        </w:rPr>
        <w:t>1.3.3 平台原型为技术落地提供载体</w:t>
      </w:r>
    </w:p>
    <w:p>
      <w:pPr>
        <w:spacing w:before="0" w:after="0" w:line="500" w:lineRule="exact"/>
        <w:ind w:firstLine="480"/>
        <w:jc w:val="both"/>
      </w:pPr>
      <w:r>
        <w:rPr>
          <w:rFonts w:ascii="仿宋_GB2312" w:hAnsi="仿宋_GB2312" w:eastAsia="仿宋_GB2312"/>
          <w:b w:val="0"/>
          <w:sz w:val="24"/>
        </w:rPr>
        <w:t>当前项目已完成首页、可视化大屏、样本分析、模型解释、历史记录和技术原理等页面原型。也就是说，项目不仅有技术方向，也有比较具体的承载界面。后续模型能力、数据能力和报告能力可以直接在现有原型上持续叠加，这比从实验室结论重新做产品包装更有落地效率。</w:t>
      </w:r>
    </w:p>
    <w:p>
      <w:pPr>
        <w:pStyle w:val="Heading2"/>
        <w:spacing w:before="0" w:after="0" w:line="500" w:lineRule="exact"/>
        <w:ind w:firstLine="0"/>
        <w:jc w:val="left"/>
      </w:pPr>
      <w:r>
        <w:rPr>
          <w:rFonts w:ascii="楷体_GB2312" w:hAnsi="楷体_GB2312" w:eastAsia="楷体_GB2312"/>
          <w:b w:val="0"/>
          <w:sz w:val="32"/>
        </w:rPr>
        <w:t>1.4 项目基础与阶段目标</w:t>
      </w:r>
    </w:p>
    <w:p>
      <w:pPr>
        <w:spacing w:before="0" w:after="0" w:line="500" w:lineRule="exact"/>
        <w:ind w:firstLine="480"/>
        <w:jc w:val="both"/>
      </w:pPr>
      <w:r>
        <w:rPr>
          <w:rFonts w:ascii="仿宋_GB2312" w:hAnsi="仿宋_GB2312" w:eastAsia="仿宋_GB2312"/>
          <w:b w:val="0"/>
          <w:sz w:val="24"/>
        </w:rPr>
        <w:t>项目已具备“页面结构 + 样本字段 + 分析流程”的雏形。现有项目采用 Next 16.2.2、React 19.2.4、ECharts 6 和 Framer Motion 构建，已形成较完整的展示与分析界面；在数据侧，也已沉淀糖度（SSC）、酸度（TA）、糖酸比、维生素C等品质指标样例，并建立了不同产地样本的高光谱曲线展示逻辑。下一步工作重点是补强样本规模、标签质量、跨批次稳定性和试点交付流程。</w:t>
      </w:r>
    </w:p>
    <w:p>
      <w:pPr>
        <w:pStyle w:val="ListBullet"/>
        <w:spacing w:before="0" w:after="0" w:line="500" w:lineRule="exact"/>
        <w:ind w:firstLine="0"/>
        <w:jc w:val="both"/>
      </w:pPr>
      <w:r>
        <w:rPr>
          <w:rFonts w:ascii="仿宋_GB2312" w:hAnsi="仿宋_GB2312" w:eastAsia="仿宋_GB2312"/>
          <w:b w:val="0"/>
          <w:sz w:val="24"/>
        </w:rPr>
        <w:t>阶段目标一：形成一套能被重复执行的样本采集、编号、理化标注与数据录入模板。</w:t>
      </w:r>
    </w:p>
    <w:p>
      <w:pPr>
        <w:pStyle w:val="ListBullet"/>
        <w:spacing w:before="0" w:after="0" w:line="500" w:lineRule="exact"/>
        <w:ind w:firstLine="0"/>
        <w:jc w:val="both"/>
      </w:pPr>
      <w:r>
        <w:rPr>
          <w:rFonts w:ascii="仿宋_GB2312" w:hAnsi="仿宋_GB2312" w:eastAsia="仿宋_GB2312"/>
          <w:b w:val="0"/>
          <w:sz w:val="24"/>
        </w:rPr>
        <w:t>阶段目标二：把产地识别、品质预测和异常提醒三类结果稳定输出到同一套分析页面与报告模板中。</w:t>
      </w:r>
    </w:p>
    <w:p>
      <w:pPr>
        <w:pStyle w:val="ListBullet"/>
        <w:spacing w:before="0" w:after="0" w:line="500" w:lineRule="exact"/>
        <w:ind w:firstLine="0"/>
        <w:jc w:val="both"/>
      </w:pPr>
      <w:r>
        <w:rPr>
          <w:rFonts w:ascii="仿宋_GB2312" w:hAnsi="仿宋_GB2312" w:eastAsia="仿宋_GB2312"/>
          <w:b w:val="0"/>
          <w:sz w:val="24"/>
        </w:rPr>
        <w:t>阶段目标三：围绕一个具体产地场景打磨出“展示页 + 试点页 + 批次报告”的最小交付组合。</w:t>
      </w:r>
    </w:p>
    <w:p>
      <w:pPr>
        <w:pStyle w:val="ListBullet"/>
        <w:spacing w:before="0" w:after="0" w:line="500" w:lineRule="exact"/>
        <w:ind w:firstLine="0"/>
        <w:jc w:val="both"/>
      </w:pPr>
      <w:r>
        <w:rPr>
          <w:rFonts w:ascii="仿宋_GB2312" w:hAnsi="仿宋_GB2312" w:eastAsia="仿宋_GB2312"/>
          <w:b w:val="0"/>
          <w:sz w:val="24"/>
        </w:rPr>
        <w:t>阶段目标四：优先围绕澄迈福橙、琼中绿橙等具备品牌基础的对象验证合作流程和复盘机制。</w:t>
      </w:r>
    </w:p>
    <w:p>
      <w:pPr>
        <w:sectPr>
          <w:pgSz w:w="11906" w:h="16838"/>
          <w:pgMar w:top="1417" w:right="1417" w:bottom="1417" w:left="1417" w:header="850" w:footer="992" w:gutter="0"/>
          <w:cols w:space="720"/>
          <w:docGrid w:linePitch="360"/>
        </w:sectPr>
      </w:pPr>
    </w:p>
    <w:p>
      <w:pPr>
        <w:pStyle w:val="Heading1"/>
        <w:spacing w:before="0" w:after="0" w:line="500" w:lineRule="exact"/>
        <w:ind w:firstLine="0"/>
        <w:jc w:val="left"/>
      </w:pPr>
      <w:r>
        <w:rPr>
          <w:rFonts w:ascii="黑体" w:hAnsi="黑体" w:eastAsia="黑体"/>
          <w:b w:val="0"/>
          <w:sz w:val="32"/>
        </w:rPr>
        <w:t>第二章 产品效益</w:t>
      </w:r>
    </w:p>
    <w:p>
      <w:pPr>
        <w:spacing w:before="0" w:after="0" w:line="500" w:lineRule="exact"/>
        <w:ind w:firstLine="480"/>
        <w:jc w:val="both"/>
      </w:pPr>
      <w:r>
        <w:rPr>
          <w:rFonts w:ascii="仿宋_GB2312" w:hAnsi="仿宋_GB2312" w:eastAsia="仿宋_GB2312"/>
          <w:b w:val="0"/>
          <w:sz w:val="24"/>
        </w:rPr>
        <w:t>项目应用后，可在基地分级、渠道验货、品牌传播等环节提高结果一致性和表达效率。</w:t>
      </w:r>
    </w:p>
    <w:p>
      <w:pPr>
        <w:pStyle w:val="Heading2"/>
        <w:spacing w:before="0" w:after="0" w:line="500" w:lineRule="exact"/>
        <w:ind w:firstLine="0"/>
        <w:jc w:val="left"/>
      </w:pPr>
      <w:r>
        <w:rPr>
          <w:rFonts w:ascii="楷体_GB2312" w:hAnsi="楷体_GB2312" w:eastAsia="楷体_GB2312"/>
          <w:b w:val="0"/>
          <w:sz w:val="32"/>
        </w:rPr>
        <w:t>2.1 社会效益</w:t>
      </w:r>
    </w:p>
    <w:p>
      <w:pPr>
        <w:pStyle w:val="Heading3"/>
        <w:spacing w:before="0" w:after="0" w:line="500" w:lineRule="exact"/>
        <w:ind w:firstLine="0"/>
        <w:jc w:val="left"/>
      </w:pPr>
      <w:r>
        <w:rPr>
          <w:rFonts w:ascii="仿宋_GB2312" w:hAnsi="仿宋_GB2312" w:eastAsia="仿宋_GB2312"/>
          <w:b w:val="0"/>
          <w:sz w:val="28"/>
        </w:rPr>
        <w:t>2.1.1 质量治理效益</w:t>
      </w:r>
    </w:p>
    <w:p>
      <w:pPr>
        <w:spacing w:before="0" w:after="0" w:line="500" w:lineRule="exact"/>
        <w:ind w:firstLine="480"/>
        <w:jc w:val="both"/>
      </w:pPr>
      <w:r>
        <w:rPr>
          <w:rFonts w:ascii="仿宋_GB2312" w:hAnsi="仿宋_GB2312" w:eastAsia="仿宋_GB2312"/>
          <w:b w:val="0"/>
          <w:sz w:val="24"/>
        </w:rPr>
        <w:t>橙源智鉴的首要价值，在于把原本较为分散、较难固化的果品品质判断过程，逐步转化为可记录、可解释、可复核的数据化过程。对于区域品牌果品而言，这不仅有助于提高品质分级的一致性，也有助于减少流通争议、弱化纯经验判断带来的不确定性，使果品质量管理从“靠人把关”逐步走向“数据辅助把关”。</w:t>
      </w:r>
    </w:p>
    <w:p>
      <w:pPr>
        <w:spacing w:before="0" w:after="0" w:line="500" w:lineRule="exact"/>
        <w:ind w:firstLine="480"/>
        <w:jc w:val="both"/>
      </w:pPr>
      <w:r>
        <w:rPr>
          <w:rFonts w:ascii="仿宋_GB2312" w:hAnsi="仿宋_GB2312" w:eastAsia="仿宋_GB2312"/>
          <w:b w:val="0"/>
          <w:sz w:val="24"/>
        </w:rPr>
        <w:t>把应用场景放到基地分选、渠道验收和品牌对外沟通三个环节，这种治理价值会更直观。基地端需要的是批次分级更稳定，渠道端需要的是验收依据更清楚，品牌端需要的是对外表达更可信。项目一旦能够把这三类需求串起来，其社会效益就不只体现在检测本身，而是体现在果品质量治理方式的改进上。</w:t>
      </w:r>
    </w:p>
    <w:p>
      <w:pPr>
        <w:pStyle w:val="Heading3"/>
        <w:spacing w:before="0" w:after="0" w:line="500" w:lineRule="exact"/>
        <w:ind w:firstLine="0"/>
        <w:jc w:val="left"/>
      </w:pPr>
      <w:r>
        <w:rPr>
          <w:rFonts w:ascii="仿宋_GB2312" w:hAnsi="仿宋_GB2312" w:eastAsia="仿宋_GB2312"/>
          <w:b w:val="0"/>
          <w:sz w:val="28"/>
        </w:rPr>
        <w:t>2.1.2 品牌信任效益</w:t>
      </w:r>
    </w:p>
    <w:p>
      <w:pPr>
        <w:spacing w:before="0" w:after="0" w:line="500" w:lineRule="exact"/>
        <w:ind w:firstLine="480"/>
        <w:jc w:val="both"/>
      </w:pPr>
      <w:r>
        <w:rPr>
          <w:rFonts w:ascii="仿宋_GB2312" w:hAnsi="仿宋_GB2312" w:eastAsia="仿宋_GB2312"/>
          <w:b w:val="0"/>
          <w:sz w:val="24"/>
        </w:rPr>
        <w:t>在治理层面，项目与农产品追溯、智慧农业和品牌化管理的政策导向具有较高一致性。平台一旦形成稳定的样本记录、检测结果和历史查询能力，便能够为区域品牌建设、批次管理、质量抽检优化和风险问题回溯提供基础数据支撑。对消费者和渠道方来说，更直观的品质表达与来源表达，也有助于提升品牌果品的信任度。</w:t>
      </w:r>
    </w:p>
    <w:p>
      <w:pPr>
        <w:spacing w:before="0" w:after="0" w:line="500" w:lineRule="exact"/>
        <w:ind w:firstLine="480"/>
        <w:jc w:val="both"/>
      </w:pPr>
      <w:r>
        <w:rPr>
          <w:rFonts w:ascii="仿宋_GB2312" w:hAnsi="仿宋_GB2312" w:eastAsia="仿宋_GB2312"/>
          <w:b w:val="0"/>
          <w:sz w:val="24"/>
        </w:rPr>
        <w:t>尤其是在礼盒果、电商果和节庆消费场景中，消费者往往并不具备直接判断内部品质和产地真伪的能力。谁能把“这批果品来自哪里、品质大致如何、记录是否连续”说明白，谁就更容易建立稳定信任。项目提供的并不是简单的宣传话术，而是让品牌表达建立在可查询、可回看的数据材料之上。</w:t>
      </w:r>
    </w:p>
    <w:p>
      <w:pPr>
        <w:pStyle w:val="Heading3"/>
        <w:spacing w:before="0" w:after="0" w:line="500" w:lineRule="exact"/>
        <w:ind w:firstLine="0"/>
        <w:jc w:val="left"/>
      </w:pPr>
      <w:r>
        <w:rPr>
          <w:rFonts w:ascii="仿宋_GB2312" w:hAnsi="仿宋_GB2312" w:eastAsia="仿宋_GB2312"/>
          <w:b w:val="0"/>
          <w:sz w:val="28"/>
        </w:rPr>
        <w:t>2.1.3 数据沉淀效益</w:t>
      </w:r>
    </w:p>
    <w:p>
      <w:pPr>
        <w:spacing w:before="0" w:after="0" w:line="500" w:lineRule="exact"/>
        <w:ind w:firstLine="480"/>
        <w:jc w:val="both"/>
      </w:pPr>
      <w:r>
        <w:rPr>
          <w:rFonts w:ascii="仿宋_GB2312" w:hAnsi="仿宋_GB2312" w:eastAsia="仿宋_GB2312"/>
          <w:b w:val="0"/>
          <w:sz w:val="24"/>
        </w:rPr>
        <w:t>高光谱与智能分析技术的引入，还能推动果品检测从单次结果输出走向持续数据积累。相比只出具一份静态报告，这种可长期沉淀、可持续迭代的能力更有助于区域产业形成自己的数据资产和标准化基础，也更有利于后续品牌管理、基地管理和质量标准建设。</w:t>
      </w:r>
    </w:p>
    <w:p>
      <w:pPr>
        <w:spacing w:before="0" w:after="0" w:line="500" w:lineRule="exact"/>
        <w:ind w:firstLine="480"/>
        <w:jc w:val="both"/>
      </w:pPr>
      <w:r>
        <w:rPr>
          <w:rFonts w:ascii="仿宋_GB2312" w:hAnsi="仿宋_GB2312" w:eastAsia="仿宋_GB2312"/>
          <w:b w:val="0"/>
          <w:sz w:val="24"/>
        </w:rPr>
        <w:t>就项目推进而言，数据沉淀效益还有一个容易被忽视的意义，即它能够把一次性的试点合作转化为后续持续优化的依据。样本越完整，异常样本越清楚，历史批次越连续，后续模型训练和报告表达就越有抓手，这也是项目区别于单次检测服务的重要地方。</w:t>
      </w:r>
    </w:p>
    <w:p>
      <w:pPr>
        <w:pStyle w:val="Heading2"/>
        <w:spacing w:before="0" w:after="0" w:line="500" w:lineRule="exact"/>
        <w:ind w:firstLine="0"/>
        <w:jc w:val="left"/>
      </w:pPr>
      <w:r>
        <w:rPr>
          <w:rFonts w:ascii="楷体_GB2312" w:hAnsi="楷体_GB2312" w:eastAsia="楷体_GB2312"/>
          <w:b w:val="0"/>
          <w:sz w:val="32"/>
        </w:rPr>
        <w:t>2.2 经济效益</w:t>
      </w:r>
    </w:p>
    <w:p>
      <w:pPr>
        <w:pStyle w:val="Heading3"/>
        <w:spacing w:before="0" w:after="0" w:line="500" w:lineRule="exact"/>
        <w:ind w:firstLine="0"/>
        <w:jc w:val="left"/>
      </w:pPr>
      <w:r>
        <w:rPr>
          <w:rFonts w:ascii="仿宋_GB2312" w:hAnsi="仿宋_GB2312" w:eastAsia="仿宋_GB2312"/>
          <w:b w:val="0"/>
          <w:sz w:val="28"/>
        </w:rPr>
        <w:t>2.2.1 降本增效效益</w:t>
      </w:r>
    </w:p>
    <w:p>
      <w:pPr>
        <w:spacing w:before="0" w:after="0" w:line="500" w:lineRule="exact"/>
        <w:ind w:firstLine="480"/>
        <w:jc w:val="both"/>
      </w:pPr>
      <w:r>
        <w:rPr>
          <w:rFonts w:ascii="仿宋_GB2312" w:hAnsi="仿宋_GB2312" w:eastAsia="仿宋_GB2312"/>
          <w:b w:val="0"/>
          <w:sz w:val="24"/>
        </w:rPr>
        <w:t>落实到经营环节，橙源智鉴能够在分选、定级、对外沟通和品牌销售几个关键环节创造直接价值。对于果园、合作社和分选主体而言，若平台能够稳定输出产地识别和品质预测结果，就有望减少重复抽检、错分级和错定价带来的损失，提升优质果筛选效率，从而改善整体经营收益。</w:t>
      </w:r>
    </w:p>
    <w:p>
      <w:pPr>
        <w:spacing w:before="0" w:after="0" w:line="500" w:lineRule="exact"/>
        <w:ind w:firstLine="480"/>
        <w:jc w:val="both"/>
      </w:pPr>
      <w:r>
        <w:rPr>
          <w:rFonts w:ascii="仿宋_GB2312" w:hAnsi="仿宋_GB2312" w:eastAsia="仿宋_GB2312"/>
          <w:b w:val="0"/>
          <w:sz w:val="24"/>
        </w:rPr>
        <w:t>在传统流程中，优质果往往需要依赖人工经验挑选，再辅以少量抽检做背书，既耗费人力，也容易出现“好果没有被及时识别出来”或“普通果被高等级售出后产生纠纷”的情况。项目若能在采后处理阶段提供更快的批次研判，就能帮助经营主体把有限资源更集中地投入到高价值批次和重点客户上。</w:t>
      </w:r>
    </w:p>
    <w:p>
      <w:pPr>
        <w:pStyle w:val="Heading3"/>
        <w:spacing w:before="0" w:after="0" w:line="500" w:lineRule="exact"/>
        <w:ind w:firstLine="0"/>
        <w:jc w:val="left"/>
      </w:pPr>
      <w:r>
        <w:rPr>
          <w:rFonts w:ascii="仿宋_GB2312" w:hAnsi="仿宋_GB2312" w:eastAsia="仿宋_GB2312"/>
          <w:b w:val="0"/>
          <w:sz w:val="28"/>
        </w:rPr>
        <w:t>2.2.2 溢价与议价效益</w:t>
      </w:r>
    </w:p>
    <w:p>
      <w:pPr>
        <w:spacing w:before="0" w:after="0" w:line="500" w:lineRule="exact"/>
        <w:ind w:firstLine="480"/>
        <w:jc w:val="both"/>
      </w:pPr>
      <w:r>
        <w:rPr>
          <w:rFonts w:ascii="仿宋_GB2312" w:hAnsi="仿宋_GB2312" w:eastAsia="仿宋_GB2312"/>
          <w:b w:val="0"/>
          <w:sz w:val="24"/>
        </w:rPr>
        <w:t>对于品牌运营主体而言，项目的经济意义并不仅仅体现在“节省检测成本”，更体现在“增强议价能力”。当品质结果、来源信息和批次记录能够被更系统地表达出来时，品牌果、电商果、礼盒果和渠道定制果更容易形成差异化价值。特别是在市场价格承压的背景下，谁能更清晰地证明品质稳定、来源可靠，谁就更有机会获得更高溢价和更稳合作。</w:t>
      </w:r>
    </w:p>
    <w:p>
      <w:pPr>
        <w:spacing w:before="0" w:after="0" w:line="500" w:lineRule="exact"/>
        <w:ind w:firstLine="480"/>
        <w:jc w:val="both"/>
      </w:pPr>
      <w:r>
        <w:rPr>
          <w:rFonts w:ascii="仿宋_GB2312" w:hAnsi="仿宋_GB2312" w:eastAsia="仿宋_GB2312"/>
          <w:b w:val="0"/>
          <w:sz w:val="24"/>
        </w:rPr>
        <w:t>这类溢价并不一定表现为单价立即大幅上升，更常见的是议价过程更顺畅、退货争议更少、客户复购更稳定。对于区域品牌主体来说，只要能够把品质表达和产地表达做得更规范，往往就能在渠道选择、订单稳定性和合作深度上获得更好的位置。</w:t>
      </w:r>
    </w:p>
    <w:p>
      <w:pPr>
        <w:pStyle w:val="Heading3"/>
        <w:spacing w:before="0" w:after="0" w:line="500" w:lineRule="exact"/>
        <w:ind w:firstLine="0"/>
        <w:jc w:val="left"/>
      </w:pPr>
      <w:r>
        <w:rPr>
          <w:rFonts w:ascii="仿宋_GB2312" w:hAnsi="仿宋_GB2312" w:eastAsia="仿宋_GB2312"/>
          <w:b w:val="0"/>
          <w:sz w:val="28"/>
        </w:rPr>
        <w:t>2.2.3 项目商业延伸效益</w:t>
      </w:r>
    </w:p>
    <w:p>
      <w:pPr>
        <w:spacing w:before="0" w:after="0" w:line="500" w:lineRule="exact"/>
        <w:ind w:firstLine="480"/>
        <w:jc w:val="both"/>
      </w:pPr>
      <w:r>
        <w:rPr>
          <w:rFonts w:ascii="仿宋_GB2312" w:hAnsi="仿宋_GB2312" w:eastAsia="仿宋_GB2312"/>
          <w:b w:val="0"/>
          <w:sz w:val="24"/>
        </w:rPr>
        <w:t>就项目自身的商业化路径而言，平台后续也具备延伸出检测服务、试点合作、平台订阅和联合项目开发等多元收入路径的可能。也就是说，经济效益既体现在客户侧的降本增效，也体现在项目侧的可持续运营空间。随着样本积累、模型优化和试点案例完善，项目的服务价值和合作价值还有进一步放大的可能。</w:t>
      </w:r>
    </w:p>
    <w:p>
      <w:pPr>
        <w:spacing w:before="0" w:after="0" w:line="500" w:lineRule="exact"/>
        <w:ind w:firstLine="480"/>
        <w:jc w:val="both"/>
      </w:pPr>
      <w:r>
        <w:rPr>
          <w:rFonts w:ascii="仿宋_GB2312" w:hAnsi="仿宋_GB2312" w:eastAsia="仿宋_GB2312"/>
          <w:b w:val="0"/>
          <w:sz w:val="24"/>
        </w:rPr>
        <w:t>需要强调的是，项目商业延伸不宜建立在一次性大规模铺货的设想上，而更适合建立在试点案例、持续复盘和分层收费的基础上。这样形成的收入虽然起步较慢，但结构更稳，也更符合当前高校团队项目从验证走向转化的成长规律。</w:t>
      </w:r>
    </w:p>
    <w:p>
      <w:pPr>
        <w:pStyle w:val="Heading2"/>
        <w:spacing w:before="0" w:after="0" w:line="500" w:lineRule="exact"/>
        <w:ind w:firstLine="0"/>
        <w:jc w:val="left"/>
      </w:pPr>
      <w:r>
        <w:rPr>
          <w:rFonts w:ascii="楷体_GB2312" w:hAnsi="楷体_GB2312" w:eastAsia="楷体_GB2312"/>
          <w:b w:val="0"/>
          <w:sz w:val="32"/>
        </w:rPr>
        <w:t>2.3 教育引领</w:t>
      </w:r>
    </w:p>
    <w:p>
      <w:pPr>
        <w:pStyle w:val="Heading3"/>
        <w:spacing w:before="0" w:after="0" w:line="500" w:lineRule="exact"/>
        <w:ind w:firstLine="0"/>
        <w:jc w:val="left"/>
      </w:pPr>
      <w:r>
        <w:rPr>
          <w:rFonts w:ascii="仿宋_GB2312" w:hAnsi="仿宋_GB2312" w:eastAsia="仿宋_GB2312"/>
          <w:b w:val="0"/>
          <w:sz w:val="28"/>
        </w:rPr>
        <w:t>2.3.1 人才培养效益</w:t>
      </w:r>
    </w:p>
    <w:p>
      <w:pPr>
        <w:spacing w:before="0" w:after="0" w:line="500" w:lineRule="exact"/>
        <w:ind w:firstLine="480"/>
        <w:jc w:val="both"/>
      </w:pPr>
      <w:r>
        <w:rPr>
          <w:rFonts w:ascii="仿宋_GB2312" w:hAnsi="仿宋_GB2312" w:eastAsia="仿宋_GB2312"/>
          <w:b w:val="0"/>
          <w:sz w:val="24"/>
        </w:rPr>
        <w:t>橙源智鉴具有较强的产学研融合属性。项目将高光谱成像、人工智能算法、农业场景分析、产品设计与商业表达结合在一起，本身就是一个典型的跨学科训练载体。对于高校团队来说，它不仅可以服务于竞赛、路演和项目孵化，也可以反向促进学生在数据处理、模型构建、场景理解和成果转化方面形成更完整的能力结构。</w:t>
      </w:r>
    </w:p>
    <w:p>
      <w:pPr>
        <w:spacing w:before="0" w:after="0" w:line="500" w:lineRule="exact"/>
        <w:ind w:firstLine="480"/>
        <w:jc w:val="both"/>
      </w:pPr>
      <w:r>
        <w:rPr>
          <w:rFonts w:ascii="仿宋_GB2312" w:hAnsi="仿宋_GB2312" w:eastAsia="仿宋_GB2312"/>
          <w:b w:val="0"/>
          <w:sz w:val="24"/>
        </w:rPr>
        <w:t>与单纯的软件命题或单纯的实验命题相比，本项目更能训练团队在“技术可行性、场景可理解性、成果可表达性”之间做平衡。这样的训练结果，对后续继续深造、进入产业岗位或参与区域服务项目，都具有较强的迁移价值。</w:t>
      </w:r>
    </w:p>
    <w:p>
      <w:pPr>
        <w:pStyle w:val="Heading3"/>
        <w:spacing w:before="0" w:after="0" w:line="500" w:lineRule="exact"/>
        <w:ind w:firstLine="0"/>
        <w:jc w:val="left"/>
      </w:pPr>
      <w:r>
        <w:rPr>
          <w:rFonts w:ascii="仿宋_GB2312" w:hAnsi="仿宋_GB2312" w:eastAsia="仿宋_GB2312"/>
          <w:b w:val="0"/>
          <w:sz w:val="28"/>
        </w:rPr>
        <w:t>2.3.2 区域示范效益</w:t>
      </w:r>
    </w:p>
    <w:p>
      <w:pPr>
        <w:spacing w:before="0" w:after="0" w:line="500" w:lineRule="exact"/>
        <w:ind w:firstLine="480"/>
        <w:jc w:val="both"/>
      </w:pPr>
      <w:r>
        <w:rPr>
          <w:rFonts w:ascii="仿宋_GB2312" w:hAnsi="仿宋_GB2312" w:eastAsia="仿宋_GB2312"/>
          <w:b w:val="0"/>
          <w:sz w:val="24"/>
        </w:rPr>
        <w:t>在示范层面，项目若能围绕澄迈福橙、琼中绿橙等区域品牌形成较成熟的验证案例，将对地方高校服务区域产业、青年团队参与科技创新和智慧农业场景落地起到较强的带动作用。这种价值不完全体现在短期财务指标上，但对项目后续资源链接、合作拓展和社会影响力提升具有现实意义。</w:t>
      </w:r>
    </w:p>
    <w:p>
      <w:pPr>
        <w:spacing w:before="0" w:after="0" w:line="500" w:lineRule="exact"/>
        <w:ind w:firstLine="480"/>
        <w:jc w:val="both"/>
      </w:pPr>
      <w:r>
        <w:rPr>
          <w:rFonts w:ascii="仿宋_GB2312" w:hAnsi="仿宋_GB2312" w:eastAsia="仿宋_GB2312"/>
          <w:b w:val="0"/>
          <w:sz w:val="24"/>
        </w:rPr>
        <w:t>对海南本地而言，这类案例还有更直接的示范意义，即证明高校团队并非只能做实验室研究，也可以围绕热带特色农业形成贴近场景的数字化工具。只要项目能够把试点过程和结果沉淀下来，其区域示范价值就会比单次获奖或单次展示更持久。</w:t>
      </w:r>
    </w:p>
    <w:p>
      <w:pPr>
        <w:pStyle w:val="Heading3"/>
        <w:spacing w:before="0" w:after="0" w:line="500" w:lineRule="exact"/>
        <w:ind w:firstLine="0"/>
        <w:jc w:val="left"/>
      </w:pPr>
      <w:r>
        <w:rPr>
          <w:rFonts w:ascii="仿宋_GB2312" w:hAnsi="仿宋_GB2312" w:eastAsia="仿宋_GB2312"/>
          <w:b w:val="0"/>
          <w:sz w:val="28"/>
        </w:rPr>
        <w:t>2.3.3 竞赛与传播效益</w:t>
      </w:r>
    </w:p>
    <w:p>
      <w:pPr>
        <w:spacing w:before="0" w:after="0" w:line="500" w:lineRule="exact"/>
        <w:ind w:firstLine="480"/>
        <w:jc w:val="both"/>
      </w:pPr>
      <w:r>
        <w:rPr>
          <w:rFonts w:ascii="仿宋_GB2312" w:hAnsi="仿宋_GB2312" w:eastAsia="仿宋_GB2312"/>
          <w:b w:val="0"/>
          <w:sz w:val="24"/>
        </w:rPr>
        <w:t>在项目传播层面，橙源智鉴具备“技术逻辑清晰、场景对象明确、社会议题突出、展示表达完整”的特点，既适合用于创新创业赛事申报，也适合用于地方合作对接和项目展示。项目若能持续完善，将有望成为高校团队面向智慧农业和特色产业服务的代表性案例。</w:t>
      </w:r>
    </w:p>
    <w:p>
      <w:pPr>
        <w:spacing w:before="0" w:after="0" w:line="500" w:lineRule="exact"/>
        <w:ind w:firstLine="480"/>
        <w:jc w:val="both"/>
      </w:pPr>
      <w:r>
        <w:rPr>
          <w:rFonts w:ascii="仿宋_GB2312" w:hAnsi="仿宋_GB2312" w:eastAsia="仿宋_GB2312"/>
          <w:b w:val="0"/>
          <w:sz w:val="24"/>
        </w:rPr>
        <w:t>计划书、原型系统和后续试点案例形成一致口径后，更有利于比赛评审、合作对接和项目传播。</w:t>
      </w:r>
    </w:p>
    <w:p>
      <w:pPr>
        <w:sectPr>
          <w:pgSz w:w="11906" w:h="16838"/>
          <w:pgMar w:top="1417" w:right="1417" w:bottom="1417" w:left="1417" w:header="850" w:footer="992" w:gutter="0"/>
          <w:cols w:space="720"/>
          <w:docGrid w:linePitch="360"/>
        </w:sectPr>
      </w:pPr>
    </w:p>
    <w:p>
      <w:pPr>
        <w:pStyle w:val="Heading1"/>
        <w:spacing w:before="0" w:after="0" w:line="500" w:lineRule="exact"/>
        <w:ind w:firstLine="0"/>
        <w:jc w:val="left"/>
      </w:pPr>
      <w:r>
        <w:rPr>
          <w:rFonts w:ascii="黑体" w:hAnsi="黑体" w:eastAsia="黑体"/>
          <w:b w:val="0"/>
          <w:sz w:val="32"/>
        </w:rPr>
        <w:t>第三章 可行性分析</w:t>
      </w:r>
    </w:p>
    <w:p>
      <w:pPr>
        <w:spacing w:before="0" w:after="0" w:line="500" w:lineRule="exact"/>
        <w:ind w:firstLine="480"/>
        <w:jc w:val="both"/>
      </w:pPr>
      <w:r>
        <w:rPr>
          <w:rFonts w:ascii="仿宋_GB2312" w:hAnsi="仿宋_GB2312" w:eastAsia="仿宋_GB2312"/>
          <w:b w:val="0"/>
          <w:sz w:val="24"/>
        </w:rPr>
        <w:t>项目已具备网页原型、样本字段、分析流程和校内资源基础，可继续完成样本补强、模型验证和试点交付。</w:t>
      </w:r>
    </w:p>
    <w:p>
      <w:pPr>
        <w:pStyle w:val="Heading2"/>
        <w:spacing w:before="0" w:after="0" w:line="500" w:lineRule="exact"/>
        <w:ind w:firstLine="0"/>
        <w:jc w:val="left"/>
      </w:pPr>
      <w:r>
        <w:rPr>
          <w:rFonts w:ascii="楷体_GB2312" w:hAnsi="楷体_GB2312" w:eastAsia="楷体_GB2312"/>
          <w:b w:val="0"/>
          <w:sz w:val="32"/>
        </w:rPr>
        <w:t>3.1 市场可行性</w:t>
      </w:r>
    </w:p>
    <w:p>
      <w:pPr>
        <w:pStyle w:val="Heading3"/>
        <w:spacing w:before="0" w:after="0" w:line="500" w:lineRule="exact"/>
        <w:ind w:firstLine="0"/>
        <w:jc w:val="left"/>
      </w:pPr>
      <w:r>
        <w:rPr>
          <w:rFonts w:ascii="仿宋_GB2312" w:hAnsi="仿宋_GB2312" w:eastAsia="仿宋_GB2312"/>
          <w:b w:val="0"/>
          <w:sz w:val="28"/>
        </w:rPr>
        <w:t>3.1.1 需求基础明确</w:t>
      </w:r>
    </w:p>
    <w:p>
      <w:pPr>
        <w:spacing w:before="0" w:after="0" w:line="500" w:lineRule="exact"/>
        <w:ind w:firstLine="480"/>
        <w:jc w:val="both"/>
      </w:pPr>
      <w:r>
        <w:rPr>
          <w:rFonts w:ascii="仿宋_GB2312" w:hAnsi="仿宋_GB2312" w:eastAsia="仿宋_GB2312"/>
          <w:b w:val="0"/>
          <w:sz w:val="24"/>
        </w:rPr>
        <w:t>就市场需求结构而言，品牌果、地理标志果和高价值果品对“可证明的品质”和“可验证的产地”需求正在持续增强。尤其在供给较充足、价格竞争趋于激烈的背景下，品质证明能力本身正在成为品牌果品的重要竞争力。对果园、合作社、分选中心和品牌运营方而言，只要项目能够稳定提供检测结果、历史留痕和可视化表达，就具备较清晰的现实需求基础。</w:t>
      </w:r>
    </w:p>
    <w:p>
      <w:pPr>
        <w:pStyle w:val="Heading3"/>
        <w:spacing w:before="0" w:after="0" w:line="500" w:lineRule="exact"/>
        <w:ind w:firstLine="0"/>
        <w:jc w:val="left"/>
      </w:pPr>
      <w:r>
        <w:rPr>
          <w:rFonts w:ascii="仿宋_GB2312" w:hAnsi="仿宋_GB2312" w:eastAsia="仿宋_GB2312"/>
          <w:b w:val="0"/>
          <w:sz w:val="28"/>
        </w:rPr>
        <w:t>3.1.2 场景对象清晰</w:t>
      </w:r>
    </w:p>
    <w:p>
      <w:pPr>
        <w:spacing w:before="0" w:after="0" w:line="500" w:lineRule="exact"/>
        <w:ind w:firstLine="480"/>
        <w:jc w:val="both"/>
      </w:pPr>
      <w:r>
        <w:rPr>
          <w:rFonts w:ascii="仿宋_GB2312" w:hAnsi="仿宋_GB2312" w:eastAsia="仿宋_GB2312"/>
          <w:b w:val="0"/>
          <w:sz w:val="24"/>
        </w:rPr>
        <w:t>项目并不是面对一个过于泛化的市场，而是优先聚焦具有区域品牌属性、品质分级需求和数字化表达需求的橙类产品。澄迈福橙、琼中绿橙等场景对象较明确，便于先形成有代表性的验证案例，再逐步扩展至其他特色水果品类。市场切入面虽然不算特别宽，但胜在场景聚焦、价值清晰。</w:t>
      </w:r>
    </w:p>
    <w:p>
      <w:pPr>
        <w:pStyle w:val="Heading3"/>
        <w:spacing w:before="0" w:after="0" w:line="500" w:lineRule="exact"/>
        <w:ind w:firstLine="0"/>
        <w:jc w:val="left"/>
      </w:pPr>
      <w:r>
        <w:rPr>
          <w:rFonts w:ascii="仿宋_GB2312" w:hAnsi="仿宋_GB2312" w:eastAsia="仿宋_GB2312"/>
          <w:b w:val="0"/>
          <w:sz w:val="28"/>
        </w:rPr>
        <w:t>3.1.3 政策导向与场景需求形成同向拉动</w:t>
      </w:r>
    </w:p>
    <w:p>
      <w:pPr>
        <w:spacing w:before="0" w:after="0" w:line="500" w:lineRule="exact"/>
        <w:ind w:firstLine="480"/>
        <w:jc w:val="both"/>
      </w:pPr>
      <w:r>
        <w:rPr>
          <w:rFonts w:ascii="仿宋_GB2312" w:hAnsi="仿宋_GB2312" w:eastAsia="仿宋_GB2312"/>
          <w:b w:val="0"/>
          <w:sz w:val="24"/>
        </w:rPr>
        <w:t>智慧农业、农产品追溯和区域品牌经营三类趋势正在同时强化，这使橙源智鉴面对的并非单一检测需求，而是一组相互支撑的场景需求。项目若能先在品牌果品中证明价值，就有机会同时承接质量管理、来源表达和数字化留痕三方面任务，市场可行性因此更扎实。</w:t>
      </w:r>
    </w:p>
    <w:p>
      <w:pPr>
        <w:pStyle w:val="Heading2"/>
        <w:spacing w:before="0" w:after="0" w:line="500" w:lineRule="exact"/>
        <w:ind w:firstLine="0"/>
        <w:jc w:val="left"/>
      </w:pPr>
      <w:r>
        <w:rPr>
          <w:rFonts w:ascii="楷体_GB2312" w:hAnsi="楷体_GB2312" w:eastAsia="楷体_GB2312"/>
          <w:b w:val="0"/>
          <w:sz w:val="32"/>
        </w:rPr>
        <w:t>3.2 技术可行性</w:t>
      </w:r>
    </w:p>
    <w:p>
      <w:pPr>
        <w:pStyle w:val="Heading3"/>
        <w:spacing w:before="0" w:after="0" w:line="500" w:lineRule="exact"/>
        <w:ind w:firstLine="0"/>
        <w:jc w:val="left"/>
      </w:pPr>
      <w:r>
        <w:rPr>
          <w:rFonts w:ascii="仿宋_GB2312" w:hAnsi="仿宋_GB2312" w:eastAsia="仿宋_GB2312"/>
          <w:b w:val="0"/>
          <w:sz w:val="28"/>
        </w:rPr>
        <w:t>3.2.1 技术路径合理</w:t>
      </w:r>
    </w:p>
    <w:p>
      <w:pPr>
        <w:spacing w:before="0" w:after="0" w:line="500" w:lineRule="exact"/>
        <w:ind w:firstLine="480"/>
        <w:jc w:val="both"/>
      </w:pPr>
      <w:r>
        <w:rPr>
          <w:rFonts w:ascii="仿宋_GB2312" w:hAnsi="仿宋_GB2312" w:eastAsia="仿宋_GB2312"/>
          <w:b w:val="0"/>
          <w:sz w:val="24"/>
        </w:rPr>
        <w:t>就技术原理而言，高光谱成像适合用于无损检测与差异识别，能够为糖度、酸度、成熟度和产地差异等任务提供较丰富的特征基础。相关公开研究普遍表明，高光谱技术在水果内部品质识别、成熟度判断和可溶性固形物预测等方面具有较强应用潜力。因此，项目选择“高光谱 + 分类/回归模型 + 可解释分析”的总体路线，是具备理论与应用依据的。</w:t>
      </w:r>
    </w:p>
    <w:p>
      <w:pPr>
        <w:pStyle w:val="Heading3"/>
        <w:spacing w:before="0" w:after="0" w:line="500" w:lineRule="exact"/>
        <w:ind w:firstLine="0"/>
        <w:jc w:val="left"/>
      </w:pPr>
      <w:r>
        <w:rPr>
          <w:rFonts w:ascii="仿宋_GB2312" w:hAnsi="仿宋_GB2312" w:eastAsia="仿宋_GB2312"/>
          <w:b w:val="0"/>
          <w:sz w:val="28"/>
        </w:rPr>
        <w:t>3.2.2 原型基础已具备</w:t>
      </w:r>
    </w:p>
    <w:p>
      <w:pPr>
        <w:spacing w:before="0" w:after="0" w:line="500" w:lineRule="exact"/>
        <w:ind w:firstLine="480"/>
        <w:jc w:val="both"/>
      </w:pPr>
      <w:r>
        <w:rPr>
          <w:rFonts w:ascii="仿宋_GB2312" w:hAnsi="仿宋_GB2312" w:eastAsia="仿宋_GB2312"/>
          <w:b w:val="0"/>
          <w:sz w:val="24"/>
        </w:rPr>
        <w:t>现有项目基础已经表明，平台完成了首页展示、可视化大屏、样本分析、模型解释、历史记录和技术原理等页面原型，也已经具备糖度、酸度、糖酸比、维生素C等样本字段与高光谱曲线展示逻辑，后续技术迭代可直接围绕现有原型推进。</w:t>
      </w:r>
    </w:p>
    <w:p>
      <w:pPr>
        <w:pStyle w:val="Heading3"/>
        <w:spacing w:before="0" w:after="0" w:line="500" w:lineRule="exact"/>
        <w:ind w:firstLine="0"/>
        <w:jc w:val="left"/>
      </w:pPr>
      <w:r>
        <w:rPr>
          <w:rFonts w:ascii="仿宋_GB2312" w:hAnsi="仿宋_GB2312" w:eastAsia="仿宋_GB2312"/>
          <w:b w:val="0"/>
          <w:sz w:val="28"/>
        </w:rPr>
        <w:t>3.2.3 后续优化方向明确</w:t>
      </w:r>
    </w:p>
    <w:p>
      <w:pPr>
        <w:spacing w:before="0" w:after="0" w:line="500" w:lineRule="exact"/>
        <w:ind w:firstLine="480"/>
        <w:jc w:val="both"/>
      </w:pPr>
      <w:r>
        <w:rPr>
          <w:rFonts w:ascii="仿宋_GB2312" w:hAnsi="仿宋_GB2312" w:eastAsia="仿宋_GB2312"/>
          <w:b w:val="0"/>
          <w:sz w:val="24"/>
        </w:rPr>
        <w:t>项目当前真正需要补强的并不是概念层，而是样本规模、标签质量、批次覆盖度和跨场景稳定性。这些问题虽然决定项目上限，但路径相对清晰，属于可通过阶段性研发逐步解决的问题。放到技术实施层面，这意味着项目具备由演示原型走向试点验证的现实可能。</w:t>
      </w:r>
    </w:p>
    <w:p>
      <w:pPr>
        <w:pStyle w:val="Heading2"/>
        <w:spacing w:before="0" w:after="0" w:line="500" w:lineRule="exact"/>
        <w:ind w:firstLine="0"/>
        <w:jc w:val="left"/>
      </w:pPr>
      <w:r>
        <w:rPr>
          <w:rFonts w:ascii="楷体_GB2312" w:hAnsi="楷体_GB2312" w:eastAsia="楷体_GB2312"/>
          <w:b w:val="0"/>
          <w:sz w:val="32"/>
        </w:rPr>
        <w:t>3.3 经济可行性</w:t>
      </w:r>
    </w:p>
    <w:p>
      <w:pPr>
        <w:pStyle w:val="Heading3"/>
        <w:spacing w:before="0" w:after="0" w:line="500" w:lineRule="exact"/>
        <w:ind w:firstLine="0"/>
        <w:jc w:val="left"/>
      </w:pPr>
      <w:r>
        <w:rPr>
          <w:rFonts w:ascii="仿宋_GB2312" w:hAnsi="仿宋_GB2312" w:eastAsia="仿宋_GB2312"/>
          <w:b w:val="0"/>
          <w:sz w:val="28"/>
        </w:rPr>
        <w:t>3.3.1 早期投入具有可控性</w:t>
      </w:r>
    </w:p>
    <w:p>
      <w:pPr>
        <w:spacing w:before="0" w:after="0" w:line="500" w:lineRule="exact"/>
        <w:ind w:firstLine="480"/>
        <w:jc w:val="both"/>
      </w:pPr>
      <w:r>
        <w:rPr>
          <w:rFonts w:ascii="仿宋_GB2312" w:hAnsi="仿宋_GB2312" w:eastAsia="仿宋_GB2312"/>
          <w:b w:val="0"/>
          <w:sz w:val="24"/>
        </w:rPr>
        <w:t>项目早期并不需要一步到位建设完整商业体系，而是可以围绕样本采集、算法验证、平台迭代和小范围试点逐步投入。相较于直接重资产铺设设备或仓促进入大范围市场，现阶段采取“先做试点、再做复制”的方式，更有利于控制资金压力和研发风险。</w:t>
      </w:r>
    </w:p>
    <w:p>
      <w:pPr>
        <w:pStyle w:val="Heading3"/>
        <w:spacing w:before="0" w:after="0" w:line="500" w:lineRule="exact"/>
        <w:ind w:firstLine="0"/>
        <w:jc w:val="left"/>
      </w:pPr>
      <w:r>
        <w:rPr>
          <w:rFonts w:ascii="仿宋_GB2312" w:hAnsi="仿宋_GB2312" w:eastAsia="仿宋_GB2312"/>
          <w:b w:val="0"/>
          <w:sz w:val="28"/>
        </w:rPr>
        <w:t>3.3.2 收入路径具备扩展性</w:t>
      </w:r>
    </w:p>
    <w:p>
      <w:pPr>
        <w:spacing w:before="0" w:after="0" w:line="500" w:lineRule="exact"/>
        <w:ind w:firstLine="480"/>
        <w:jc w:val="both"/>
      </w:pPr>
      <w:r>
        <w:rPr>
          <w:rFonts w:ascii="仿宋_GB2312" w:hAnsi="仿宋_GB2312" w:eastAsia="仿宋_GB2312"/>
          <w:b w:val="0"/>
          <w:sz w:val="24"/>
        </w:rPr>
        <w:t>项目后续的收入结构并不局限于一种变现方式，而是可以沿着“试点验证包—年度服务包—联合开发包”逐步展开。前期通过试点检测、批次报告和场景复盘建立合作关系，中期再把历史样本管理、持续分析输出和定制模型能力转化为年度服务或订阅能力。这样的路径不是一上来就追求大规模变现，而是先把每一种收费背后的交付物做扎实。</w:t>
      </w:r>
    </w:p>
    <w:p>
      <w:pPr>
        <w:pStyle w:val="Heading3"/>
        <w:spacing w:before="0" w:after="0" w:line="500" w:lineRule="exact"/>
        <w:ind w:firstLine="0"/>
        <w:jc w:val="left"/>
      </w:pPr>
      <w:r>
        <w:rPr>
          <w:rFonts w:ascii="仿宋_GB2312" w:hAnsi="仿宋_GB2312" w:eastAsia="仿宋_GB2312"/>
          <w:b w:val="0"/>
          <w:sz w:val="28"/>
        </w:rPr>
        <w:t>3.3.3 分阶段商业化更符合项目当前边界</w:t>
      </w:r>
    </w:p>
    <w:p>
      <w:pPr>
        <w:spacing w:before="0" w:after="0" w:line="500" w:lineRule="exact"/>
        <w:ind w:firstLine="480"/>
        <w:jc w:val="both"/>
      </w:pPr>
      <w:r>
        <w:rPr>
          <w:rFonts w:ascii="仿宋_GB2312" w:hAnsi="仿宋_GB2312" w:eastAsia="仿宋_GB2312"/>
          <w:b w:val="0"/>
          <w:sz w:val="24"/>
        </w:rPr>
        <w:t>结合现有基础来看，橙源智鉴更适合先完成样本补强、模型验证和示范场景建设，再逐步推进批量应用和对外合作，而不是在早期承担过重的设备投入与市场铺设成本。这种分阶段推进方式能让资金压力、研发节奏和交付风险保持在可控范围内，也更利于团队边试点、边修正、边沉淀。</w:t>
      </w:r>
    </w:p>
    <w:p>
      <w:pPr>
        <w:pStyle w:val="Heading2"/>
        <w:spacing w:before="0" w:after="0" w:line="500" w:lineRule="exact"/>
        <w:ind w:firstLine="0"/>
        <w:jc w:val="left"/>
      </w:pPr>
      <w:r>
        <w:rPr>
          <w:rFonts w:ascii="楷体_GB2312" w:hAnsi="楷体_GB2312" w:eastAsia="楷体_GB2312"/>
          <w:b w:val="0"/>
          <w:sz w:val="32"/>
        </w:rPr>
        <w:t>3.4 运营可行性</w:t>
      </w:r>
    </w:p>
    <w:p>
      <w:pPr>
        <w:pStyle w:val="Heading3"/>
        <w:spacing w:before="0" w:after="0" w:line="500" w:lineRule="exact"/>
        <w:ind w:firstLine="0"/>
        <w:jc w:val="left"/>
      </w:pPr>
      <w:r>
        <w:rPr>
          <w:rFonts w:ascii="仿宋_GB2312" w:hAnsi="仿宋_GB2312" w:eastAsia="仿宋_GB2312"/>
          <w:b w:val="0"/>
          <w:sz w:val="28"/>
        </w:rPr>
        <w:t>3.4.1 团队与组织基础具备支撑</w:t>
      </w:r>
    </w:p>
    <w:p>
      <w:pPr>
        <w:spacing w:before="0" w:after="0" w:line="500" w:lineRule="exact"/>
        <w:ind w:firstLine="480"/>
        <w:jc w:val="both"/>
      </w:pPr>
      <w:r>
        <w:rPr>
          <w:rFonts w:ascii="仿宋_GB2312" w:hAnsi="仿宋_GB2312" w:eastAsia="仿宋_GB2312"/>
          <w:b w:val="0"/>
          <w:sz w:val="24"/>
        </w:rPr>
        <w:t>项目依托高校团队和现有创新创业环境，具备较好的组织基础。一方面，团队在技术研发、页面呈现和项目表达上已经形成初步协同；另一方面，高校实验室、孵化资源和赛事平台也为项目的样本组织、研发推进和阶段性展示提供了现实支持。</w:t>
      </w:r>
    </w:p>
    <w:p>
      <w:pPr>
        <w:pStyle w:val="Heading3"/>
        <w:spacing w:before="0" w:after="0" w:line="500" w:lineRule="exact"/>
        <w:ind w:firstLine="0"/>
        <w:jc w:val="left"/>
      </w:pPr>
      <w:r>
        <w:rPr>
          <w:rFonts w:ascii="仿宋_GB2312" w:hAnsi="仿宋_GB2312" w:eastAsia="仿宋_GB2312"/>
          <w:b w:val="0"/>
          <w:sz w:val="28"/>
        </w:rPr>
        <w:t>3.4.2 推进路径相对清晰</w:t>
      </w:r>
    </w:p>
    <w:p>
      <w:pPr>
        <w:spacing w:before="0" w:after="0" w:line="500" w:lineRule="exact"/>
        <w:ind w:firstLine="480"/>
        <w:jc w:val="both"/>
      </w:pPr>
      <w:r>
        <w:rPr>
          <w:rFonts w:ascii="仿宋_GB2312" w:hAnsi="仿宋_GB2312" w:eastAsia="仿宋_GB2312"/>
          <w:b w:val="0"/>
          <w:sz w:val="24"/>
        </w:rPr>
        <w:t>按当前团队能力边界和项目成熟度判断，项目更适合遵循“展示验证—试点合作—标准沉淀—区域复制”的推进思路。先通过计划书、原型系统和小规模样本验证建立可信度，再逐步对接试点单位，最后沉淀标准流程和交付经验。这样的推进方式既符合当前团队能力边界，也更利于项目稳步成长。</w:t>
      </w:r>
    </w:p>
    <w:p>
      <w:pPr>
        <w:pStyle w:val="Heading3"/>
        <w:spacing w:before="0" w:after="0" w:line="500" w:lineRule="exact"/>
        <w:ind w:firstLine="0"/>
        <w:jc w:val="left"/>
      </w:pPr>
      <w:r>
        <w:rPr>
          <w:rFonts w:ascii="仿宋_GB2312" w:hAnsi="仿宋_GB2312" w:eastAsia="仿宋_GB2312"/>
          <w:b w:val="0"/>
          <w:sz w:val="28"/>
        </w:rPr>
        <w:t>3.4.3 Web 原型有助于缩短合作转化周期</w:t>
      </w:r>
    </w:p>
    <w:p>
      <w:pPr>
        <w:spacing w:before="0" w:after="0" w:line="500" w:lineRule="exact"/>
        <w:ind w:firstLine="480"/>
        <w:jc w:val="both"/>
      </w:pPr>
      <w:r>
        <w:rPr>
          <w:rFonts w:ascii="仿宋_GB2312" w:hAnsi="仿宋_GB2312" w:eastAsia="仿宋_GB2312"/>
          <w:b w:val="0"/>
          <w:sz w:val="24"/>
        </w:rPr>
        <w:t>相比只有实验结论或论文思路的项目，橙源智鉴已经具备首页、样本分析、模型解释和历史记录等可视化原型，能够提前把“怎么用、怎么看、如何输出结果”讲明白。这种展示能力有助于降低合作方理解门槛，也有助于缩短从项目介绍到试点讨论的转化周期。</w:t>
      </w:r>
    </w:p>
    <w:p>
      <w:pPr>
        <w:sectPr>
          <w:pgSz w:w="11906" w:h="16838"/>
          <w:pgMar w:top="1417" w:right="1417" w:bottom="1417" w:left="1417" w:header="850" w:footer="992" w:gutter="0"/>
          <w:cols w:space="720"/>
          <w:docGrid w:linePitch="360"/>
        </w:sectPr>
      </w:pPr>
    </w:p>
    <w:p>
      <w:pPr>
        <w:pStyle w:val="Heading1"/>
        <w:spacing w:before="0" w:after="0" w:line="500" w:lineRule="exact"/>
        <w:ind w:firstLine="0"/>
        <w:jc w:val="left"/>
      </w:pPr>
      <w:r>
        <w:rPr>
          <w:rFonts w:ascii="黑体" w:hAnsi="黑体" w:eastAsia="黑体"/>
          <w:b w:val="0"/>
          <w:sz w:val="32"/>
        </w:rPr>
        <w:t>第四章 市场优势</w:t>
      </w:r>
    </w:p>
    <w:p>
      <w:pPr>
        <w:spacing w:before="0" w:after="0" w:line="500" w:lineRule="exact"/>
        <w:ind w:firstLine="480"/>
        <w:jc w:val="both"/>
      </w:pPr>
      <w:r>
        <w:rPr>
          <w:rFonts w:ascii="仿宋_GB2312" w:hAnsi="仿宋_GB2312" w:eastAsia="仿宋_GB2312"/>
          <w:b w:val="0"/>
          <w:sz w:val="24"/>
        </w:rPr>
        <w:t>项目面向区域品牌果品的快速识别、品质预测和数据留痕需求，市场切口集中在分选、验货和品牌表达环节。</w:t>
      </w:r>
    </w:p>
    <w:p>
      <w:pPr>
        <w:pStyle w:val="Heading2"/>
        <w:spacing w:before="0" w:after="0" w:line="500" w:lineRule="exact"/>
        <w:ind w:firstLine="0"/>
        <w:jc w:val="left"/>
      </w:pPr>
      <w:r>
        <w:rPr>
          <w:rFonts w:ascii="楷体_GB2312" w:hAnsi="楷体_GB2312" w:eastAsia="楷体_GB2312"/>
          <w:b w:val="0"/>
          <w:sz w:val="32"/>
        </w:rPr>
        <w:t>4.1 检测市场分析</w:t>
      </w:r>
    </w:p>
    <w:p>
      <w:pPr>
        <w:pStyle w:val="Heading3"/>
        <w:spacing w:before="0" w:after="0" w:line="500" w:lineRule="exact"/>
        <w:ind w:firstLine="0"/>
        <w:jc w:val="left"/>
      </w:pPr>
      <w:r>
        <w:rPr>
          <w:rFonts w:ascii="仿宋_GB2312" w:hAnsi="仿宋_GB2312" w:eastAsia="仿宋_GB2312"/>
          <w:b w:val="0"/>
          <w:sz w:val="28"/>
        </w:rPr>
        <w:t>4.1.1 产业规模与需求牵引</w:t>
      </w:r>
    </w:p>
    <w:p>
      <w:pPr>
        <w:spacing w:before="0" w:after="0" w:line="500" w:lineRule="exact"/>
        <w:ind w:firstLine="480"/>
        <w:jc w:val="both"/>
      </w:pPr>
      <w:r>
        <w:rPr>
          <w:rFonts w:ascii="仿宋_GB2312" w:hAnsi="仿宋_GB2312" w:eastAsia="仿宋_GB2312"/>
          <w:b w:val="0"/>
          <w:sz w:val="24"/>
        </w:rPr>
        <w:t>我国庞大的柑橘产业体量决定了，橙类品质检测与产地识别并不是一个狭小的细分需求，而是会长期伴随分选、分级、流通和品牌经营各环节存在。农业农村部公开资料显示，我国柑橘种植面积约4493.72万亩、年产量约6003.89万吨，约占全球总产量28%。如此大的基数，意味着产业各环节都需要更高效率的检测与证明工具。</w:t>
      </w:r>
    </w:p>
    <w:p>
      <w:pPr>
        <w:spacing w:before="0" w:after="0" w:line="500" w:lineRule="exact"/>
        <w:ind w:firstLine="480"/>
        <w:jc w:val="both"/>
      </w:pPr>
      <w:r>
        <w:rPr>
          <w:rFonts w:ascii="仿宋_GB2312" w:hAnsi="仿宋_GB2312" w:eastAsia="仿宋_GB2312"/>
          <w:b w:val="0"/>
          <w:sz w:val="24"/>
        </w:rPr>
        <w:t>价格走势同样说明，检测需求的紧迫性正在上升。农业农村部《2024年4月农产品供需形势分析月报（水果）》显示，2024年3月全国重点监测批发市场柑橘均价为7.03元/公斤，同比下降12.5%。在供给较充足、价格承压的背景下，单纯依靠产量增长很难持续支撑收益，提升分级效率、证明品质稳定、强化品牌溢价就成为更现实的增长抓手。</w:t>
      </w:r>
    </w:p>
    <w:p>
      <w:pPr>
        <w:pStyle w:val="Heading3"/>
        <w:spacing w:before="0" w:after="0" w:line="500" w:lineRule="exact"/>
        <w:ind w:firstLine="0"/>
        <w:jc w:val="left"/>
      </w:pPr>
      <w:r>
        <w:rPr>
          <w:rFonts w:ascii="仿宋_GB2312" w:hAnsi="仿宋_GB2312" w:eastAsia="仿宋_GB2312"/>
          <w:b w:val="0"/>
          <w:sz w:val="28"/>
        </w:rPr>
        <w:t>4.1.2 区域品牌果品场景扩张</w:t>
      </w:r>
    </w:p>
    <w:p>
      <w:pPr>
        <w:spacing w:before="0" w:after="0" w:line="500" w:lineRule="exact"/>
        <w:ind w:firstLine="480"/>
        <w:jc w:val="both"/>
      </w:pPr>
      <w:r>
        <w:rPr>
          <w:rFonts w:ascii="仿宋_GB2312" w:hAnsi="仿宋_GB2312" w:eastAsia="仿宋_GB2312"/>
          <w:b w:val="0"/>
          <w:sz w:val="24"/>
        </w:rPr>
        <w:t>海南特色水果产业也为项目提供了较好的应用土壤。根据海南省统计局发布的《海南省2024年国民经济和社会发展统计公报》，2024年海南水果总产量达到617.66万吨，同比增长4.2%。对于澄迈福橙、琼中绿橙等具有地域品牌特征的产品而言，消费者和渠道方越来越重视“是不是这个产地”“这一批果品是否稳定”“优质果如何证明”这类问题，品牌果市场正在从卖产品走向卖可信度。</w:t>
      </w:r>
    </w:p>
    <w:p>
      <w:pPr>
        <w:spacing w:before="0" w:after="0" w:line="500" w:lineRule="exact"/>
        <w:ind w:firstLine="480"/>
        <w:jc w:val="both"/>
      </w:pPr>
      <w:r>
        <w:rPr>
          <w:rFonts w:ascii="仿宋_GB2312" w:hAnsi="仿宋_GB2312" w:eastAsia="仿宋_GB2312"/>
          <w:b w:val="0"/>
          <w:sz w:val="24"/>
        </w:rPr>
        <w:t>与此同时，礼盒果、电商果、商超定制果、节庆促销果等销售形态不断增多，渠道方对果品检测的要求也不再停留在抽检合格，而是希望在更短时间内得到面向批次管理和对外沟通的结果表达。检测市场正在由实验室导向的专业检测，延伸为兼顾管理效率、品牌展示和交易协同的综合性需求。</w:t>
      </w:r>
    </w:p>
    <w:p>
      <w:pPr>
        <w:pStyle w:val="Heading3"/>
        <w:spacing w:before="0" w:after="0" w:line="500" w:lineRule="exact"/>
        <w:ind w:firstLine="0"/>
        <w:jc w:val="left"/>
      </w:pPr>
      <w:r>
        <w:rPr>
          <w:rFonts w:ascii="仿宋_GB2312" w:hAnsi="仿宋_GB2312" w:eastAsia="仿宋_GB2312"/>
          <w:b w:val="0"/>
          <w:sz w:val="28"/>
        </w:rPr>
        <w:t>4.1.3 检测方式演进趋势</w:t>
      </w:r>
    </w:p>
    <w:p>
      <w:pPr>
        <w:spacing w:before="0" w:after="0" w:line="500" w:lineRule="exact"/>
        <w:ind w:firstLine="480"/>
        <w:jc w:val="both"/>
      </w:pPr>
      <w:r>
        <w:rPr>
          <w:rFonts w:ascii="仿宋_GB2312" w:hAnsi="仿宋_GB2312" w:eastAsia="仿宋_GB2312"/>
          <w:b w:val="0"/>
          <w:sz w:val="24"/>
        </w:rPr>
        <w:t>当前行业对检测工具的期待正在发生变化。过去更强调“能不能测出来”，现在更强调“能不能更快测、能不能不破坏样本、能不能沉淀数据、能不能形成直观报告”。检测系统的竞争已经从单一仪器性能，转向“设备采集 + 智能建模 + 平台管理 + 结果表达”的系统能力竞争。</w:t>
      </w:r>
    </w:p>
    <w:p>
      <w:pPr>
        <w:spacing w:before="0" w:after="0" w:line="500" w:lineRule="exact"/>
        <w:ind w:firstLine="480"/>
        <w:jc w:val="both"/>
      </w:pPr>
      <w:r>
        <w:rPr>
          <w:rFonts w:ascii="仿宋_GB2312" w:hAnsi="仿宋_GB2312" w:eastAsia="仿宋_GB2312"/>
          <w:b w:val="0"/>
          <w:sz w:val="24"/>
        </w:rPr>
        <w:t>橙源智鉴的市场切口正是在这一演进过程中形成的。项目不追求与传统实验室在绝对精密定量上正面竞争，而是优先占据品牌果品快速识别、产地表达、品质预测和批次留痕这一更贴近业务现场的应用区间。这个切口既能避开重资产实验室竞争，也更符合当前特色农产品数字化转型的现实节奏。</w:t>
      </w:r>
    </w:p>
    <w:p>
      <w:pPr>
        <w:pStyle w:val="Heading2"/>
        <w:spacing w:before="0" w:after="0" w:line="500" w:lineRule="exact"/>
        <w:ind w:firstLine="0"/>
        <w:jc w:val="left"/>
      </w:pPr>
      <w:r>
        <w:rPr>
          <w:rFonts w:ascii="楷体_GB2312" w:hAnsi="楷体_GB2312" w:eastAsia="楷体_GB2312"/>
          <w:b w:val="0"/>
          <w:sz w:val="32"/>
        </w:rPr>
        <w:t>4.2 行业痛点与需求结构</w:t>
      </w:r>
    </w:p>
    <w:p>
      <w:pPr>
        <w:pStyle w:val="Heading3"/>
        <w:spacing w:before="0" w:after="0" w:line="500" w:lineRule="exact"/>
        <w:ind w:firstLine="0"/>
        <w:jc w:val="left"/>
      </w:pPr>
      <w:r>
        <w:rPr>
          <w:rFonts w:ascii="仿宋_GB2312" w:hAnsi="仿宋_GB2312" w:eastAsia="仿宋_GB2312"/>
          <w:b w:val="0"/>
          <w:sz w:val="28"/>
        </w:rPr>
        <w:t>4.2.1 传统理化检测周期偏长</w:t>
      </w:r>
    </w:p>
    <w:p>
      <w:pPr>
        <w:spacing w:before="0" w:after="0" w:line="500" w:lineRule="exact"/>
        <w:ind w:firstLine="480"/>
        <w:jc w:val="both"/>
      </w:pPr>
      <w:r>
        <w:rPr>
          <w:rFonts w:ascii="仿宋_GB2312" w:hAnsi="仿宋_GB2312" w:eastAsia="仿宋_GB2312"/>
          <w:b w:val="0"/>
          <w:sz w:val="24"/>
        </w:rPr>
        <w:t>在果品检测实践中，传统理化检测能够提供较强的指标依据，但通常依赖抽样、送检、前处理和实验分析，周期相对较长，更适合作为验证与仲裁依据，而不适合承接高频、批量、现场化的快速判断任务。对于分选中心、电商出货、节庆礼盒或采购验收等强调时效的场景，这种流程往往难以满足业务节奏。</w:t>
      </w:r>
    </w:p>
    <w:p>
      <w:pPr>
        <w:pStyle w:val="Heading3"/>
        <w:spacing w:before="0" w:after="0" w:line="500" w:lineRule="exact"/>
        <w:ind w:firstLine="0"/>
        <w:jc w:val="left"/>
      </w:pPr>
      <w:r>
        <w:rPr>
          <w:rFonts w:ascii="仿宋_GB2312" w:hAnsi="仿宋_GB2312" w:eastAsia="仿宋_GB2312"/>
          <w:b w:val="0"/>
          <w:sz w:val="28"/>
        </w:rPr>
        <w:t>4.2.2 人工经验分级标准不一</w:t>
      </w:r>
    </w:p>
    <w:p>
      <w:pPr>
        <w:spacing w:before="0" w:after="0" w:line="500" w:lineRule="exact"/>
        <w:ind w:firstLine="480"/>
        <w:jc w:val="both"/>
      </w:pPr>
      <w:r>
        <w:rPr>
          <w:rFonts w:ascii="仿宋_GB2312" w:hAnsi="仿宋_GB2312" w:eastAsia="仿宋_GB2312"/>
          <w:b w:val="0"/>
          <w:sz w:val="24"/>
        </w:rPr>
        <w:t>许多果品场景至今仍高度依赖人工经验进行分级与判断。经验型分级在熟手场景下具备一定效率，但也容易受到人员能力、批次差异、外观误导和执行标准不统一的影响。尤其当果品需要跨地区流通、跨渠道交付时，单纯依赖经验难以形成让合作方、采购方和消费者都能认可的统一表达。</w:t>
      </w:r>
    </w:p>
    <w:p>
      <w:pPr>
        <w:pStyle w:val="Heading3"/>
        <w:spacing w:before="0" w:after="0" w:line="500" w:lineRule="exact"/>
        <w:ind w:firstLine="0"/>
        <w:jc w:val="left"/>
      </w:pPr>
      <w:r>
        <w:rPr>
          <w:rFonts w:ascii="仿宋_GB2312" w:hAnsi="仿宋_GB2312" w:eastAsia="仿宋_GB2312"/>
          <w:b w:val="0"/>
          <w:sz w:val="28"/>
        </w:rPr>
        <w:t>4.2.3 品牌表达与数据留痕不足</w:t>
      </w:r>
    </w:p>
    <w:p>
      <w:pPr>
        <w:spacing w:before="0" w:after="0" w:line="500" w:lineRule="exact"/>
        <w:ind w:firstLine="480"/>
        <w:jc w:val="both"/>
      </w:pPr>
      <w:r>
        <w:rPr>
          <w:rFonts w:ascii="仿宋_GB2312" w:hAnsi="仿宋_GB2312" w:eastAsia="仿宋_GB2312"/>
          <w:b w:val="0"/>
          <w:sz w:val="24"/>
        </w:rPr>
        <w:t>对区域品牌果品而言，最棘手的问题往往不是有没有检测，而是检测结果能否转化为稳定的品牌资产。很多主体做了抽检，却缺少连续样本档案、批次对照数据和可视化表达材料，导致检测只停留在内部证明，难以进一步服务于品牌溢价、渠道沟通和产地公信力建设。</w:t>
      </w:r>
    </w:p>
    <w:p>
      <w:pPr>
        <w:spacing w:before="0" w:after="0" w:line="500" w:lineRule="exact"/>
        <w:ind w:firstLine="480"/>
        <w:jc w:val="both"/>
      </w:pPr>
      <w:r>
        <w:rPr>
          <w:rFonts w:ascii="仿宋_GB2312" w:hAnsi="仿宋_GB2312" w:eastAsia="仿宋_GB2312"/>
          <w:b w:val="0"/>
          <w:sz w:val="24"/>
        </w:rPr>
        <w:t>行业需要的是“采集更便捷、判断更快速、结果可复核、历史可查询、对外可表达”的一体化能力结构。橙源智鉴将检测结果进一步延展到管理和品牌表达环节。</w:t>
      </w:r>
    </w:p>
    <w:p>
      <w:pPr>
        <w:pStyle w:val="Heading2"/>
        <w:spacing w:before="0" w:after="0" w:line="500" w:lineRule="exact"/>
        <w:ind w:firstLine="0"/>
        <w:jc w:val="left"/>
      </w:pPr>
      <w:r>
        <w:rPr>
          <w:rFonts w:ascii="楷体_GB2312" w:hAnsi="楷体_GB2312" w:eastAsia="楷体_GB2312"/>
          <w:b w:val="0"/>
          <w:sz w:val="32"/>
        </w:rPr>
        <w:t>4.3 用户分析</w:t>
      </w:r>
    </w:p>
    <w:p>
      <w:pPr>
        <w:pStyle w:val="Heading3"/>
        <w:spacing w:before="0" w:after="0" w:line="500" w:lineRule="exact"/>
        <w:ind w:firstLine="0"/>
        <w:jc w:val="left"/>
      </w:pPr>
      <w:r>
        <w:rPr>
          <w:rFonts w:ascii="仿宋_GB2312" w:hAnsi="仿宋_GB2312" w:eastAsia="仿宋_GB2312"/>
          <w:b w:val="0"/>
          <w:sz w:val="28"/>
        </w:rPr>
        <w:t>4.3.1 产地端用户</w:t>
      </w:r>
    </w:p>
    <w:p>
      <w:pPr>
        <w:spacing w:before="0" w:after="0" w:line="500" w:lineRule="exact"/>
        <w:ind w:firstLine="480"/>
        <w:jc w:val="both"/>
      </w:pPr>
      <w:r>
        <w:rPr>
          <w:rFonts w:ascii="仿宋_GB2312" w:hAnsi="仿宋_GB2312" w:eastAsia="仿宋_GB2312"/>
          <w:b w:val="0"/>
          <w:sz w:val="24"/>
        </w:rPr>
        <w:t>第一类核心用户是果园、合作社、分选中心和初加工主体。这类用户最关心的是效率、稳定性和执行门槛，希望在不显著增加流程负担的前提下，对果品进行基础分级、批次判断和异常筛查。对他们来说，平台若能输出更直观的分析结论和批次记录，就能直接服务于采后处理、库存管理和出货决策。</w:t>
      </w:r>
    </w:p>
    <w:p>
      <w:pPr>
        <w:pStyle w:val="Heading3"/>
        <w:spacing w:before="0" w:after="0" w:line="500" w:lineRule="exact"/>
        <w:ind w:firstLine="0"/>
        <w:jc w:val="left"/>
      </w:pPr>
      <w:r>
        <w:rPr>
          <w:rFonts w:ascii="仿宋_GB2312" w:hAnsi="仿宋_GB2312" w:eastAsia="仿宋_GB2312"/>
          <w:b w:val="0"/>
          <w:sz w:val="28"/>
        </w:rPr>
        <w:t>4.3.2 渠道端与品牌端用户</w:t>
      </w:r>
    </w:p>
    <w:p>
      <w:pPr>
        <w:spacing w:before="0" w:after="0" w:line="500" w:lineRule="exact"/>
        <w:ind w:firstLine="480"/>
        <w:jc w:val="both"/>
      </w:pPr>
      <w:r>
        <w:rPr>
          <w:rFonts w:ascii="仿宋_GB2312" w:hAnsi="仿宋_GB2312" w:eastAsia="仿宋_GB2312"/>
          <w:b w:val="0"/>
          <w:sz w:val="24"/>
        </w:rPr>
        <w:t>第二类核心用户是品牌运营方、电商渠道、商超采购和礼盒定制客户。这类用户不仅关心果品本身好不好，更关心结果能否被客户理解、能否支撑议价、能否降低采购争议。对于他们而言，一套可快速生成分析结论和图文化说明的平台，比单纯的实验室结论更容易转化为交易语言和品牌语言。</w:t>
      </w:r>
    </w:p>
    <w:p>
      <w:pPr>
        <w:pStyle w:val="Heading3"/>
        <w:spacing w:before="0" w:after="0" w:line="500" w:lineRule="exact"/>
        <w:ind w:firstLine="0"/>
        <w:jc w:val="left"/>
      </w:pPr>
      <w:r>
        <w:rPr>
          <w:rFonts w:ascii="仿宋_GB2312" w:hAnsi="仿宋_GB2312" w:eastAsia="仿宋_GB2312"/>
          <w:b w:val="0"/>
          <w:sz w:val="28"/>
        </w:rPr>
        <w:t>4.3.3 公共服务与科研用户</w:t>
      </w:r>
    </w:p>
    <w:p>
      <w:pPr>
        <w:spacing w:before="0" w:after="0" w:line="500" w:lineRule="exact"/>
        <w:ind w:firstLine="480"/>
        <w:jc w:val="both"/>
      </w:pPr>
      <w:r>
        <w:rPr>
          <w:rFonts w:ascii="仿宋_GB2312" w:hAnsi="仿宋_GB2312" w:eastAsia="仿宋_GB2312"/>
          <w:b w:val="0"/>
          <w:sz w:val="24"/>
        </w:rPr>
        <w:t>第三类用户则可能来自公共服务与科研侧，包括地方监管辅助场景、区域品牌服务机构、高校团队和科研院所。这类用户更看重标准化流程、样本管理能力和后续扩展空间。橙源智鉴如果能够形成较清晰的数据结构、实验规范和平台接口，不仅适合项目展示，也适合作为试点型数字农业应用继续延伸。</w:t>
      </w:r>
    </w:p>
    <w:p>
      <w:pPr>
        <w:pStyle w:val="Heading2"/>
        <w:spacing w:before="0" w:after="0" w:line="500" w:lineRule="exact"/>
        <w:ind w:firstLine="0"/>
        <w:jc w:val="left"/>
      </w:pPr>
      <w:r>
        <w:rPr>
          <w:rFonts w:ascii="楷体_GB2312" w:hAnsi="楷体_GB2312" w:eastAsia="楷体_GB2312"/>
          <w:b w:val="0"/>
          <w:sz w:val="32"/>
        </w:rPr>
        <w:t>4.4 竞争分析</w:t>
      </w:r>
    </w:p>
    <w:p>
      <w:pPr>
        <w:pStyle w:val="Heading3"/>
        <w:spacing w:before="0" w:after="0" w:line="500" w:lineRule="exact"/>
        <w:ind w:firstLine="0"/>
        <w:jc w:val="left"/>
      </w:pPr>
      <w:r>
        <w:rPr>
          <w:rFonts w:ascii="仿宋_GB2312" w:hAnsi="仿宋_GB2312" w:eastAsia="仿宋_GB2312"/>
          <w:b w:val="0"/>
          <w:sz w:val="28"/>
        </w:rPr>
        <w:t>4.4.1 传统检测机构与实验室方案</w:t>
      </w:r>
    </w:p>
    <w:p>
      <w:pPr>
        <w:spacing w:before="0" w:after="0" w:line="500" w:lineRule="exact"/>
        <w:ind w:firstLine="480"/>
        <w:jc w:val="both"/>
      </w:pPr>
      <w:r>
        <w:rPr>
          <w:rFonts w:ascii="仿宋_GB2312" w:hAnsi="仿宋_GB2312" w:eastAsia="仿宋_GB2312"/>
          <w:b w:val="0"/>
          <w:sz w:val="24"/>
        </w:rPr>
        <w:t>传统检测机构、实验室设备和常规理化分析方法在精密检测、标准仲裁和权威性方面具有明显优势，这是橙源智鉴无法也无意在当前阶段替代的部分。它们的核心价值在于给出高可信的专业结论，但短板在于周期长、场景重、现场适应性不足，难以覆盖品牌果品日常管理中的高频判断需求。</w:t>
      </w:r>
    </w:p>
    <w:p>
      <w:pPr>
        <w:pStyle w:val="Heading3"/>
        <w:spacing w:before="0" w:after="0" w:line="500" w:lineRule="exact"/>
        <w:ind w:firstLine="0"/>
        <w:jc w:val="left"/>
      </w:pPr>
      <w:r>
        <w:rPr>
          <w:rFonts w:ascii="仿宋_GB2312" w:hAnsi="仿宋_GB2312" w:eastAsia="仿宋_GB2312"/>
          <w:b w:val="0"/>
          <w:sz w:val="28"/>
        </w:rPr>
        <w:t>4.4.2 通用视觉设备与单点光谱设备</w:t>
      </w:r>
    </w:p>
    <w:p>
      <w:pPr>
        <w:spacing w:before="0" w:after="0" w:line="500" w:lineRule="exact"/>
        <w:ind w:firstLine="480"/>
        <w:jc w:val="both"/>
      </w:pPr>
      <w:r>
        <w:rPr>
          <w:rFonts w:ascii="仿宋_GB2312" w:hAnsi="仿宋_GB2312" w:eastAsia="仿宋_GB2312"/>
          <w:b w:val="0"/>
          <w:sz w:val="24"/>
        </w:rPr>
        <w:t>市场上另一类方案来自通用机器视觉、分选装备和部分单点光谱设备。这类方案通常在外观缺陷检测、颜色判断、尺寸分选等方面具有较成熟的应用基础，但对于内部品质、产地差异和多指标联合表达的支撑相对有限。尤其在需要把“看得见的外观”和“看不见的内部信息”结合起来时，单一设备方案往往很难完整承接需求。</w:t>
      </w:r>
    </w:p>
    <w:p>
      <w:pPr>
        <w:pStyle w:val="Heading3"/>
        <w:spacing w:before="0" w:after="0" w:line="500" w:lineRule="exact"/>
        <w:ind w:firstLine="0"/>
        <w:jc w:val="left"/>
      </w:pPr>
      <w:r>
        <w:rPr>
          <w:rFonts w:ascii="仿宋_GB2312" w:hAnsi="仿宋_GB2312" w:eastAsia="仿宋_GB2312"/>
          <w:b w:val="0"/>
          <w:sz w:val="28"/>
        </w:rPr>
        <w:t>4.4.3 项目差异化优势与阶段性壁垒</w:t>
      </w:r>
    </w:p>
    <w:p>
      <w:pPr>
        <w:spacing w:before="0" w:after="0" w:line="500" w:lineRule="exact"/>
        <w:ind w:firstLine="480"/>
        <w:jc w:val="both"/>
      </w:pPr>
      <w:r>
        <w:rPr>
          <w:rFonts w:ascii="仿宋_GB2312" w:hAnsi="仿宋_GB2312" w:eastAsia="仿宋_GB2312"/>
          <w:b w:val="0"/>
          <w:sz w:val="24"/>
        </w:rPr>
        <w:t>橙源智鉴的差异化，不在于单一硬件参数领先，而在于把高光谱采集、产地分类、品质回归、可解释分析和页面化展示放在同一个产品逻辑里。对品牌果品场景来说，这意味着平台既能服务内部判断，也能支持外部表达，兼顾“能分析”和“能讲清楚”两种能力。</w:t>
      </w:r>
    </w:p>
    <w:p>
      <w:pPr>
        <w:spacing w:before="0" w:after="0" w:line="500" w:lineRule="exact"/>
        <w:ind w:firstLine="480"/>
        <w:jc w:val="both"/>
      </w:pPr>
      <w:r>
        <w:rPr>
          <w:rFonts w:ascii="仿宋_GB2312" w:hAnsi="仿宋_GB2312" w:eastAsia="仿宋_GB2312"/>
          <w:b w:val="0"/>
          <w:sz w:val="24"/>
        </w:rPr>
        <w:t>现阶段更值得强调的壁垒，是项目对场景的聚焦能力、样本沉淀能力和产品表达能力。随着样本规模扩大、区域案例增多和流程逐步标准化，项目有机会形成“数据越积越多、模型越训越稳、场景越做越深”的积累式优势，这也是高校团队项目在早期最现实、最可持续的竞争路径。</w:t>
      </w:r>
    </w:p>
    <w:p>
      <w:pPr>
        <w:sectPr>
          <w:pgSz w:w="11906" w:h="16838"/>
          <w:pgMar w:top="1417" w:right="1417" w:bottom="1417" w:left="1417" w:header="850" w:footer="992" w:gutter="0"/>
          <w:cols w:space="720"/>
          <w:docGrid w:linePitch="360"/>
        </w:sectPr>
      </w:pPr>
    </w:p>
    <w:p>
      <w:pPr>
        <w:pStyle w:val="Heading1"/>
        <w:spacing w:before="0" w:after="0" w:line="500" w:lineRule="exact"/>
        <w:ind w:firstLine="0"/>
        <w:jc w:val="left"/>
      </w:pPr>
      <w:r>
        <w:rPr>
          <w:rFonts w:ascii="黑体" w:hAnsi="黑体" w:eastAsia="黑体"/>
          <w:b w:val="0"/>
          <w:sz w:val="32"/>
        </w:rPr>
        <w:t>第五章 技术策略</w:t>
      </w:r>
    </w:p>
    <w:p>
      <w:pPr>
        <w:spacing w:before="0" w:after="0" w:line="500" w:lineRule="exact"/>
        <w:ind w:firstLine="480"/>
        <w:jc w:val="both"/>
      </w:pPr>
      <w:r>
        <w:rPr>
          <w:rFonts w:ascii="仿宋_GB2312" w:hAnsi="仿宋_GB2312" w:eastAsia="仿宋_GB2312"/>
          <w:b w:val="0"/>
          <w:sz w:val="24"/>
        </w:rPr>
        <w:t>第五章不把技术写成论文式堆砌，而是把它还原成一条可执行的业务链路：样本怎么采、标签怎么对、模型怎么训、页面怎么接、报告怎么出。因为对橙源智鉴来说，真正有价值的不是某个模型单次跑出多高分，而是合作方拿到结果后能不能用、能不能复核、能不能继续沉淀成下一轮数据资产。</w:t>
      </w:r>
    </w:p>
    <w:p>
      <w:pPr>
        <w:pStyle w:val="Heading2"/>
        <w:spacing w:before="0" w:after="0" w:line="500" w:lineRule="exact"/>
        <w:ind w:firstLine="0"/>
        <w:jc w:val="left"/>
      </w:pPr>
      <w:r>
        <w:rPr>
          <w:rFonts w:ascii="楷体_GB2312" w:hAnsi="楷体_GB2312" w:eastAsia="楷体_GB2312"/>
          <w:b w:val="0"/>
          <w:sz w:val="32"/>
        </w:rPr>
        <w:t>5.1 总体技术路线</w:t>
      </w:r>
    </w:p>
    <w:p>
      <w:pPr>
        <w:pStyle w:val="Heading3"/>
        <w:spacing w:before="0" w:after="0" w:line="500" w:lineRule="exact"/>
        <w:ind w:firstLine="0"/>
        <w:jc w:val="left"/>
      </w:pPr>
      <w:r>
        <w:rPr>
          <w:rFonts w:ascii="仿宋_GB2312" w:hAnsi="仿宋_GB2312" w:eastAsia="仿宋_GB2312"/>
          <w:b w:val="0"/>
          <w:sz w:val="28"/>
        </w:rPr>
        <w:t>5.1.1 样本采集与标签体系</w:t>
      </w:r>
    </w:p>
    <w:p>
      <w:pPr>
        <w:spacing w:before="0" w:after="0" w:line="500" w:lineRule="exact"/>
        <w:ind w:firstLine="480"/>
        <w:jc w:val="both"/>
      </w:pPr>
      <w:r>
        <w:rPr>
          <w:rFonts w:ascii="仿宋_GB2312" w:hAnsi="仿宋_GB2312" w:eastAsia="仿宋_GB2312"/>
          <w:b w:val="0"/>
          <w:sz w:val="24"/>
        </w:rPr>
        <w:t>橙源智鉴的技术路线，应当从样本体系而不是从模型口号出发。项目面向的是产地识别与品质预测双任务，因此样本采集阶段就需要同步记录产地、批次、成熟度、采后时间、检测日期以及糖度（SSC）、酸度（TA）、糖酸比、维生素C等理化标签，尽量减少后期因标签缺失带来的建模偏差。</w:t>
      </w:r>
    </w:p>
    <w:p>
      <w:pPr>
        <w:spacing w:before="0" w:after="0" w:line="500" w:lineRule="exact"/>
        <w:ind w:firstLine="480"/>
        <w:jc w:val="both"/>
      </w:pPr>
      <w:r>
        <w:rPr>
          <w:rFonts w:ascii="仿宋_GB2312" w:hAnsi="仿宋_GB2312" w:eastAsia="仿宋_GB2312"/>
          <w:b w:val="0"/>
          <w:sz w:val="24"/>
        </w:rPr>
        <w:t>结合当前项目基础来看，系统已经沉淀了 `mockData.json` 形式的样例字段，并具备澄迈、琼中等样本曲线展示与指标展示逻辑。这说明项目并不是停留在概念层，而是已经形成了数据组织雏形。下一步更关键的工作，是把样例数据进一步扩展为可用于训练、验证和复核的标准化样本库。</w:t>
      </w:r>
    </w:p>
    <w:p>
      <w:pPr>
        <w:pStyle w:val="Heading3"/>
        <w:spacing w:before="0" w:after="0" w:line="500" w:lineRule="exact"/>
        <w:ind w:firstLine="0"/>
        <w:jc w:val="left"/>
      </w:pPr>
      <w:r>
        <w:rPr>
          <w:rFonts w:ascii="仿宋_GB2312" w:hAnsi="仿宋_GB2312" w:eastAsia="仿宋_GB2312"/>
          <w:b w:val="0"/>
          <w:sz w:val="28"/>
        </w:rPr>
        <w:t>5.1.2 数据处理与多任务建模</w:t>
      </w:r>
    </w:p>
    <w:p>
      <w:pPr>
        <w:spacing w:before="0" w:after="0" w:line="500" w:lineRule="exact"/>
        <w:ind w:firstLine="480"/>
        <w:jc w:val="both"/>
      </w:pPr>
      <w:r>
        <w:rPr>
          <w:rFonts w:ascii="仿宋_GB2312" w:hAnsi="仿宋_GB2312" w:eastAsia="仿宋_GB2312"/>
          <w:b w:val="0"/>
          <w:sz w:val="24"/>
        </w:rPr>
        <w:t>在数据进入模型前，需要围绕去噪、归一化、波段筛选和标签对齐建立稳定流程。高光谱数据天然维度较高，若直接全波段建模，容易出现冗余信息过多、训练成本偏高和模型可迁移性不足的问题。因此，项目更适合采用“预处理 + 特征提取 + 分类/回归并行建模”的路线，把产地识别与品质预测分别优化、再统一输出。</w:t>
      </w:r>
    </w:p>
    <w:p>
      <w:pPr>
        <w:spacing w:before="0" w:after="0" w:line="500" w:lineRule="exact"/>
        <w:ind w:firstLine="480"/>
        <w:jc w:val="both"/>
      </w:pPr>
      <w:r>
        <w:rPr>
          <w:rFonts w:ascii="仿宋_GB2312" w:hAnsi="仿宋_GB2312" w:eastAsia="仿宋_GB2312"/>
          <w:b w:val="0"/>
          <w:sz w:val="24"/>
        </w:rPr>
        <w:t>具体而言，产地识别任务可重点关注类别边界与跨批次稳定性，品质预测任务则更关注回归误差、可解释性和区间波动。双任务并行的技术路径能够让平台既回答“这批果子大概率来自哪里”，也回答“这批果子的核心品质指标大致处于什么水平”，从而更贴近真实业务需要。</w:t>
      </w:r>
    </w:p>
    <w:p>
      <w:pPr>
        <w:pStyle w:val="Heading3"/>
        <w:spacing w:before="0" w:after="0" w:line="500" w:lineRule="exact"/>
        <w:ind w:firstLine="0"/>
        <w:jc w:val="left"/>
      </w:pPr>
      <w:r>
        <w:rPr>
          <w:rFonts w:ascii="仿宋_GB2312" w:hAnsi="仿宋_GB2312" w:eastAsia="仿宋_GB2312"/>
          <w:b w:val="0"/>
          <w:sz w:val="28"/>
        </w:rPr>
        <w:t>5.1.3 平台集成与结果输出</w:t>
      </w:r>
    </w:p>
    <w:p>
      <w:pPr>
        <w:spacing w:before="0" w:after="0" w:line="500" w:lineRule="exact"/>
        <w:ind w:firstLine="480"/>
        <w:jc w:val="both"/>
      </w:pPr>
      <w:r>
        <w:rPr>
          <w:rFonts w:ascii="仿宋_GB2312" w:hAnsi="仿宋_GB2312" w:eastAsia="仿宋_GB2312"/>
          <w:b w:val="0"/>
          <w:sz w:val="24"/>
        </w:rPr>
        <w:t>技术路线的最后一环不是停在模型分数，而是停在可被使用的产品结果。当前项目已完成首页、可视化大屏、智能样本分析、模型与可解释AI、历史记录等页面原型，说明平台层已经具备承接分析结果的载体。后续技术建设应继续沿着“模型推理结果进入页面呈现，页面再生成报告表达”的闭环推进，而不是把算法与产品割裂开来。</w:t>
      </w:r>
    </w:p>
    <w:p>
      <w:pPr>
        <w:spacing w:before="0" w:after="0" w:line="500" w:lineRule="exact"/>
        <w:ind w:firstLine="480"/>
        <w:jc w:val="both"/>
      </w:pPr>
      <w:r>
        <w:rPr>
          <w:rFonts w:ascii="仿宋_GB2312" w:hAnsi="仿宋_GB2312" w:eastAsia="仿宋_GB2312"/>
          <w:b w:val="0"/>
          <w:sz w:val="24"/>
        </w:rPr>
        <w:t>换句话说，第五章所讨论的技术路线，本质上不是单独做一套实验，而是要把数据采集、模型训练、页面交互、历史留痕和图文化报告连成一条完整链路。只有这样，技术优势才能真正转化为可展示、可试点、可合作的项目能力。</w:t>
      </w:r>
    </w:p>
    <w:p>
      <w:pPr>
        <w:pStyle w:val="Heading2"/>
        <w:spacing w:before="0" w:after="0" w:line="500" w:lineRule="exact"/>
        <w:ind w:firstLine="0"/>
        <w:jc w:val="left"/>
      </w:pPr>
      <w:r>
        <w:rPr>
          <w:rFonts w:ascii="楷体_GB2312" w:hAnsi="楷体_GB2312" w:eastAsia="楷体_GB2312"/>
          <w:b w:val="0"/>
          <w:sz w:val="32"/>
        </w:rPr>
        <w:t>5.2 实验设计与标准化流程</w:t>
      </w:r>
    </w:p>
    <w:p>
      <w:pPr>
        <w:pStyle w:val="Heading3"/>
        <w:spacing w:before="0" w:after="0" w:line="500" w:lineRule="exact"/>
        <w:ind w:firstLine="0"/>
        <w:jc w:val="left"/>
      </w:pPr>
      <w:r>
        <w:rPr>
          <w:rFonts w:ascii="仿宋_GB2312" w:hAnsi="仿宋_GB2312" w:eastAsia="仿宋_GB2312"/>
          <w:b w:val="0"/>
          <w:sz w:val="28"/>
        </w:rPr>
        <w:t>5.2.1 样本分层设计</w:t>
      </w:r>
    </w:p>
    <w:p>
      <w:pPr>
        <w:spacing w:before="0" w:after="0" w:line="500" w:lineRule="exact"/>
        <w:ind w:firstLine="480"/>
        <w:jc w:val="both"/>
      </w:pPr>
      <w:r>
        <w:rPr>
          <w:rFonts w:ascii="仿宋_GB2312" w:hAnsi="仿宋_GB2312" w:eastAsia="仿宋_GB2312"/>
          <w:b w:val="0"/>
          <w:sz w:val="24"/>
        </w:rPr>
        <w:t>实验设计首先要解决样本代表性问题。对于橙类项目而言，至少应围绕不同产地、不同批次、不同成熟度和不同品质区间进行分层采样，避免样本只集中于某一时间段或某一基地，导致模型学到的只是局部特征。若条件允许，还应把同一产地的不同采后天数和不同储运条件纳入样本设计，以增强模型面向真实业务场景的适应性。</w:t>
      </w:r>
    </w:p>
    <w:p>
      <w:pPr>
        <w:pStyle w:val="Heading3"/>
        <w:spacing w:before="0" w:after="0" w:line="500" w:lineRule="exact"/>
        <w:ind w:firstLine="0"/>
        <w:jc w:val="left"/>
      </w:pPr>
      <w:r>
        <w:rPr>
          <w:rFonts w:ascii="仿宋_GB2312" w:hAnsi="仿宋_GB2312" w:eastAsia="仿宋_GB2312"/>
          <w:b w:val="0"/>
          <w:sz w:val="28"/>
        </w:rPr>
        <w:t>5.2.2 采集环境与流程规范</w:t>
      </w:r>
    </w:p>
    <w:p>
      <w:pPr>
        <w:spacing w:before="0" w:after="0" w:line="500" w:lineRule="exact"/>
        <w:ind w:firstLine="480"/>
        <w:jc w:val="both"/>
      </w:pPr>
      <w:r>
        <w:rPr>
          <w:rFonts w:ascii="仿宋_GB2312" w:hAnsi="仿宋_GB2312" w:eastAsia="仿宋_GB2312"/>
          <w:b w:val="0"/>
          <w:sz w:val="24"/>
        </w:rPr>
        <w:t>在采集流程上，应尽量固定光照、距离、角度、背景和编号规则，保证每个样本都能回溯到对应的理化结果与采样信息。对于高光谱任务来说，采集条件的一致性几乎直接决定后续建模质量。项目当前可先从小规模标准化采集做起，把样本编号、图像命名、理化检测记录和页面录入字段统一，再逐步扩大样本规模。</w:t>
      </w:r>
    </w:p>
    <w:p>
      <w:pPr>
        <w:pStyle w:val="Heading3"/>
        <w:spacing w:before="0" w:after="0" w:line="500" w:lineRule="exact"/>
        <w:ind w:firstLine="0"/>
        <w:jc w:val="left"/>
      </w:pPr>
      <w:r>
        <w:rPr>
          <w:rFonts w:ascii="仿宋_GB2312" w:hAnsi="仿宋_GB2312" w:eastAsia="仿宋_GB2312"/>
          <w:b w:val="0"/>
          <w:sz w:val="28"/>
        </w:rPr>
        <w:t>5.2.3 训练验证与迭代机制</w:t>
      </w:r>
    </w:p>
    <w:p>
      <w:pPr>
        <w:spacing w:before="0" w:after="0" w:line="500" w:lineRule="exact"/>
        <w:ind w:firstLine="480"/>
        <w:jc w:val="both"/>
      </w:pPr>
      <w:r>
        <w:rPr>
          <w:rFonts w:ascii="仿宋_GB2312" w:hAnsi="仿宋_GB2312" w:eastAsia="仿宋_GB2312"/>
          <w:b w:val="0"/>
          <w:sz w:val="24"/>
        </w:rPr>
        <w:t>标准化流程还应覆盖训练验证机制。早期阶段可按训练集、验证集、测试集进行基础划分，同时尽量保留跨批次样本用于盲测，避免模型只在同批次数据上表现较好。每一轮模型更新后，都应记录数据版本、特征处理方式、评价指标和异常样本情况，逐步建立起可复现、可比较的研发台账，而不是依赖一次性的最好结果。</w:t>
      </w:r>
    </w:p>
    <w:p>
      <w:pPr>
        <w:pStyle w:val="Heading2"/>
        <w:spacing w:before="0" w:after="0" w:line="500" w:lineRule="exact"/>
        <w:ind w:firstLine="0"/>
        <w:jc w:val="left"/>
      </w:pPr>
      <w:r>
        <w:rPr>
          <w:rFonts w:ascii="楷体_GB2312" w:hAnsi="楷体_GB2312" w:eastAsia="楷体_GB2312"/>
          <w:b w:val="0"/>
          <w:sz w:val="32"/>
        </w:rPr>
        <w:t>5.3 核心算法与模型策略</w:t>
      </w:r>
    </w:p>
    <w:p>
      <w:pPr>
        <w:pStyle w:val="Heading3"/>
        <w:spacing w:before="0" w:after="0" w:line="500" w:lineRule="exact"/>
        <w:ind w:firstLine="0"/>
        <w:jc w:val="left"/>
      </w:pPr>
      <w:r>
        <w:rPr>
          <w:rFonts w:ascii="仿宋_GB2312" w:hAnsi="仿宋_GB2312" w:eastAsia="仿宋_GB2312"/>
          <w:b w:val="0"/>
          <w:sz w:val="28"/>
        </w:rPr>
        <w:t>5.3.1 产地分类模型路径</w:t>
      </w:r>
    </w:p>
    <w:p>
      <w:pPr>
        <w:spacing w:before="0" w:after="0" w:line="500" w:lineRule="exact"/>
        <w:ind w:firstLine="480"/>
        <w:jc w:val="both"/>
      </w:pPr>
      <w:r>
        <w:rPr>
          <w:rFonts w:ascii="仿宋_GB2312" w:hAnsi="仿宋_GB2312" w:eastAsia="仿宋_GB2312"/>
          <w:b w:val="0"/>
          <w:sz w:val="24"/>
        </w:rPr>
        <w:t>当前项目原型已经给出了较清晰的模型对比思路，团队围绕 1D-CNN、SVM、PLS-DA、随机森林等分类路径建立了展示框架。这一设计是合理的，因为产地识别既需要考虑传统小样本模型的稳定性，也需要考虑深度模型在复杂特征提取上的潜力。正式研发时，可先以可解释性较强、对小样本更友好的基线模型建立参照，再逐步引入 1D-CNN 等模型提升分类能力。</w:t>
      </w:r>
    </w:p>
    <w:p>
      <w:pPr>
        <w:pStyle w:val="Heading3"/>
        <w:spacing w:before="0" w:after="0" w:line="500" w:lineRule="exact"/>
        <w:ind w:firstLine="0"/>
        <w:jc w:val="left"/>
      </w:pPr>
      <w:r>
        <w:rPr>
          <w:rFonts w:ascii="仿宋_GB2312" w:hAnsi="仿宋_GB2312" w:eastAsia="仿宋_GB2312"/>
          <w:b w:val="0"/>
          <w:sz w:val="28"/>
        </w:rPr>
        <w:t>5.3.2 品质回归模型路径</w:t>
      </w:r>
    </w:p>
    <w:p>
      <w:pPr>
        <w:spacing w:before="0" w:after="0" w:line="500" w:lineRule="exact"/>
        <w:ind w:firstLine="480"/>
        <w:jc w:val="both"/>
      </w:pPr>
      <w:r>
        <w:rPr>
          <w:rFonts w:ascii="仿宋_GB2312" w:hAnsi="仿宋_GB2312" w:eastAsia="仿宋_GB2312"/>
          <w:b w:val="0"/>
          <w:sz w:val="24"/>
        </w:rPr>
        <w:t>在品质预测方面，项目现有原型已经围绕 1D-CNN-Reg、PLSR、SVR、XGBoost 等回归路线构建了展示模块，这与橙类品质预测的任务特征较为契合。糖度、酸度、糖酸比、维生素C等指标既有一定线性关联，也可能包含非线性结构，因此更适合采用“传统回归模型做基线 + 非线性模型做增强”的策略，逐步比较不同指标在不同模型上的适配度。</w:t>
      </w:r>
    </w:p>
    <w:p>
      <w:pPr>
        <w:pStyle w:val="Heading3"/>
        <w:spacing w:before="0" w:after="0" w:line="500" w:lineRule="exact"/>
        <w:ind w:firstLine="0"/>
        <w:jc w:val="left"/>
      </w:pPr>
      <w:r>
        <w:rPr>
          <w:rFonts w:ascii="仿宋_GB2312" w:hAnsi="仿宋_GB2312" w:eastAsia="仿宋_GB2312"/>
          <w:b w:val="0"/>
          <w:sz w:val="28"/>
        </w:rPr>
        <w:t>5.3.3 可解释分析与异常预警</w:t>
      </w:r>
    </w:p>
    <w:p>
      <w:pPr>
        <w:spacing w:before="0" w:after="0" w:line="500" w:lineRule="exact"/>
        <w:ind w:firstLine="480"/>
        <w:jc w:val="both"/>
      </w:pPr>
      <w:r>
        <w:rPr>
          <w:rFonts w:ascii="仿宋_GB2312" w:hAnsi="仿宋_GB2312" w:eastAsia="仿宋_GB2312"/>
          <w:b w:val="0"/>
          <w:sz w:val="24"/>
        </w:rPr>
        <w:t>考虑到品牌果品场景对可信表达的要求较高，项目不能只输出一个结论，还需要输出“为什么这么判断”。当前原型已经加入特征重要性与可解释AI展示模块，这一方向值得保留和深化。后续可围绕关键波段贡献、典型样本对比和异常样本提示构建解释层，使模型结果更容易被非技术用户理解，也更有利于后续形成报告模板和试点沟通材料。</w:t>
      </w:r>
    </w:p>
    <w:p>
      <w:pPr>
        <w:pStyle w:val="Heading2"/>
        <w:spacing w:before="0" w:after="0" w:line="500" w:lineRule="exact"/>
        <w:ind w:firstLine="0"/>
        <w:jc w:val="left"/>
      </w:pPr>
      <w:r>
        <w:rPr>
          <w:rFonts w:ascii="楷体_GB2312" w:hAnsi="楷体_GB2312" w:eastAsia="楷体_GB2312"/>
          <w:b w:val="0"/>
          <w:sz w:val="32"/>
        </w:rPr>
        <w:t>5.4 光谱机理与特征指纹</w:t>
      </w:r>
    </w:p>
    <w:p>
      <w:pPr>
        <w:pStyle w:val="Heading3"/>
        <w:spacing w:before="0" w:after="0" w:line="500" w:lineRule="exact"/>
        <w:ind w:firstLine="0"/>
        <w:jc w:val="left"/>
      </w:pPr>
      <w:r>
        <w:rPr>
          <w:rFonts w:ascii="仿宋_GB2312" w:hAnsi="仿宋_GB2312" w:eastAsia="仿宋_GB2312"/>
          <w:b w:val="0"/>
          <w:sz w:val="28"/>
        </w:rPr>
        <w:t>5.4.1 色素变化与成熟度响应</w:t>
      </w:r>
    </w:p>
    <w:p>
      <w:pPr>
        <w:spacing w:before="0" w:after="0" w:line="500" w:lineRule="exact"/>
        <w:ind w:firstLine="480"/>
        <w:jc w:val="both"/>
      </w:pPr>
      <w:r>
        <w:rPr>
          <w:rFonts w:ascii="仿宋_GB2312" w:hAnsi="仿宋_GB2312" w:eastAsia="仿宋_GB2312"/>
          <w:b w:val="0"/>
          <w:sz w:val="24"/>
        </w:rPr>
        <w:t>橙类样本在成熟过程中，果皮色泽、叶绿素衰减和类胡萝卜素累积会带来可见光波段的显著差异，这也是高光谱技术能够识别成熟状态和部分产地差异的重要原因之一。对项目而言，这类变化并不只是“看起来更黄或更绿”，而是可以通过连续波段响应被转化为可计算的特征序列，为分类和回归任务提供底层依据。</w:t>
      </w:r>
    </w:p>
    <w:p>
      <w:pPr>
        <w:pStyle w:val="Heading3"/>
        <w:spacing w:before="0" w:after="0" w:line="500" w:lineRule="exact"/>
        <w:ind w:firstLine="0"/>
        <w:jc w:val="left"/>
      </w:pPr>
      <w:r>
        <w:rPr>
          <w:rFonts w:ascii="仿宋_GB2312" w:hAnsi="仿宋_GB2312" w:eastAsia="仿宋_GB2312"/>
          <w:b w:val="0"/>
          <w:sz w:val="28"/>
        </w:rPr>
        <w:t>5.4.2 水分、糖酸与组织结构信息</w:t>
      </w:r>
    </w:p>
    <w:p>
      <w:pPr>
        <w:spacing w:before="0" w:after="0" w:line="500" w:lineRule="exact"/>
        <w:ind w:firstLine="480"/>
        <w:jc w:val="both"/>
      </w:pPr>
      <w:r>
        <w:rPr>
          <w:rFonts w:ascii="仿宋_GB2312" w:hAnsi="仿宋_GB2312" w:eastAsia="仿宋_GB2312"/>
          <w:b w:val="0"/>
          <w:sz w:val="24"/>
        </w:rPr>
        <w:t>除了外观色泽相关信息，果品内部的水分状态、糖酸水平和组织结构差异，也会在特定波段形成可利用的响应特征。虽然这些信息最终仍需要通过理化标签完成标定，但高光谱的优势就在于能够把原本难以直接观察的内部品质线索，以非破坏方式转化为建模输入。这正是项目能同时承接产地识别和品质预测双任务的技术基础。</w:t>
      </w:r>
    </w:p>
    <w:p>
      <w:pPr>
        <w:pStyle w:val="Heading3"/>
        <w:spacing w:before="0" w:after="0" w:line="500" w:lineRule="exact"/>
        <w:ind w:firstLine="0"/>
        <w:jc w:val="left"/>
      </w:pPr>
      <w:r>
        <w:rPr>
          <w:rFonts w:ascii="仿宋_GB2312" w:hAnsi="仿宋_GB2312" w:eastAsia="仿宋_GB2312"/>
          <w:b w:val="0"/>
          <w:sz w:val="28"/>
        </w:rPr>
        <w:t>5.4.3 特征波段库与区域指纹沉淀</w:t>
      </w:r>
    </w:p>
    <w:p>
      <w:pPr>
        <w:spacing w:before="0" w:after="0" w:line="500" w:lineRule="exact"/>
        <w:ind w:firstLine="480"/>
        <w:jc w:val="both"/>
      </w:pPr>
      <w:r>
        <w:rPr>
          <w:rFonts w:ascii="仿宋_GB2312" w:hAnsi="仿宋_GB2312" w:eastAsia="仿宋_GB2312"/>
          <w:b w:val="0"/>
          <w:sz w:val="24"/>
        </w:rPr>
        <w:t>项目需要逐步沉淀稳定的特征波段库与区域样本指纹库。当前原型已经尝试用关键波段重要性和可解释图示说明模型判断依据，后续需要把这些展示进一步落到实测样本复核上，逐步确认哪些波段对澄迈、琼中等区域样本最有区分价值。随着样本不断增加，项目可积累产地特征对照数据、品质区间对照数据和异常样本案例库，作为后续模型迭代和场景复制的基础。</w:t>
      </w:r>
    </w:p>
    <w:p>
      <w:pPr>
        <w:sectPr>
          <w:pgSz w:w="11906" w:h="16838"/>
          <w:pgMar w:top="1417" w:right="1417" w:bottom="1417" w:left="1417" w:header="850" w:footer="992" w:gutter="0"/>
          <w:cols w:space="720"/>
          <w:docGrid w:linePitch="360"/>
        </w:sectPr>
      </w:pPr>
    </w:p>
    <w:p>
      <w:pPr>
        <w:pStyle w:val="Heading1"/>
        <w:spacing w:before="0" w:after="0" w:line="500" w:lineRule="exact"/>
        <w:ind w:firstLine="0"/>
        <w:jc w:val="left"/>
      </w:pPr>
      <w:r>
        <w:rPr>
          <w:rFonts w:ascii="黑体" w:hAnsi="黑体" w:eastAsia="黑体"/>
          <w:b w:val="0"/>
          <w:sz w:val="32"/>
        </w:rPr>
        <w:t>第六章 产品策略</w:t>
      </w:r>
    </w:p>
    <w:p>
      <w:pPr>
        <w:spacing w:before="0" w:after="0" w:line="500" w:lineRule="exact"/>
        <w:ind w:firstLine="480"/>
        <w:jc w:val="both"/>
      </w:pPr>
      <w:r>
        <w:rPr>
          <w:rFonts w:ascii="仿宋_GB2312" w:hAnsi="仿宋_GB2312" w:eastAsia="仿宋_GB2312"/>
          <w:b w:val="0"/>
          <w:sz w:val="24"/>
        </w:rPr>
        <w:t>产品交付分为展示版、试点版和报告版，后续可扩展到年度服务和定制开发。</w:t>
      </w:r>
    </w:p>
    <w:p>
      <w:pPr>
        <w:pStyle w:val="Heading2"/>
        <w:spacing w:before="0" w:after="0" w:line="500" w:lineRule="exact"/>
        <w:ind w:firstLine="0"/>
        <w:jc w:val="left"/>
      </w:pPr>
      <w:r>
        <w:rPr>
          <w:rFonts w:ascii="楷体_GB2312" w:hAnsi="楷体_GB2312" w:eastAsia="楷体_GB2312"/>
          <w:b w:val="0"/>
          <w:sz w:val="32"/>
        </w:rPr>
        <w:t>6.1 产品定位与交付形态</w:t>
      </w:r>
    </w:p>
    <w:p>
      <w:pPr>
        <w:pStyle w:val="Heading3"/>
        <w:spacing w:before="0" w:after="0" w:line="500" w:lineRule="exact"/>
        <w:ind w:firstLine="0"/>
        <w:jc w:val="left"/>
      </w:pPr>
      <w:r>
        <w:rPr>
          <w:rFonts w:ascii="仿宋_GB2312" w:hAnsi="仿宋_GB2312" w:eastAsia="仿宋_GB2312"/>
          <w:b w:val="0"/>
          <w:sz w:val="28"/>
        </w:rPr>
        <w:t>6.1.1 从展示型原型走向试点型系统</w:t>
      </w:r>
    </w:p>
    <w:p>
      <w:pPr>
        <w:spacing w:before="0" w:after="0" w:line="500" w:lineRule="exact"/>
        <w:ind w:firstLine="480"/>
        <w:jc w:val="both"/>
      </w:pPr>
      <w:r>
        <w:rPr>
          <w:rFonts w:ascii="仿宋_GB2312" w:hAnsi="仿宋_GB2312" w:eastAsia="仿宋_GB2312"/>
          <w:b w:val="0"/>
          <w:sz w:val="24"/>
        </w:rPr>
        <w:t>橙源智鉴已经形成“项目介绍、数据展示、样本分析、模型解释、历史留痕”相互衔接的数字化原型，具备试点验证和合作沟通所需的基础展示能力。下一步重点是把现有原型升级为可交付的系统版本。</w:t>
      </w:r>
    </w:p>
    <w:p>
      <w:pPr>
        <w:pStyle w:val="Heading3"/>
        <w:spacing w:before="0" w:after="0" w:line="500" w:lineRule="exact"/>
        <w:ind w:firstLine="0"/>
        <w:jc w:val="left"/>
      </w:pPr>
      <w:r>
        <w:rPr>
          <w:rFonts w:ascii="仿宋_GB2312" w:hAnsi="仿宋_GB2312" w:eastAsia="仿宋_GB2312"/>
          <w:b w:val="0"/>
          <w:sz w:val="28"/>
        </w:rPr>
        <w:t>6.1.2 功能模块闭环</w:t>
      </w:r>
    </w:p>
    <w:p>
      <w:pPr>
        <w:spacing w:before="0" w:after="0" w:line="500" w:lineRule="exact"/>
        <w:ind w:firstLine="480"/>
        <w:jc w:val="both"/>
      </w:pPr>
      <w:r>
        <w:rPr>
          <w:rFonts w:ascii="仿宋_GB2312" w:hAnsi="仿宋_GB2312" w:eastAsia="仿宋_GB2312"/>
          <w:b w:val="0"/>
          <w:sz w:val="24"/>
        </w:rPr>
        <w:t>现有项目的模块分工已经比较清楚：首页负责项目定位与能力展示，可视化大屏负责总体样本与模型表现呈现，分析页承接单样本与对比分析，模型页负责性能评估与可解释逻辑，历史页则负责检测记录与报表回看。这一结构较适合继续向“样本输入—模型推理—结果解释—历史沉淀—报告输出”的产品闭环延伸，因此产品演进不需要推倒重来，而是可以沿着现有框架逐步增强。</w:t>
      </w:r>
    </w:p>
    <w:p>
      <w:pPr>
        <w:pStyle w:val="Heading3"/>
        <w:spacing w:before="0" w:after="0" w:line="500" w:lineRule="exact"/>
        <w:ind w:firstLine="0"/>
        <w:jc w:val="left"/>
      </w:pPr>
      <w:r>
        <w:rPr>
          <w:rFonts w:ascii="仿宋_GB2312" w:hAnsi="仿宋_GB2312" w:eastAsia="仿宋_GB2312"/>
          <w:b w:val="0"/>
          <w:sz w:val="28"/>
        </w:rPr>
        <w:t>6.1.3 面向合作场景的交付形态</w:t>
      </w:r>
    </w:p>
    <w:p>
      <w:pPr>
        <w:spacing w:before="0" w:after="0" w:line="500" w:lineRule="exact"/>
        <w:ind w:firstLine="480"/>
        <w:jc w:val="both"/>
      </w:pPr>
      <w:r>
        <w:rPr>
          <w:rFonts w:ascii="仿宋_GB2312" w:hAnsi="仿宋_GB2312" w:eastAsia="仿宋_GB2312"/>
          <w:b w:val="0"/>
          <w:sz w:val="24"/>
        </w:rPr>
        <w:t>结合项目当前阶段，最适合的交付形态不是一上来就做重度平台部署，而是先形成“展示版 + 试点版 + 报告版”三种轻量化组合。展示版用于路演和合作介绍，试点版用于限定样本和限定场景验证，报告版则把结果输出为便于对外沟通的图文化材料。对合作方来说，这三部分合在一起才是一套完整交付：先看懂项目，再拿真实样本验证，最后把结果沉淀成可以拿去沟通和复盘的材料。</w:t>
      </w:r>
    </w:p>
    <w:p>
      <w:pPr>
        <w:pStyle w:val="Heading2"/>
        <w:spacing w:before="0" w:after="0" w:line="500" w:lineRule="exact"/>
        <w:ind w:firstLine="0"/>
        <w:jc w:val="left"/>
      </w:pPr>
      <w:r>
        <w:rPr>
          <w:rFonts w:ascii="楷体_GB2312" w:hAnsi="楷体_GB2312" w:eastAsia="楷体_GB2312"/>
          <w:b w:val="0"/>
          <w:sz w:val="32"/>
        </w:rPr>
        <w:t>6.2 产品分层与收费思路</w:t>
      </w:r>
    </w:p>
    <w:p>
      <w:pPr>
        <w:pStyle w:val="Heading3"/>
        <w:spacing w:before="0" w:after="0" w:line="500" w:lineRule="exact"/>
        <w:ind w:firstLine="0"/>
        <w:jc w:val="left"/>
      </w:pPr>
      <w:r>
        <w:rPr>
          <w:rFonts w:ascii="仿宋_GB2312" w:hAnsi="仿宋_GB2312" w:eastAsia="仿宋_GB2312"/>
          <w:b w:val="0"/>
          <w:sz w:val="28"/>
        </w:rPr>
        <w:t>6.2.1 展示与合作版</w:t>
      </w:r>
    </w:p>
    <w:p>
      <w:pPr>
        <w:spacing w:before="0" w:after="0" w:line="500" w:lineRule="exact"/>
        <w:ind w:firstLine="480"/>
        <w:jc w:val="both"/>
      </w:pPr>
      <w:r>
        <w:rPr>
          <w:rFonts w:ascii="仿宋_GB2312" w:hAnsi="仿宋_GB2312" w:eastAsia="仿宋_GB2312"/>
          <w:b w:val="0"/>
          <w:sz w:val="24"/>
        </w:rPr>
        <w:t>展示与合作版是项目当前最成熟的产品层，用于项目宣介、方案展示、校地合作交流和比赛答辩。该层产品强调的是“看得懂、讲得清、能快速形成第一印象”，其价值不在于直接变现，而在于为试点合作打开入口。对高校团队项目而言，这一层并不是附属材料，而是后续资源转化的前置抓手。</w:t>
      </w:r>
    </w:p>
    <w:p>
      <w:pPr>
        <w:pStyle w:val="Heading3"/>
        <w:spacing w:before="0" w:after="0" w:line="500" w:lineRule="exact"/>
        <w:ind w:firstLine="0"/>
        <w:jc w:val="left"/>
      </w:pPr>
      <w:r>
        <w:rPr>
          <w:rFonts w:ascii="仿宋_GB2312" w:hAnsi="仿宋_GB2312" w:eastAsia="仿宋_GB2312"/>
          <w:b w:val="0"/>
          <w:sz w:val="28"/>
        </w:rPr>
        <w:t>6.2.2 试点服务版</w:t>
      </w:r>
    </w:p>
    <w:p>
      <w:pPr>
        <w:spacing w:before="0" w:after="0" w:line="500" w:lineRule="exact"/>
        <w:ind w:firstLine="480"/>
        <w:jc w:val="both"/>
      </w:pPr>
      <w:r>
        <w:rPr>
          <w:rFonts w:ascii="仿宋_GB2312" w:hAnsi="仿宋_GB2312" w:eastAsia="仿宋_GB2312"/>
          <w:b w:val="0"/>
          <w:sz w:val="24"/>
        </w:rPr>
        <w:t>试点服务版面向果园、合作社、区域品牌主体和相关服务机构，围绕样本采集、分析验证、结果解读和试点复盘开展工作。交付内容包括样本范围确认、基础分析、批次结论和书面复盘。现阶段更适合采用“试点服务费 + 数据整理费 + 报告输出费”的组合方式，而不是过早走纯标准化软件订阅，这样既符合项目成长节奏，也能让团队在试点过程中不断修正产品能力。</w:t>
      </w:r>
    </w:p>
    <w:p>
      <w:pPr>
        <w:pStyle w:val="Heading3"/>
        <w:spacing w:before="0" w:after="0" w:line="500" w:lineRule="exact"/>
        <w:ind w:firstLine="0"/>
        <w:jc w:val="left"/>
      </w:pPr>
      <w:r>
        <w:rPr>
          <w:rFonts w:ascii="仿宋_GB2312" w:hAnsi="仿宋_GB2312" w:eastAsia="仿宋_GB2312"/>
          <w:b w:val="0"/>
          <w:sz w:val="28"/>
        </w:rPr>
        <w:t>6.2.3 平台订阅与定制版</w:t>
      </w:r>
    </w:p>
    <w:p>
      <w:pPr>
        <w:spacing w:before="0" w:after="0" w:line="500" w:lineRule="exact"/>
        <w:ind w:firstLine="480"/>
        <w:jc w:val="both"/>
      </w:pPr>
      <w:r>
        <w:rPr>
          <w:rFonts w:ascii="仿宋_GB2312" w:hAnsi="仿宋_GB2312" w:eastAsia="仿宋_GB2312"/>
          <w:b w:val="0"/>
          <w:sz w:val="24"/>
        </w:rPr>
        <w:t>当项目在样本积累、模型稳定性和案例沉淀上达到一定程度后，再逐步向平台订阅与定制版延伸会更稳妥。届时可根据合作方需求提供账号体系、历史样本管理、定制模型、专属报告模板以及联合项目开发服务，形成年度平台费、专项服务费和定制开发费等多元收入路径。这个层级不是当前最先要做的事，但需要提前在产品架构上留出扩展空间。</w:t>
      </w:r>
    </w:p>
    <w:p>
      <w:pPr>
        <w:pStyle w:val="Heading2"/>
        <w:spacing w:before="0" w:after="0" w:line="500" w:lineRule="exact"/>
        <w:ind w:firstLine="0"/>
        <w:jc w:val="left"/>
      </w:pPr>
      <w:r>
        <w:rPr>
          <w:rFonts w:ascii="楷体_GB2312" w:hAnsi="楷体_GB2312" w:eastAsia="楷体_GB2312"/>
          <w:b w:val="0"/>
          <w:sz w:val="32"/>
        </w:rPr>
        <w:t>6.3 实施与交付策略</w:t>
      </w:r>
    </w:p>
    <w:p>
      <w:pPr>
        <w:pStyle w:val="Heading3"/>
        <w:spacing w:before="0" w:after="0" w:line="500" w:lineRule="exact"/>
        <w:ind w:firstLine="0"/>
        <w:jc w:val="left"/>
      </w:pPr>
      <w:r>
        <w:rPr>
          <w:rFonts w:ascii="仿宋_GB2312" w:hAnsi="仿宋_GB2312" w:eastAsia="仿宋_GB2312"/>
          <w:b w:val="0"/>
          <w:sz w:val="28"/>
        </w:rPr>
        <w:t>6.3.1 试点前准备</w:t>
      </w:r>
    </w:p>
    <w:p>
      <w:pPr>
        <w:spacing w:before="0" w:after="0" w:line="500" w:lineRule="exact"/>
        <w:ind w:firstLine="480"/>
        <w:jc w:val="both"/>
      </w:pPr>
      <w:r>
        <w:rPr>
          <w:rFonts w:ascii="仿宋_GB2312" w:hAnsi="仿宋_GB2312" w:eastAsia="仿宋_GB2312"/>
          <w:b w:val="0"/>
          <w:sz w:val="24"/>
        </w:rPr>
        <w:t>实施前最重要的工作，是把样本范围、交付目标、采样流程、理化标签、输出形式和复盘方式谈清楚。对于橙源智鉴这样的项目，试点准备是否充分，往往直接决定合作方后续对结果的理解和信任程度。因此，交付前应形成一套简洁但明确的试点说明书，至少写清样本清单、采样时间、数据口径、结果展示方式、交付时间点和责任边界，尽可能减少双方对能力边界的误判。</w:t>
      </w:r>
    </w:p>
    <w:p>
      <w:pPr>
        <w:pStyle w:val="Heading3"/>
        <w:spacing w:before="0" w:after="0" w:line="500" w:lineRule="exact"/>
        <w:ind w:firstLine="0"/>
        <w:jc w:val="left"/>
      </w:pPr>
      <w:r>
        <w:rPr>
          <w:rFonts w:ascii="仿宋_GB2312" w:hAnsi="仿宋_GB2312" w:eastAsia="仿宋_GB2312"/>
          <w:b w:val="0"/>
          <w:sz w:val="28"/>
        </w:rPr>
        <w:t>6.3.2 现场部署与人员培训</w:t>
      </w:r>
    </w:p>
    <w:p>
      <w:pPr>
        <w:spacing w:before="0" w:after="0" w:line="500" w:lineRule="exact"/>
        <w:ind w:firstLine="480"/>
        <w:jc w:val="both"/>
      </w:pPr>
      <w:r>
        <w:rPr>
          <w:rFonts w:ascii="仿宋_GB2312" w:hAnsi="仿宋_GB2312" w:eastAsia="仿宋_GB2312"/>
          <w:b w:val="0"/>
          <w:sz w:val="24"/>
        </w:rPr>
        <w:t>进入试点现场后，团队既要处理数据侧的接入与校验，也要完成使用侧的说明与培训。前者关注样本编号、理化结果和页面展示能否顺利对应，后者则关注合作方是否真正理解“哪些结果可以直接使用、哪些结果仍需复核”。对于当前阶段的项目而言，清楚交代能力边界比夸大效果更有助于建立长期信任。</w:t>
      </w:r>
    </w:p>
    <w:p>
      <w:pPr>
        <w:pStyle w:val="Heading3"/>
        <w:spacing w:before="0" w:after="0" w:line="500" w:lineRule="exact"/>
        <w:ind w:firstLine="0"/>
        <w:jc w:val="left"/>
      </w:pPr>
      <w:r>
        <w:rPr>
          <w:rFonts w:ascii="仿宋_GB2312" w:hAnsi="仿宋_GB2312" w:eastAsia="仿宋_GB2312"/>
          <w:b w:val="0"/>
          <w:sz w:val="28"/>
        </w:rPr>
        <w:t>6.3.3 复盘迭代与版本升级</w:t>
      </w:r>
    </w:p>
    <w:p>
      <w:pPr>
        <w:spacing w:before="0" w:after="0" w:line="500" w:lineRule="exact"/>
        <w:ind w:firstLine="480"/>
        <w:jc w:val="both"/>
      </w:pPr>
      <w:r>
        <w:rPr>
          <w:rFonts w:ascii="仿宋_GB2312" w:hAnsi="仿宋_GB2312" w:eastAsia="仿宋_GB2312"/>
          <w:b w:val="0"/>
          <w:sz w:val="24"/>
        </w:rPr>
        <w:t>每一次试点结束后，都应形成结构化复盘，包括样本补充建议、误差来源、用户反馈、报告表达优化和下一轮版本调整点。更具体地说，试点结束后至少应留下三类成果：一份批次结果报告、一份内部问题清单、以及一版更新后的页面或报告模板。只有把这些信息持续反馈回产品脚本和原型结构中，项目才能从“做出一个演示系统”逐步走向“拥有可复制交付逻辑的产品系统”。</w:t>
      </w:r>
    </w:p>
    <w:p>
      <w:pPr>
        <w:pStyle w:val="Heading2"/>
        <w:spacing w:before="0" w:after="0" w:line="500" w:lineRule="exact"/>
        <w:ind w:firstLine="0"/>
        <w:jc w:val="left"/>
      </w:pPr>
      <w:r>
        <w:rPr>
          <w:rFonts w:ascii="楷体_GB2312" w:hAnsi="楷体_GB2312" w:eastAsia="楷体_GB2312"/>
          <w:b w:val="0"/>
          <w:sz w:val="32"/>
        </w:rPr>
        <w:t>6.4 推广与销售模式</w:t>
      </w:r>
    </w:p>
    <w:p>
      <w:pPr>
        <w:pStyle w:val="Heading3"/>
        <w:spacing w:before="0" w:after="0" w:line="500" w:lineRule="exact"/>
        <w:ind w:firstLine="0"/>
        <w:jc w:val="left"/>
      </w:pPr>
      <w:r>
        <w:rPr>
          <w:rFonts w:ascii="仿宋_GB2312" w:hAnsi="仿宋_GB2312" w:eastAsia="仿宋_GB2312"/>
          <w:b w:val="0"/>
          <w:sz w:val="28"/>
        </w:rPr>
        <w:t>6.4.1 标杆场景牵引</w:t>
      </w:r>
    </w:p>
    <w:p>
      <w:pPr>
        <w:spacing w:before="0" w:after="0" w:line="500" w:lineRule="exact"/>
        <w:ind w:firstLine="480"/>
        <w:jc w:val="both"/>
      </w:pPr>
      <w:r>
        <w:rPr>
          <w:rFonts w:ascii="仿宋_GB2312" w:hAnsi="仿宋_GB2312" w:eastAsia="仿宋_GB2312"/>
          <w:b w:val="0"/>
          <w:sz w:val="24"/>
        </w:rPr>
        <w:t>在当前阶段，橙源智鉴更合适的推广方式不是大范围铺开，而是先围绕少量具有辨识度的标杆场景建立案例。澄迈福橙、琼中绿橙等对象本身就具有区域品牌属性和传播价值，一旦形成较完整的验证案例，就能同时服务于比赛展示、校地合作和后续市场拓展。</w:t>
      </w:r>
    </w:p>
    <w:p>
      <w:pPr>
        <w:pStyle w:val="Heading3"/>
        <w:spacing w:before="0" w:after="0" w:line="500" w:lineRule="exact"/>
        <w:ind w:firstLine="0"/>
        <w:jc w:val="left"/>
      </w:pPr>
      <w:r>
        <w:rPr>
          <w:rFonts w:ascii="仿宋_GB2312" w:hAnsi="仿宋_GB2312" w:eastAsia="仿宋_GB2312"/>
          <w:b w:val="0"/>
          <w:sz w:val="28"/>
        </w:rPr>
        <w:t>6.4.2 校地合作与项目联动</w:t>
      </w:r>
    </w:p>
    <w:p>
      <w:pPr>
        <w:spacing w:before="0" w:after="0" w:line="500" w:lineRule="exact"/>
        <w:ind w:firstLine="480"/>
        <w:jc w:val="both"/>
      </w:pPr>
      <w:r>
        <w:rPr>
          <w:rFonts w:ascii="仿宋_GB2312" w:hAnsi="仿宋_GB2312" w:eastAsia="仿宋_GB2312"/>
          <w:b w:val="0"/>
          <w:sz w:val="24"/>
        </w:rPr>
        <w:t>依托高校资源成长的项目，更适合采取校地合作、项目联动和场景共建的推广路径。一方面，可通过地方农业服务机构、品牌果品主体和区域服务平台寻找试点对象；另一方面，也可借助创新创业赛事、科技活动和项目路演积累影响力。这种推广节奏虽然不快，但更符合当前项目的成熟度与可信度建设规律。</w:t>
      </w:r>
    </w:p>
    <w:p>
      <w:pPr>
        <w:pStyle w:val="Heading3"/>
        <w:spacing w:before="0" w:after="0" w:line="500" w:lineRule="exact"/>
        <w:ind w:firstLine="0"/>
        <w:jc w:val="left"/>
      </w:pPr>
      <w:r>
        <w:rPr>
          <w:rFonts w:ascii="仿宋_GB2312" w:hAnsi="仿宋_GB2312" w:eastAsia="仿宋_GB2312"/>
          <w:b w:val="0"/>
          <w:sz w:val="28"/>
        </w:rPr>
        <w:t>6.4.3 联合方案与渠道合作</w:t>
      </w:r>
    </w:p>
    <w:p>
      <w:pPr>
        <w:spacing w:before="0" w:after="0" w:line="500" w:lineRule="exact"/>
        <w:ind w:firstLine="480"/>
        <w:jc w:val="both"/>
      </w:pPr>
      <w:r>
        <w:rPr>
          <w:rFonts w:ascii="仿宋_GB2312" w:hAnsi="仿宋_GB2312" w:eastAsia="仿宋_GB2312"/>
          <w:b w:val="0"/>
          <w:sz w:val="24"/>
        </w:rPr>
        <w:t>在后续能力逐步稳定后，项目可以进一步考虑与检测服务机构、农业数字化平台或区域品牌服务单位开展联合方案合作。橙源智鉴不必独立承担全部销售链路，也可以作为联合解决方案中的关键分析模块出现。这样既能保持轻量化推进，也能借助合作方渠道逐步放大触达范围。</w:t>
      </w:r>
    </w:p>
    <w:p>
      <w:pPr>
        <w:sectPr>
          <w:pgSz w:w="11906" w:h="16838"/>
          <w:pgMar w:top="1417" w:right="1417" w:bottom="1417" w:left="1417" w:header="850" w:footer="992" w:gutter="0"/>
          <w:cols w:space="720"/>
          <w:docGrid w:linePitch="360"/>
        </w:sectPr>
      </w:pPr>
    </w:p>
    <w:p>
      <w:pPr>
        <w:pStyle w:val="Heading1"/>
        <w:spacing w:before="0" w:after="0" w:line="500" w:lineRule="exact"/>
        <w:ind w:firstLine="0"/>
        <w:jc w:val="left"/>
      </w:pPr>
      <w:r>
        <w:rPr>
          <w:rFonts w:ascii="黑体" w:hAnsi="黑体" w:eastAsia="黑体"/>
          <w:b w:val="0"/>
          <w:sz w:val="32"/>
        </w:rPr>
        <w:t>第七章 运营策略</w:t>
      </w:r>
    </w:p>
    <w:p>
      <w:pPr>
        <w:spacing w:before="0" w:after="0" w:line="500" w:lineRule="exact"/>
        <w:ind w:firstLine="480"/>
        <w:jc w:val="both"/>
      </w:pPr>
      <w:r>
        <w:rPr>
          <w:rFonts w:ascii="仿宋_GB2312" w:hAnsi="仿宋_GB2312" w:eastAsia="仿宋_GB2312"/>
          <w:b w:val="0"/>
          <w:sz w:val="24"/>
        </w:rPr>
        <w:t>运营按样本补强、场景试点、标准沉淀三个阶段推进，核心工作包括补样、复核、出报告、复盘和版本更新。</w:t>
      </w:r>
    </w:p>
    <w:p>
      <w:pPr>
        <w:pStyle w:val="Heading2"/>
        <w:spacing w:before="0" w:after="0" w:line="500" w:lineRule="exact"/>
        <w:ind w:firstLine="0"/>
        <w:jc w:val="left"/>
      </w:pPr>
      <w:r>
        <w:rPr>
          <w:rFonts w:ascii="楷体_GB2312" w:hAnsi="楷体_GB2312" w:eastAsia="楷体_GB2312"/>
          <w:b w:val="0"/>
          <w:sz w:val="32"/>
        </w:rPr>
        <w:t>7.1 运营定位与目标</w:t>
      </w:r>
    </w:p>
    <w:p>
      <w:pPr>
        <w:pStyle w:val="Heading3"/>
        <w:spacing w:before="0" w:after="0" w:line="500" w:lineRule="exact"/>
        <w:ind w:firstLine="0"/>
        <w:jc w:val="left"/>
      </w:pPr>
      <w:r>
        <w:rPr>
          <w:rFonts w:ascii="仿宋_GB2312" w:hAnsi="仿宋_GB2312" w:eastAsia="仿宋_GB2312"/>
          <w:b w:val="0"/>
          <w:sz w:val="28"/>
        </w:rPr>
        <w:t>7.1.1 以试点验证替代重投入铺开</w:t>
      </w:r>
    </w:p>
    <w:p>
      <w:pPr>
        <w:spacing w:before="0" w:after="0" w:line="500" w:lineRule="exact"/>
        <w:ind w:firstLine="480"/>
        <w:jc w:val="both"/>
      </w:pPr>
      <w:r>
        <w:rPr>
          <w:rFonts w:ascii="仿宋_GB2312" w:hAnsi="仿宋_GB2312" w:eastAsia="仿宋_GB2312"/>
          <w:b w:val="0"/>
          <w:sz w:val="24"/>
        </w:rPr>
        <w:t>橙源智鉴并不适合在当前阶段采取重投入、广铺场景的扩张逻辑，而更适合坚持“小步快跑、先做透再复制”的运营方式。运营的首要目标不是迅速覆盖多少客户，而是先在有限样本和有限场景中把流程跑通、把结果讲清、把案例做实。只要这一阶段做得扎实，后续复制才有真正基础。</w:t>
      </w:r>
    </w:p>
    <w:p>
      <w:pPr>
        <w:pStyle w:val="Heading3"/>
        <w:spacing w:before="0" w:after="0" w:line="500" w:lineRule="exact"/>
        <w:ind w:firstLine="0"/>
        <w:jc w:val="left"/>
      </w:pPr>
      <w:r>
        <w:rPr>
          <w:rFonts w:ascii="仿宋_GB2312" w:hAnsi="仿宋_GB2312" w:eastAsia="仿宋_GB2312"/>
          <w:b w:val="0"/>
          <w:sz w:val="28"/>
        </w:rPr>
        <w:t>7.1.2 以数据沉淀驱动能力迭代</w:t>
      </w:r>
    </w:p>
    <w:p>
      <w:pPr>
        <w:spacing w:before="0" w:after="0" w:line="500" w:lineRule="exact"/>
        <w:ind w:firstLine="480"/>
        <w:jc w:val="both"/>
      </w:pPr>
      <w:r>
        <w:rPr>
          <w:rFonts w:ascii="仿宋_GB2312" w:hAnsi="仿宋_GB2312" w:eastAsia="仿宋_GB2312"/>
          <w:b w:val="0"/>
          <w:sz w:val="24"/>
        </w:rPr>
        <w:t>对于高光谱与智能分析项目而言，运营体系真正需要积累的核心资产并不是短期收入本身，而是持续沉淀的数据、反馈和复盘经验。运营体系需要服务于样本沉淀、异常样本标记、理化标签补全和版本迭代，使每一次试点都能反哺下一轮模型训练与产品优化。运营如果不能反过来推动能力增长，项目就容易停留在一次性展示层面。</w:t>
      </w:r>
    </w:p>
    <w:p>
      <w:pPr>
        <w:pStyle w:val="Heading3"/>
        <w:spacing w:before="0" w:after="0" w:line="500" w:lineRule="exact"/>
        <w:ind w:firstLine="0"/>
        <w:jc w:val="left"/>
      </w:pPr>
      <w:r>
        <w:rPr>
          <w:rFonts w:ascii="仿宋_GB2312" w:hAnsi="仿宋_GB2312" w:eastAsia="仿宋_GB2312"/>
          <w:b w:val="0"/>
          <w:sz w:val="28"/>
        </w:rPr>
        <w:t>7.1.3 以标准化交付支撑区域复制</w:t>
      </w:r>
    </w:p>
    <w:p>
      <w:pPr>
        <w:spacing w:before="0" w:after="0" w:line="500" w:lineRule="exact"/>
        <w:ind w:firstLine="480"/>
        <w:jc w:val="both"/>
      </w:pPr>
      <w:r>
        <w:rPr>
          <w:rFonts w:ascii="仿宋_GB2312" w:hAnsi="仿宋_GB2312" w:eastAsia="仿宋_GB2312"/>
          <w:b w:val="0"/>
          <w:sz w:val="24"/>
        </w:rPr>
        <w:t>站在中长期发展角度，运营的最终目标不是不断做很多完全不同的项目，而是逐步形成样本清单、试点流程、报告模板、培训文档和复盘机制等一整套可复制的方法。标准化程度越高，团队越能在规模有限的情况下保持交付质量，也越有可能把既有成果迁移到更多区域和更多特色水果场景中。</w:t>
      </w:r>
    </w:p>
    <w:p>
      <w:pPr>
        <w:pStyle w:val="Heading2"/>
        <w:spacing w:before="0" w:after="0" w:line="500" w:lineRule="exact"/>
        <w:ind w:firstLine="0"/>
        <w:jc w:val="left"/>
      </w:pPr>
      <w:r>
        <w:rPr>
          <w:rFonts w:ascii="楷体_GB2312" w:hAnsi="楷体_GB2312" w:eastAsia="楷体_GB2312"/>
          <w:b w:val="0"/>
          <w:sz w:val="32"/>
        </w:rPr>
        <w:t>7.2 阶段运营安排</w:t>
      </w:r>
    </w:p>
    <w:p>
      <w:pPr>
        <w:pStyle w:val="Heading3"/>
        <w:spacing w:before="0" w:after="0" w:line="500" w:lineRule="exact"/>
        <w:ind w:firstLine="0"/>
        <w:jc w:val="left"/>
      </w:pPr>
      <w:r>
        <w:rPr>
          <w:rFonts w:ascii="仿宋_GB2312" w:hAnsi="仿宋_GB2312" w:eastAsia="仿宋_GB2312"/>
          <w:b w:val="0"/>
          <w:sz w:val="28"/>
        </w:rPr>
        <w:t>7.2.1 第一阶段：样本补强与原型完善</w:t>
      </w:r>
    </w:p>
    <w:p>
      <w:pPr>
        <w:spacing w:before="0" w:after="0" w:line="500" w:lineRule="exact"/>
        <w:ind w:firstLine="480"/>
        <w:jc w:val="both"/>
      </w:pPr>
      <w:r>
        <w:rPr>
          <w:rFonts w:ascii="仿宋_GB2312" w:hAnsi="仿宋_GB2312" w:eastAsia="仿宋_GB2312"/>
          <w:b w:val="0"/>
          <w:sz w:val="24"/>
        </w:rPr>
        <w:t>第一阶段的重点，应放在样本补强、原型打磨和能力边界明确上。团队需要优先解决样本数量不足、标签覆盖不连续、跨批次样本缺少等问题，同时把现有原型中的分析页、模型页、历史页和报告表达逻辑进一步打磨顺畅。这一阶段的核心成果不是商业规模，而是做出几项看得见的基础件：样本采集与录入规范、稳定的分析页面、可复用的报告模板，以及一套对外能讲清楚的能力边界。</w:t>
      </w:r>
    </w:p>
    <w:p>
      <w:pPr>
        <w:pStyle w:val="Heading3"/>
        <w:spacing w:before="0" w:after="0" w:line="500" w:lineRule="exact"/>
        <w:ind w:firstLine="0"/>
        <w:jc w:val="left"/>
      </w:pPr>
      <w:r>
        <w:rPr>
          <w:rFonts w:ascii="仿宋_GB2312" w:hAnsi="仿宋_GB2312" w:eastAsia="仿宋_GB2312"/>
          <w:b w:val="0"/>
          <w:sz w:val="28"/>
        </w:rPr>
        <w:t>7.2.2 第二阶段：场景试点与合作验证</w:t>
      </w:r>
    </w:p>
    <w:p>
      <w:pPr>
        <w:spacing w:before="0" w:after="0" w:line="500" w:lineRule="exact"/>
        <w:ind w:firstLine="480"/>
        <w:jc w:val="both"/>
      </w:pPr>
      <w:r>
        <w:rPr>
          <w:rFonts w:ascii="仿宋_GB2312" w:hAnsi="仿宋_GB2312" w:eastAsia="仿宋_GB2312"/>
          <w:b w:val="0"/>
          <w:sz w:val="24"/>
        </w:rPr>
        <w:t>第二阶段应以具体场景试点为中心，通过与基地、合作社、区域品牌主体或服务机构的合作，验证项目在真实业务流程中的可用性。此阶段最重要的产出，不只是合作数量，而是形成若干可展示、可复盘、可用于再次推广的样板案例。一个合格的样板案例，至少应包含样本背景、分析结果、合作反馈、问题清单和下一轮优化方向。只要这一层站稳，后续产品与运营策略都会更容易落地。</w:t>
      </w:r>
    </w:p>
    <w:p>
      <w:pPr>
        <w:pStyle w:val="Heading3"/>
        <w:spacing w:before="0" w:after="0" w:line="500" w:lineRule="exact"/>
        <w:ind w:firstLine="0"/>
        <w:jc w:val="left"/>
      </w:pPr>
      <w:r>
        <w:rPr>
          <w:rFonts w:ascii="仿宋_GB2312" w:hAnsi="仿宋_GB2312" w:eastAsia="仿宋_GB2312"/>
          <w:b w:val="0"/>
          <w:sz w:val="28"/>
        </w:rPr>
        <w:t>7.2.3 第三阶段：标准沉淀与区域复制</w:t>
      </w:r>
    </w:p>
    <w:p>
      <w:pPr>
        <w:spacing w:before="0" w:after="0" w:line="500" w:lineRule="exact"/>
        <w:ind w:firstLine="480"/>
        <w:jc w:val="both"/>
      </w:pPr>
      <w:r>
        <w:rPr>
          <w:rFonts w:ascii="仿宋_GB2312" w:hAnsi="仿宋_GB2312" w:eastAsia="仿宋_GB2312"/>
          <w:b w:val="0"/>
          <w:sz w:val="24"/>
        </w:rPr>
        <w:t>当项目完成一定数量的试点积累后，第三阶段才适合进入标准沉淀和区域复制。届时运营侧要重点推动流程规范化、交付模板化和合作模式模块化，使团队能够在不显著增加管理负担的情况下，把已有能力迁移到更多区域品牌果品场景中。到这一阶段，团队不再只是“再做一个新项目”，而是把前面沉淀下来的样本规范、报告格式、培训话术和复盘模板复制到新的区域对象上。</w:t>
      </w:r>
    </w:p>
    <w:p>
      <w:pPr>
        <w:pStyle w:val="Heading2"/>
        <w:spacing w:before="0" w:after="0" w:line="500" w:lineRule="exact"/>
        <w:ind w:firstLine="0"/>
        <w:jc w:val="left"/>
      </w:pPr>
      <w:r>
        <w:rPr>
          <w:rFonts w:ascii="楷体_GB2312" w:hAnsi="楷体_GB2312" w:eastAsia="楷体_GB2312"/>
          <w:b w:val="0"/>
          <w:sz w:val="32"/>
        </w:rPr>
        <w:t>7.3 核心运营模块</w:t>
      </w:r>
    </w:p>
    <w:p>
      <w:pPr>
        <w:pStyle w:val="Heading3"/>
        <w:spacing w:before="0" w:after="0" w:line="500" w:lineRule="exact"/>
        <w:ind w:firstLine="0"/>
        <w:jc w:val="left"/>
      </w:pPr>
      <w:r>
        <w:rPr>
          <w:rFonts w:ascii="仿宋_GB2312" w:hAnsi="仿宋_GB2312" w:eastAsia="仿宋_GB2312"/>
          <w:b w:val="0"/>
          <w:sz w:val="28"/>
        </w:rPr>
        <w:t>7.3.1 样本与数据运营</w:t>
      </w:r>
    </w:p>
    <w:p>
      <w:pPr>
        <w:spacing w:before="0" w:after="0" w:line="500" w:lineRule="exact"/>
        <w:ind w:firstLine="480"/>
        <w:jc w:val="both"/>
      </w:pPr>
      <w:r>
        <w:rPr>
          <w:rFonts w:ascii="仿宋_GB2312" w:hAnsi="仿宋_GB2312" w:eastAsia="仿宋_GB2312"/>
          <w:b w:val="0"/>
          <w:sz w:val="24"/>
        </w:rPr>
        <w:t>样本与数据运营是橙源智鉴最基础也最关键的运营模块。团队需要围绕样本编号、采样时间、理化结果、异常样本标记和历史归档建立持续维护机制，确保数据不是“做一次、散一次”，而是能稳定沉淀为模型训练和场景验证的长期资产。对当前阶段的项目而言，这一模块直接决定产品能走多深。</w:t>
      </w:r>
    </w:p>
    <w:p>
      <w:pPr>
        <w:pStyle w:val="Heading3"/>
        <w:spacing w:before="0" w:after="0" w:line="500" w:lineRule="exact"/>
        <w:ind w:firstLine="0"/>
        <w:jc w:val="left"/>
      </w:pPr>
      <w:r>
        <w:rPr>
          <w:rFonts w:ascii="仿宋_GB2312" w:hAnsi="仿宋_GB2312" w:eastAsia="仿宋_GB2312"/>
          <w:b w:val="0"/>
          <w:sz w:val="28"/>
        </w:rPr>
        <w:t>7.3.2 客户成功与项目运营</w:t>
      </w:r>
    </w:p>
    <w:p>
      <w:pPr>
        <w:spacing w:before="0" w:after="0" w:line="500" w:lineRule="exact"/>
        <w:ind w:firstLine="480"/>
        <w:jc w:val="both"/>
      </w:pPr>
      <w:r>
        <w:rPr>
          <w:rFonts w:ascii="仿宋_GB2312" w:hAnsi="仿宋_GB2312" w:eastAsia="仿宋_GB2312"/>
          <w:b w:val="0"/>
          <w:sz w:val="24"/>
        </w:rPr>
        <w:t>客户成功与项目运营模块，负责试点沟通、过程协调、问题响应和阶段复盘。合作方在当前阶段最看重的往往不是功能有多复杂，而是团队是否可靠、问题是否能及时响应、交付是否有条理。把这一模块做好，本身就是项目建立长期合作信任的重要方式。具体执行上，团队至少需要形成固定的周跟进、节点确认和试点结束复盘机制，而不是等问题堆积到最后一次性处理。</w:t>
      </w:r>
    </w:p>
    <w:p>
      <w:pPr>
        <w:pStyle w:val="Heading3"/>
        <w:spacing w:before="0" w:after="0" w:line="500" w:lineRule="exact"/>
        <w:ind w:firstLine="0"/>
        <w:jc w:val="left"/>
      </w:pPr>
      <w:r>
        <w:rPr>
          <w:rFonts w:ascii="仿宋_GB2312" w:hAnsi="仿宋_GB2312" w:eastAsia="仿宋_GB2312"/>
          <w:b w:val="0"/>
          <w:sz w:val="28"/>
        </w:rPr>
        <w:t>7.3.3 平台内容与报告运营</w:t>
      </w:r>
    </w:p>
    <w:p>
      <w:pPr>
        <w:spacing w:before="0" w:after="0" w:line="500" w:lineRule="exact"/>
        <w:ind w:firstLine="480"/>
        <w:jc w:val="both"/>
      </w:pPr>
      <w:r>
        <w:rPr>
          <w:rFonts w:ascii="仿宋_GB2312" w:hAnsi="仿宋_GB2312" w:eastAsia="仿宋_GB2312"/>
          <w:b w:val="0"/>
          <w:sz w:val="24"/>
        </w:rPr>
        <w:t>平台内容与报告运营承担双重任务：一方面要把技术能力用合作方能理解的方式表达出来，另一方面要把试点结果转化为案例、文档和报告模板。对于以展示与试点起步的项目来说，内容运营不是附属工作，而是产品价值外显的重要环节。</w:t>
      </w:r>
    </w:p>
    <w:p>
      <w:pPr>
        <w:pStyle w:val="Heading3"/>
        <w:spacing w:before="0" w:after="0" w:line="500" w:lineRule="exact"/>
        <w:ind w:firstLine="0"/>
        <w:jc w:val="left"/>
      </w:pPr>
      <w:r>
        <w:rPr>
          <w:rFonts w:ascii="仿宋_GB2312" w:hAnsi="仿宋_GB2312" w:eastAsia="仿宋_GB2312"/>
          <w:b w:val="0"/>
          <w:sz w:val="28"/>
        </w:rPr>
        <w:t>7.3.4 合作与渠道运营</w:t>
      </w:r>
    </w:p>
    <w:p>
      <w:pPr>
        <w:spacing w:before="0" w:after="0" w:line="500" w:lineRule="exact"/>
        <w:ind w:firstLine="480"/>
        <w:jc w:val="both"/>
      </w:pPr>
      <w:r>
        <w:rPr>
          <w:rFonts w:ascii="仿宋_GB2312" w:hAnsi="仿宋_GB2312" w:eastAsia="仿宋_GB2312"/>
          <w:b w:val="0"/>
          <w:sz w:val="24"/>
        </w:rPr>
        <w:t>合作与渠道运营主要服务中长期发展，负责维护高校资源、地方资源、产业合作方和潜在渠道伙伴之间的关系。当前阶段更应聚焦少量高质量合作，而不是追求渠道数量。先把合作基础做深，再逐步扩大触达面，才更符合橙源智鉴当前的成长节奏。</w:t>
      </w:r>
    </w:p>
    <w:p>
      <w:pPr>
        <w:sectPr>
          <w:pgSz w:w="11906" w:h="16838"/>
          <w:pgMar w:top="1417" w:right="1417" w:bottom="1417" w:left="1417" w:header="850" w:footer="992" w:gutter="0"/>
          <w:cols w:space="720"/>
          <w:docGrid w:linePitch="360"/>
        </w:sectPr>
      </w:pPr>
    </w:p>
    <w:p>
      <w:pPr>
        <w:pStyle w:val="Heading1"/>
        <w:spacing w:before="0" w:after="0" w:line="500" w:lineRule="exact"/>
        <w:ind w:firstLine="0"/>
        <w:jc w:val="left"/>
      </w:pPr>
      <w:r>
        <w:rPr>
          <w:rFonts w:ascii="黑体" w:hAnsi="黑体" w:eastAsia="黑体"/>
          <w:b w:val="0"/>
          <w:sz w:val="32"/>
        </w:rPr>
        <w:t>第八章 团队介绍</w:t>
      </w:r>
    </w:p>
    <w:p>
      <w:pPr>
        <w:spacing w:before="0" w:after="0" w:line="500" w:lineRule="exact"/>
        <w:ind w:firstLine="480"/>
        <w:jc w:val="both"/>
      </w:pPr>
      <w:r>
        <w:rPr>
          <w:rFonts w:ascii="仿宋_GB2312" w:hAnsi="仿宋_GB2312" w:eastAsia="仿宋_GB2312"/>
          <w:b w:val="0"/>
          <w:sz w:val="24"/>
        </w:rPr>
        <w:t>团队由算法、工程、市场、财务、行政成员组成，负责样本组织、模型迭代、页面交付、客户沟通和报告复盘。</w:t>
      </w:r>
    </w:p>
    <w:p>
      <w:pPr>
        <w:spacing w:before="0" w:after="0" w:line="500" w:lineRule="exact"/>
        <w:ind w:firstLine="480"/>
        <w:jc w:val="both"/>
      </w:pPr>
      <w:r>
        <w:rPr>
          <w:rFonts w:ascii="仿宋_GB2312" w:hAnsi="仿宋_GB2312" w:eastAsia="仿宋_GB2312"/>
          <w:b w:val="0"/>
          <w:sz w:val="24"/>
        </w:rPr>
        <w:t>团队依托海南师范大学信息科学技术学院重点实验室、科技园孵化器及产学研合作平台等资源，构建“技术研发—产品落地—合作推进”的能力链，可支撑试点前准备、现场执行和结果复盘。</w:t>
      </w:r>
    </w:p>
    <w:p>
      <w:pPr>
        <w:pStyle w:val="Heading2"/>
        <w:spacing w:before="0" w:after="0" w:line="500" w:lineRule="exact"/>
        <w:ind w:firstLine="0"/>
        <w:jc w:val="left"/>
      </w:pPr>
      <w:r>
        <w:rPr>
          <w:rFonts w:ascii="楷体_GB2312" w:hAnsi="楷体_GB2312" w:eastAsia="楷体_GB2312"/>
          <w:b w:val="0"/>
          <w:sz w:val="32"/>
        </w:rPr>
        <w:t>8.1 团队组织架构</w:t>
      </w:r>
    </w:p>
    <w:p>
      <w:pPr>
        <w:pStyle w:val="Heading3"/>
        <w:spacing w:before="0" w:after="0" w:line="500" w:lineRule="exact"/>
        <w:ind w:firstLine="0"/>
        <w:jc w:val="left"/>
      </w:pPr>
      <w:r>
        <w:rPr>
          <w:rFonts w:ascii="仿宋_GB2312" w:hAnsi="仿宋_GB2312" w:eastAsia="仿宋_GB2312"/>
          <w:b w:val="0"/>
          <w:sz w:val="28"/>
        </w:rPr>
        <w:t>8.1.1 技术部</w:t>
      </w:r>
    </w:p>
    <w:p>
      <w:pPr>
        <w:spacing w:before="0" w:after="0" w:line="500" w:lineRule="exact"/>
        <w:ind w:firstLine="480"/>
        <w:jc w:val="both"/>
      </w:pPr>
      <w:r>
        <w:rPr>
          <w:rFonts w:ascii="仿宋_GB2312" w:hAnsi="仿宋_GB2312" w:eastAsia="仿宋_GB2312"/>
          <w:b w:val="0"/>
          <w:sz w:val="24"/>
        </w:rPr>
        <w:t>技术部是项目核心研发与技术落地的主体部门，承担从算法研发到系统集成再到技术支持的全链条职责。具体而言，技术部负责高光谱数据处理算法的设计与持续迭代优化，深度学习检测模型的构建、训练与性能调优；负责检测系统软硬件集成方案设计、多终端设备适配及运行稳定性保障；同时为内部运营团队和外部客户提供全流程技术支持、操作培训与定制化解决方案开发，确保技术成果从实验室环境向商业化场景的无缝迁移与高效落地。</w:t>
      </w:r>
    </w:p>
    <w:p>
      <w:pPr>
        <w:spacing w:before="0" w:after="0" w:line="500" w:lineRule="exact"/>
        <w:ind w:firstLine="480"/>
        <w:jc w:val="both"/>
      </w:pPr>
      <w:r>
        <w:rPr>
          <w:rFonts w:ascii="仿宋_GB2312" w:hAnsi="仿宋_GB2312" w:eastAsia="仿宋_GB2312"/>
          <w:b w:val="0"/>
          <w:sz w:val="24"/>
        </w:rPr>
        <w:t>技术部成员均具备扎实的算法基础与工程实践能力，涵盖Python、C++、Java、Vue等多语言开发能力，熟悉前后端全栈开发、AI模型部署及高光谱数据处理等核心技术栈，是项目技术竞争力的核心支撑。</w:t>
      </w:r>
    </w:p>
    <w:p>
      <w:pPr>
        <w:pStyle w:val="Heading3"/>
        <w:spacing w:before="0" w:after="0" w:line="500" w:lineRule="exact"/>
        <w:ind w:firstLine="0"/>
        <w:jc w:val="left"/>
      </w:pPr>
      <w:r>
        <w:rPr>
          <w:rFonts w:ascii="仿宋_GB2312" w:hAnsi="仿宋_GB2312" w:eastAsia="仿宋_GB2312"/>
          <w:b w:val="0"/>
          <w:sz w:val="28"/>
        </w:rPr>
        <w:t>8.1.2 市场营销部</w:t>
      </w:r>
    </w:p>
    <w:p>
      <w:pPr>
        <w:spacing w:before="0" w:after="0" w:line="500" w:lineRule="exact"/>
        <w:ind w:firstLine="480"/>
        <w:jc w:val="both"/>
      </w:pPr>
      <w:r>
        <w:rPr>
          <w:rFonts w:ascii="仿宋_GB2312" w:hAnsi="仿宋_GB2312" w:eastAsia="仿宋_GB2312"/>
          <w:b w:val="0"/>
          <w:sz w:val="24"/>
        </w:rPr>
        <w:t>市场营销部负责项目的市场布局、品牌推广与客户生态建设，是连接技术产品与目标市场的关键纽带。核心职责包括：开展行业市场调研、竞争格局分析与目标客户画像梳理，为产品定位与商业策略提供数据依据；制定品牌推广方案、渠道拓展路径与产品定价策略，组织落地行业展会、线上营销和客户对接等获客行动；维护客户关系，推进合作洽谈、合同签署与交付后的服务跟进，逐步搭建“平台 + 服务 + 场景验证”的商业变现链路。</w:t>
      </w:r>
    </w:p>
    <w:p>
      <w:pPr>
        <w:pStyle w:val="Heading3"/>
        <w:spacing w:before="0" w:after="0" w:line="500" w:lineRule="exact"/>
        <w:ind w:firstLine="0"/>
        <w:jc w:val="left"/>
      </w:pPr>
      <w:r>
        <w:rPr>
          <w:rFonts w:ascii="仿宋_GB2312" w:hAnsi="仿宋_GB2312" w:eastAsia="仿宋_GB2312"/>
          <w:b w:val="0"/>
          <w:sz w:val="28"/>
        </w:rPr>
        <w:t>8.1.3 财务部</w:t>
      </w:r>
    </w:p>
    <w:p>
      <w:pPr>
        <w:spacing w:before="0" w:after="0" w:line="500" w:lineRule="exact"/>
        <w:ind w:firstLine="480"/>
        <w:jc w:val="both"/>
      </w:pPr>
      <w:r>
        <w:rPr>
          <w:rFonts w:ascii="仿宋_GB2312" w:hAnsi="仿宋_GB2312" w:eastAsia="仿宋_GB2312"/>
          <w:b w:val="0"/>
          <w:sz w:val="24"/>
        </w:rPr>
        <w:t>财务部统筹项目全生命周期的财务规划与资金管理，是项目稳健运营的重要保障。核心职责涵盖：编制研发、运营、市场拓展各阶段的预算方案与成本控制计划，确保资金使用的合理性与效益最大化；负责日常资金收付、账务核算、税务筹划与财务报表编制；积极对接创新创业基金、孵化资金、科创赛事奖金等多元渠道，做好资金分配规划与使用监控；同时为项目重大商业决策提供财务数据支撑与风险评估，保障项目在资金层面的可持续发展能力。</w:t>
      </w:r>
    </w:p>
    <w:p>
      <w:pPr>
        <w:pStyle w:val="Heading3"/>
        <w:spacing w:before="0" w:after="0" w:line="500" w:lineRule="exact"/>
        <w:ind w:firstLine="0"/>
        <w:jc w:val="left"/>
      </w:pPr>
      <w:r>
        <w:rPr>
          <w:rFonts w:ascii="仿宋_GB2312" w:hAnsi="仿宋_GB2312" w:eastAsia="仿宋_GB2312"/>
          <w:b w:val="0"/>
          <w:sz w:val="28"/>
        </w:rPr>
        <w:t>8.1.4 行政部</w:t>
      </w:r>
    </w:p>
    <w:p>
      <w:pPr>
        <w:spacing w:before="0" w:after="0" w:line="500" w:lineRule="exact"/>
        <w:ind w:firstLine="480"/>
        <w:jc w:val="both"/>
      </w:pPr>
      <w:r>
        <w:rPr>
          <w:rFonts w:ascii="仿宋_GB2312" w:hAnsi="仿宋_GB2312" w:eastAsia="仿宋_GB2312"/>
          <w:b w:val="0"/>
          <w:sz w:val="24"/>
        </w:rPr>
        <w:t>行政部作为团队运营的综合保障部门，承担内外部资源协调、流程管控与团队运营管理等职责。核心工作包括：制定并执行团队日常运营管理制度，统筹办公场地、设备物资、资质申报等行政事务；负责团队人员考勤、跨部门协作沟通与项目进度跟踪管理，推进各环节文档编制、归档与质量把控；协调高校实验室、产业园区、行业协会等外部资源，确保团队研发、运营、商务活动的顺利开展。</w:t>
      </w:r>
    </w:p>
    <w:p>
      <w:pPr>
        <w:pStyle w:val="Heading2"/>
        <w:spacing w:before="0" w:after="0" w:line="500" w:lineRule="exact"/>
        <w:ind w:firstLine="0"/>
        <w:jc w:val="left"/>
      </w:pPr>
      <w:r>
        <w:rPr>
          <w:rFonts w:ascii="楷体_GB2312" w:hAnsi="楷体_GB2312" w:eastAsia="楷体_GB2312"/>
          <w:b w:val="0"/>
          <w:sz w:val="32"/>
        </w:rPr>
        <w:t>8.2 专家顾问团队</w:t>
      </w:r>
    </w:p>
    <w:p>
      <w:pPr>
        <w:spacing w:before="0" w:after="0" w:line="500" w:lineRule="exact"/>
        <w:ind w:firstLine="480"/>
        <w:jc w:val="both"/>
      </w:pPr>
      <w:r>
        <w:rPr>
          <w:rFonts w:ascii="仿宋_GB2312" w:hAnsi="仿宋_GB2312" w:eastAsia="仿宋_GB2312"/>
          <w:b w:val="0"/>
          <w:sz w:val="24"/>
        </w:rPr>
        <w:t>团队依托海南师范大学信息科学技术学院与经济与管理学院的优质师资资源，聘请三位在人工智能、计算机科学及经济管理领域深耕多年的资深专家担任项目高级顾问，覆盖技术研发、深度学习、商业落地与战略规划等核心维度，实现“产学研”的深度融合，为项目发展提供坚实的学术支撑与行业指导。</w:t>
      </w:r>
    </w:p>
    <w:p>
      <w:pPr>
        <w:pStyle w:val="Heading3"/>
        <w:spacing w:before="0" w:after="0" w:line="500" w:lineRule="exact"/>
        <w:ind w:firstLine="0"/>
        <w:jc w:val="left"/>
      </w:pPr>
      <w:r>
        <w:rPr>
          <w:rFonts w:ascii="仿宋_GB2312" w:hAnsi="仿宋_GB2312" w:eastAsia="仿宋_GB2312"/>
          <w:b w:val="0"/>
          <w:sz w:val="28"/>
        </w:rPr>
        <w:t>8.2.1 刘波副教授：算法建模顾问</w:t>
      </w:r>
    </w:p>
    <w:p>
      <w:pPr>
        <w:spacing w:before="0" w:after="0" w:line="500" w:lineRule="exact"/>
        <w:ind w:firstLine="480"/>
        <w:jc w:val="both"/>
      </w:pPr>
      <w:r>
        <w:rPr>
          <w:rFonts w:ascii="仿宋_GB2312" w:hAnsi="仿宋_GB2312" w:eastAsia="仿宋_GB2312"/>
          <w:b w:val="0"/>
          <w:sz w:val="24"/>
        </w:rPr>
        <w:t>刘波老师现任海南师范大学信息科学技术学院副教授、人工智能系主任，毕业于电子科技大学，获物理学博士学位。其学术研究深耕复杂网络信息挖掘、高阶网络、复杂性科学与人工智能理论等前沿领域，以第一作者或通讯作者身份在 Expert Systems with Applications、Chaos、《物理学报》等国内外权威SCI期刊发表学术论文7篇，申请国家发明专利8项。主持或参与海南省教育厅高校科研项目、科技部脑科学重大项目等多项省部级及以上课题，现担任中国自动化学会计算社会与社会智能专委会委员，并受聘为多家SCI期刊独立审稿人。</w:t>
      </w:r>
    </w:p>
    <w:p>
      <w:pPr>
        <w:spacing w:before="0" w:after="0" w:line="500" w:lineRule="exact"/>
        <w:ind w:firstLine="480"/>
        <w:jc w:val="both"/>
      </w:pPr>
      <w:r>
        <w:rPr>
          <w:rFonts w:ascii="仿宋_GB2312" w:hAnsi="仿宋_GB2312" w:eastAsia="仿宋_GB2312"/>
          <w:b w:val="0"/>
          <w:sz w:val="24"/>
        </w:rPr>
        <w:t>顾问职责：刘波老师将充分发挥其在复杂数据建模与AI算法领域的深厚积累，为本项目AI算法优化、高光谱数据建模提供全程学术指导，重点协助团队攻克复杂样本抗干扰处理、特征波长精准筛选等核心技术难题。同时，他将协助对接海南师范大学重点实验室资源，为项目技术研发提供实验设备保障与学术支撑，有力推动项目技术成果的持续深化与迭代升级。</w:t>
      </w:r>
    </w:p>
    <w:p>
      <w:pPr>
        <w:pStyle w:val="Heading3"/>
        <w:spacing w:before="0" w:after="0" w:line="500" w:lineRule="exact"/>
        <w:ind w:firstLine="0"/>
        <w:jc w:val="left"/>
      </w:pPr>
      <w:r>
        <w:rPr>
          <w:rFonts w:ascii="仿宋_GB2312" w:hAnsi="仿宋_GB2312" w:eastAsia="仿宋_GB2312"/>
          <w:b w:val="0"/>
          <w:sz w:val="28"/>
        </w:rPr>
        <w:t>8.2.2 龙海侠教授：深度学习顾问</w:t>
      </w:r>
    </w:p>
    <w:p>
      <w:pPr>
        <w:spacing w:before="0" w:after="0" w:line="500" w:lineRule="exact"/>
        <w:ind w:firstLine="480"/>
        <w:jc w:val="both"/>
      </w:pPr>
      <w:r>
        <w:rPr>
          <w:rFonts w:ascii="仿宋_GB2312" w:hAnsi="仿宋_GB2312" w:eastAsia="仿宋_GB2312"/>
          <w:b w:val="0"/>
          <w:sz w:val="24"/>
        </w:rPr>
        <w:t>龙海侠教授现任海南师范大学计算机科学与技术学科教授、博士生导师，系海南省南海名家、高层次拔尖人才，同时担任国家自然科学基金函评专家。其研究方向聚焦人工智能（机器学习/深度学习）与网络空间安全两大核心领域，主持国家自然科学基金项目2项、海南省自然科学基金项目4项，以第一作者或通讯作者发表高水平学术论文60余篇，出版学术专著3部，获授权专利11项，拥有丰富的人工智能领域科研积累与产业化落地经验，在业界享有较高学术声誉。</w:t>
      </w:r>
    </w:p>
    <w:p>
      <w:pPr>
        <w:spacing w:before="0" w:after="0" w:line="500" w:lineRule="exact"/>
        <w:ind w:firstLine="480"/>
        <w:jc w:val="both"/>
      </w:pPr>
      <w:r>
        <w:rPr>
          <w:rFonts w:ascii="仿宋_GB2312" w:hAnsi="仿宋_GB2312" w:eastAsia="仿宋_GB2312"/>
          <w:b w:val="0"/>
          <w:sz w:val="24"/>
        </w:rPr>
        <w:t>顾问职责：龙海侠教授将凭借其在深度学习模型研发与AI产业化方面的丰富经验，为本项目深度学习检测模型的架构设计、训练策略与技术路线规划提供战略层面的高水平指导。同时，她将积极协助项目对接行业资源与产业合作平台，为项目商业化落地路径、行业标准对接与知识产权布局提供专业建议，全面提升项目的技术竞争力与商业转化潜力。</w:t>
      </w:r>
    </w:p>
    <w:p>
      <w:pPr>
        <w:pStyle w:val="Heading3"/>
        <w:spacing w:before="0" w:after="0" w:line="500" w:lineRule="exact"/>
        <w:ind w:firstLine="0"/>
        <w:jc w:val="left"/>
      </w:pPr>
      <w:r>
        <w:rPr>
          <w:rFonts w:ascii="仿宋_GB2312" w:hAnsi="仿宋_GB2312" w:eastAsia="仿宋_GB2312"/>
          <w:b w:val="0"/>
          <w:sz w:val="28"/>
        </w:rPr>
        <w:t>8.2.3 程明雄副教授：商业与供应链顾问</w:t>
      </w:r>
    </w:p>
    <w:p>
      <w:pPr>
        <w:spacing w:before="0" w:after="0" w:line="500" w:lineRule="exact"/>
        <w:ind w:firstLine="480"/>
        <w:jc w:val="both"/>
      </w:pPr>
      <w:r>
        <w:rPr>
          <w:rFonts w:ascii="仿宋_GB2312" w:hAnsi="仿宋_GB2312" w:eastAsia="仿宋_GB2312"/>
          <w:b w:val="0"/>
          <w:sz w:val="24"/>
        </w:rPr>
        <w:t>程明雄副教授现任海南师范大学经济与管理学院副教授，管理学硕士，中共党员。他长期深耕供应链物流管理、商务经济数据分析与县域经济发展研究领域，兼任海南省发展和改革委员会物流专家库专家、中铁十二局集团电气化工程有限公司供应链物流管理决策专家，并于2020年入选海南省现代物流业专家库，在海南省产业经济与物流领域具有较高的实践影响力。</w:t>
      </w:r>
    </w:p>
    <w:p>
      <w:pPr>
        <w:spacing w:before="0" w:after="0" w:line="500" w:lineRule="exact"/>
        <w:ind w:firstLine="480"/>
        <w:jc w:val="both"/>
      </w:pPr>
      <w:r>
        <w:rPr>
          <w:rFonts w:ascii="仿宋_GB2312" w:hAnsi="仿宋_GB2312" w:eastAsia="仿宋_GB2312"/>
          <w:b w:val="0"/>
          <w:sz w:val="24"/>
        </w:rPr>
        <w:t>顾问职责：程明雄副教授将结合其在供应链管理与区域经济领域的专业积累，为本项目商业化落地的市场布局规划、供应链体系搭建与县域及区域市场拓展策略提供专业指导，并协助开展项目财务规划与经济效益分析。依托其对海南本土产业生态与政策环境的深刻理解，助力团队优化商业推广路径与产业落地策略，推动项目实现高效的市场化与产业化进程。</w:t>
      </w:r>
    </w:p>
    <w:p>
      <w:pPr>
        <w:pStyle w:val="Heading2"/>
        <w:spacing w:before="0" w:after="0" w:line="500" w:lineRule="exact"/>
        <w:ind w:firstLine="0"/>
        <w:jc w:val="left"/>
      </w:pPr>
      <w:r>
        <w:rPr>
          <w:rFonts w:ascii="楷体_GB2312" w:hAnsi="楷体_GB2312" w:eastAsia="楷体_GB2312"/>
          <w:b w:val="0"/>
          <w:sz w:val="32"/>
        </w:rPr>
        <w:t>8.3 核心团队成员介绍</w:t>
      </w:r>
    </w:p>
    <w:p>
      <w:pPr>
        <w:spacing w:before="0" w:after="0" w:line="500" w:lineRule="exact"/>
        <w:ind w:firstLine="480"/>
        <w:jc w:val="both"/>
      </w:pPr>
      <w:r>
        <w:rPr>
          <w:rFonts w:ascii="仿宋_GB2312" w:hAnsi="仿宋_GB2312" w:eastAsia="仿宋_GB2312"/>
          <w:b w:val="0"/>
          <w:sz w:val="24"/>
        </w:rPr>
        <w:t>团队核心成员均来自海南师范大学相关专业，以人工智能、软件工程、计算机科学与技术为专业背景，兼具算法研发、工程开发、市场运营、财务管理等多元能力。成员平均拥有2项以上学科竞赛国家级/省级奖项，部分核心成员曾参与企业级AI应用落地、大数据处理等实战项目，具备扎实的理论基础与丰富的实践经验。团队成员优势互补、凝聚力强，深耕高光谱与食品安全检测交叉领域，对行业痛点与技术转化需求有深刻理解，为项目研发与商业化落地提供坚实的人才支撑。</w:t>
      </w:r>
    </w:p>
    <w:p>
      <w:pPr>
        <w:pStyle w:val="Heading3"/>
        <w:spacing w:before="0" w:after="0" w:line="500" w:lineRule="exact"/>
        <w:ind w:firstLine="0"/>
        <w:jc w:val="left"/>
      </w:pPr>
      <w:r>
        <w:rPr>
          <w:rFonts w:ascii="仿宋_GB2312" w:hAnsi="仿宋_GB2312" w:eastAsia="仿宋_GB2312"/>
          <w:b w:val="0"/>
          <w:sz w:val="28"/>
        </w:rPr>
        <w:t>8.3.1 彭斯逸：项目负责人</w:t>
      </w:r>
    </w:p>
    <w:p>
      <w:pPr>
        <w:spacing w:before="0" w:after="0" w:line="500" w:lineRule="exact"/>
        <w:ind w:firstLine="480"/>
        <w:jc w:val="both"/>
      </w:pPr>
      <w:r>
        <w:rPr>
          <w:rFonts w:ascii="仿宋_GB2312" w:hAnsi="仿宋_GB2312" w:eastAsia="仿宋_GB2312"/>
          <w:b w:val="0"/>
          <w:sz w:val="24"/>
        </w:rPr>
        <w:t>彭斯逸同学性格开朗、严谨认真，具备卓越的领导力与团队协作精神，积极组织并参与各项班级、学院活动。自入学以来学业表现突出，专业排名前3%，核心课程均分90+，曾获中国国际大学生创新大赛校级金奖、全国大学生三创赛校级一等奖等多项荣誉。</w:t>
      </w:r>
    </w:p>
    <w:p>
      <w:pPr>
        <w:spacing w:before="0" w:after="0" w:line="500" w:lineRule="exact"/>
        <w:ind w:firstLine="480"/>
        <w:jc w:val="both"/>
      </w:pPr>
      <w:r>
        <w:rPr>
          <w:rFonts w:ascii="仿宋_GB2312" w:hAnsi="仿宋_GB2312" w:eastAsia="仿宋_GB2312"/>
          <w:b w:val="0"/>
          <w:sz w:val="24"/>
        </w:rPr>
        <w:t>在本项目中，他结合AI基础设施预研与多源数据处理的实战经验，全面负责项目战略规划与团队统筹管理，同时主导基于高光谱技术的底层算法构建与智能检测逻辑开发，致力于攻克非结构化光谱数据解析难题，实现柑橘产地识别与品质分析的自动化表达。</w:t>
      </w:r>
    </w:p>
    <w:p>
      <w:pPr>
        <w:pStyle w:val="Heading3"/>
        <w:spacing w:before="0" w:after="0" w:line="500" w:lineRule="exact"/>
        <w:ind w:firstLine="0"/>
        <w:jc w:val="left"/>
      </w:pPr>
      <w:r>
        <w:rPr>
          <w:rFonts w:ascii="仿宋_GB2312" w:hAnsi="仿宋_GB2312" w:eastAsia="仿宋_GB2312"/>
          <w:b w:val="0"/>
          <w:sz w:val="28"/>
        </w:rPr>
        <w:t>8.3.2 唐天赐：算法与后端开发</w:t>
      </w:r>
    </w:p>
    <w:p>
      <w:pPr>
        <w:spacing w:before="0" w:after="0" w:line="500" w:lineRule="exact"/>
        <w:ind w:firstLine="480"/>
        <w:jc w:val="both"/>
      </w:pPr>
      <w:r>
        <w:rPr>
          <w:rFonts w:ascii="仿宋_GB2312" w:hAnsi="仿宋_GB2312" w:eastAsia="仿宋_GB2312"/>
          <w:b w:val="0"/>
          <w:sz w:val="24"/>
        </w:rPr>
        <w:t>唐天赐同学积极参与各项班级学院活动与志愿服务，性格开朗、严谨认真，具有较强的团队精神与奉献精神。自入学以来成绩优异，曾获专项奖学金、国家励志奖学金及英语四级证书，并荣获计算机设计大赛国家级二等奖、大创项目国家级立项等重要荣誉，充分体现了其扎实的专业基础与较强的科研实践能力。</w:t>
      </w:r>
    </w:p>
    <w:p>
      <w:pPr>
        <w:spacing w:before="0" w:after="0" w:line="500" w:lineRule="exact"/>
        <w:ind w:firstLine="480"/>
        <w:jc w:val="both"/>
      </w:pPr>
      <w:r>
        <w:rPr>
          <w:rFonts w:ascii="仿宋_GB2312" w:hAnsi="仿宋_GB2312" w:eastAsia="仿宋_GB2312"/>
          <w:b w:val="0"/>
          <w:sz w:val="24"/>
        </w:rPr>
        <w:t>在本项目中，他发挥算法实现与后端开发方面的核心优势，主要负责高光谱数据的特征提取与分析逻辑转化工作，通过高效严谨的代码实现，保障检测系统在处理复杂样本时的稳定性与识别准确性，为项目技术核心提供支撑。</w:t>
      </w:r>
    </w:p>
    <w:p>
      <w:pPr>
        <w:pStyle w:val="Heading3"/>
        <w:spacing w:before="0" w:after="0" w:line="500" w:lineRule="exact"/>
        <w:ind w:firstLine="0"/>
        <w:jc w:val="left"/>
      </w:pPr>
      <w:r>
        <w:rPr>
          <w:rFonts w:ascii="仿宋_GB2312" w:hAnsi="仿宋_GB2312" w:eastAsia="仿宋_GB2312"/>
          <w:b w:val="0"/>
          <w:sz w:val="28"/>
        </w:rPr>
        <w:t>8.3.3 艾舜杰：平台集成与前端开发</w:t>
      </w:r>
    </w:p>
    <w:p>
      <w:pPr>
        <w:spacing w:before="0" w:after="0" w:line="500" w:lineRule="exact"/>
        <w:ind w:firstLine="480"/>
        <w:jc w:val="both"/>
      </w:pPr>
      <w:r>
        <w:rPr>
          <w:rFonts w:ascii="仿宋_GB2312" w:hAnsi="仿宋_GB2312" w:eastAsia="仿宋_GB2312"/>
          <w:b w:val="0"/>
          <w:sz w:val="24"/>
        </w:rPr>
        <w:t>艾舜杰同学学习主观能动性强，沟通能力良好，性格开朗，富有团队合作精神。他掌握Java、C++、Python、Vue等多门编程语言，具备独立完成前后端协同开发的工程基础。</w:t>
      </w:r>
    </w:p>
    <w:p>
      <w:pPr>
        <w:spacing w:before="0" w:after="0" w:line="500" w:lineRule="exact"/>
        <w:ind w:firstLine="480"/>
        <w:jc w:val="both"/>
      </w:pPr>
      <w:r>
        <w:rPr>
          <w:rFonts w:ascii="仿宋_GB2312" w:hAnsi="仿宋_GB2312" w:eastAsia="仿宋_GB2312"/>
          <w:b w:val="0"/>
          <w:sz w:val="24"/>
        </w:rPr>
        <w:t>在本项目中，他主要负责系统各功能模块的集成开发与前端功能实现，利用其全栈开发基础确保高光谱采集终端与后端分析系统的高效对接，重点保障系统在实际检测场景中的流畅运行与功能闭环。</w:t>
      </w:r>
    </w:p>
    <w:p>
      <w:pPr>
        <w:pStyle w:val="Heading2"/>
        <w:spacing w:before="0" w:after="0" w:line="500" w:lineRule="exact"/>
        <w:ind w:firstLine="0"/>
        <w:jc w:val="left"/>
      </w:pPr>
      <w:r>
        <w:rPr>
          <w:rFonts w:ascii="楷体_GB2312" w:hAnsi="楷体_GB2312" w:eastAsia="楷体_GB2312"/>
          <w:b w:val="0"/>
          <w:sz w:val="32"/>
        </w:rPr>
        <w:t>8.4 团队核心优势</w:t>
      </w:r>
    </w:p>
    <w:p>
      <w:pPr>
        <w:pStyle w:val="Heading3"/>
        <w:spacing w:before="0" w:after="0" w:line="500" w:lineRule="exact"/>
        <w:ind w:firstLine="0"/>
        <w:jc w:val="left"/>
      </w:pPr>
      <w:r>
        <w:rPr>
          <w:rFonts w:ascii="仿宋_GB2312" w:hAnsi="仿宋_GB2312" w:eastAsia="仿宋_GB2312"/>
          <w:b w:val="0"/>
          <w:sz w:val="28"/>
        </w:rPr>
        <w:t>8.4.1 专业结构较为完整</w:t>
      </w:r>
    </w:p>
    <w:p>
      <w:pPr>
        <w:spacing w:before="0" w:after="0" w:line="500" w:lineRule="exact"/>
        <w:ind w:firstLine="480"/>
        <w:jc w:val="both"/>
      </w:pPr>
      <w:r>
        <w:rPr>
          <w:rFonts w:ascii="仿宋_GB2312" w:hAnsi="仿宋_GB2312" w:eastAsia="仿宋_GB2312"/>
          <w:b w:val="0"/>
          <w:sz w:val="24"/>
        </w:rPr>
        <w:t>团队成员覆盖人工智能算法、全栈开发、高光谱数据处理、市场运营、财务管理、行政统筹等关键方向，可支撑样本、算法、系统、报告和合作沟通的完整链路。</w:t>
      </w:r>
    </w:p>
    <w:p>
      <w:pPr>
        <w:pStyle w:val="Heading3"/>
        <w:spacing w:before="0" w:after="0" w:line="500" w:lineRule="exact"/>
        <w:ind w:firstLine="0"/>
        <w:jc w:val="left"/>
      </w:pPr>
      <w:r>
        <w:rPr>
          <w:rFonts w:ascii="仿宋_GB2312" w:hAnsi="仿宋_GB2312" w:eastAsia="仿宋_GB2312"/>
          <w:b w:val="0"/>
          <w:sz w:val="28"/>
        </w:rPr>
        <w:t>8.4.2 校内资源与顾问支持扎实</w:t>
      </w:r>
    </w:p>
    <w:p>
      <w:pPr>
        <w:spacing w:before="0" w:after="0" w:line="500" w:lineRule="exact"/>
        <w:ind w:firstLine="480"/>
        <w:jc w:val="both"/>
      </w:pPr>
      <w:r>
        <w:rPr>
          <w:rFonts w:ascii="仿宋_GB2312" w:hAnsi="仿宋_GB2312" w:eastAsia="仿宋_GB2312"/>
          <w:b w:val="0"/>
          <w:sz w:val="24"/>
        </w:rPr>
        <w:t>团队依托海南师范大学信息科学技术学院、经济与管理学院的师资力量和实验条件，同时获得顾问团队在算法建模、深度学习、商业落地与供应链管理等方面的持续指导，可在实验条件、方法路径和场景判断上获得支撑。</w:t>
      </w:r>
    </w:p>
    <w:p>
      <w:pPr>
        <w:pStyle w:val="Heading3"/>
        <w:spacing w:before="0" w:after="0" w:line="500" w:lineRule="exact"/>
        <w:ind w:firstLine="0"/>
        <w:jc w:val="left"/>
      </w:pPr>
      <w:r>
        <w:rPr>
          <w:rFonts w:ascii="仿宋_GB2312" w:hAnsi="仿宋_GB2312" w:eastAsia="仿宋_GB2312"/>
          <w:b w:val="0"/>
          <w:sz w:val="28"/>
        </w:rPr>
        <w:t>8.4.3 项目执行与竞赛表达基础较好</w:t>
      </w:r>
    </w:p>
    <w:p>
      <w:pPr>
        <w:spacing w:before="0" w:after="0" w:line="500" w:lineRule="exact"/>
        <w:ind w:firstLine="480"/>
        <w:jc w:val="both"/>
      </w:pPr>
      <w:r>
        <w:rPr>
          <w:rFonts w:ascii="仿宋_GB2312" w:hAnsi="仿宋_GB2312" w:eastAsia="仿宋_GB2312"/>
          <w:b w:val="0"/>
          <w:sz w:val="24"/>
        </w:rPr>
        <w:t>核心成员具有较强的竞赛组织、方案撰写、展示答辩和工程实现能力，能够把技术思路转化为可演示原型、方案文本和对接材料，并在对外沟通中明确能力边界、使用方式和合作价值。</w:t>
      </w:r>
    </w:p>
    <w:p>
      <w:pPr>
        <w:pStyle w:val="Heading3"/>
        <w:spacing w:before="0" w:after="0" w:line="500" w:lineRule="exact"/>
        <w:ind w:firstLine="0"/>
        <w:jc w:val="left"/>
      </w:pPr>
      <w:r>
        <w:rPr>
          <w:rFonts w:ascii="仿宋_GB2312" w:hAnsi="仿宋_GB2312" w:eastAsia="仿宋_GB2312"/>
          <w:b w:val="0"/>
          <w:sz w:val="28"/>
        </w:rPr>
        <w:t>8.4.4 海南在地场景认知较强</w:t>
      </w:r>
    </w:p>
    <w:p>
      <w:pPr>
        <w:spacing w:before="0" w:after="0" w:line="500" w:lineRule="exact"/>
        <w:ind w:firstLine="480"/>
        <w:jc w:val="both"/>
      </w:pPr>
      <w:r>
        <w:rPr>
          <w:rFonts w:ascii="仿宋_GB2312" w:hAnsi="仿宋_GB2312" w:eastAsia="仿宋_GB2312"/>
          <w:b w:val="0"/>
          <w:sz w:val="24"/>
        </w:rPr>
        <w:t>团队长期在海南学习和实践，对本地特色水果产业、区域品牌果品和校地合作资源有较直接的观察与理解，适合从澄迈福橙、琼中绿橙等具体对象切入，先形成样板案例，再总结可复制方法。</w:t>
      </w:r>
    </w:p>
    <w:p>
      <w:pPr>
        <w:pStyle w:val="Heading1"/>
        <w:spacing w:before="0" w:after="0" w:line="500" w:lineRule="exact"/>
        <w:ind w:firstLine="0"/>
        <w:jc w:val="left"/>
      </w:pPr>
      <w:r>
        <w:rPr>
          <w:rFonts w:ascii="黑体" w:hAnsi="黑体" w:eastAsia="黑体"/>
          <w:b w:val="0"/>
          <w:sz w:val="32"/>
        </w:rPr>
        <w:t>第九章 财务预测</w:t>
      </w:r>
    </w:p>
    <w:p>
      <w:pPr>
        <w:spacing w:before="0" w:after="0" w:line="500" w:lineRule="exact"/>
        <w:ind w:firstLine="480"/>
        <w:jc w:val="both"/>
      </w:pPr>
      <w:r>
        <w:rPr>
          <w:rFonts w:ascii="仿宋_GB2312" w:hAnsi="仿宋_GB2312" w:eastAsia="仿宋_GB2312"/>
          <w:b w:val="0"/>
          <w:sz w:val="24"/>
        </w:rPr>
        <w:t>本章围绕收入结构、成本项、现金流节奏和融资条件进行测算，采用审慎口径说明项目的资金安排和成长路径。</w:t>
      </w:r>
    </w:p>
    <w:p>
      <w:pPr>
        <w:pStyle w:val="Heading2"/>
        <w:spacing w:before="0" w:after="0" w:line="500" w:lineRule="exact"/>
        <w:ind w:firstLine="0"/>
        <w:jc w:val="left"/>
      </w:pPr>
      <w:r>
        <w:rPr>
          <w:rFonts w:ascii="楷体_GB2312" w:hAnsi="楷体_GB2312" w:eastAsia="楷体_GB2312"/>
          <w:b w:val="0"/>
          <w:sz w:val="32"/>
        </w:rPr>
        <w:t>9.1 财务假设前提</w:t>
      </w:r>
    </w:p>
    <w:p>
      <w:pPr>
        <w:spacing w:before="0" w:after="0" w:line="500" w:lineRule="exact"/>
        <w:ind w:firstLine="480"/>
        <w:jc w:val="both"/>
      </w:pPr>
      <w:r>
        <w:rPr>
          <w:rFonts w:ascii="仿宋_GB2312" w:hAnsi="仿宋_GB2312" w:eastAsia="仿宋_GB2312"/>
          <w:b w:val="0"/>
          <w:sz w:val="24"/>
        </w:rPr>
        <w:t>财务假设的核心前提，是项目采取“先验证、后放量”的轻资产推进方式。收入主要来自试点检测与报告服务、平台使用与数据管理服务、以及围绕特定产区和特定合作方开展的联合开发服务；成本则主要由样本采集、理化检测、研发投入、平台维护、试点实施与差旅支出构成。前两年研发和样本投入占比较高，后续随着平台稳定和流程标准化，收入结构中平台型和续费型收入占比才会逐步抬升。</w:t>
      </w:r>
    </w:p>
    <w:p>
      <w:pPr>
        <w:spacing w:before="0" w:after="0" w:line="500" w:lineRule="exact"/>
        <w:ind w:firstLine="480"/>
        <w:jc w:val="both"/>
      </w:pPr>
      <w:r>
        <w:rPr>
          <w:rFonts w:ascii="仿宋_GB2312" w:hAnsi="仿宋_GB2312" w:eastAsia="仿宋_GB2312"/>
          <w:b w:val="0"/>
          <w:sz w:val="24"/>
        </w:rPr>
        <w:t>本章测算不以已签约订单为前提，而是基于项目现有能力边界、合理推进节奏和常见高校科创项目资源条件作出的审慎推演。其作用主要是帮助团队判断投入节奏、资金压力和盈利路径，而不是给出脱离执行条件的乐观数字。</w:t>
      </w:r>
    </w:p>
    <w:p>
      <w:pPr>
        <w:pStyle w:val="Heading3"/>
        <w:spacing w:before="0" w:after="0" w:line="500" w:lineRule="exact"/>
        <w:ind w:firstLine="0"/>
        <w:jc w:val="left"/>
      </w:pPr>
      <w:r>
        <w:rPr>
          <w:rFonts w:ascii="仿宋_GB2312" w:hAnsi="仿宋_GB2312" w:eastAsia="仿宋_GB2312"/>
          <w:b w:val="0"/>
          <w:sz w:val="28"/>
        </w:rPr>
        <w:t>9.1.1 收入端假设</w:t>
      </w:r>
    </w:p>
    <w:p>
      <w:pPr>
        <w:spacing w:before="0" w:after="0" w:line="500" w:lineRule="exact"/>
        <w:ind w:firstLine="480"/>
        <w:jc w:val="both"/>
      </w:pPr>
      <w:r>
        <w:rPr>
          <w:rFonts w:ascii="仿宋_GB2312" w:hAnsi="仿宋_GB2312" w:eastAsia="仿宋_GB2312"/>
          <w:b w:val="0"/>
          <w:sz w:val="24"/>
        </w:rPr>
        <w:t>收入端以三类业务为主，并且每一类都对应一个较具体的交付包。第一类是面向产区、合作社和品牌方的“试点验证包”，通常包含限定样本采集、基础分析、批次结果说明和复盘报告；第二类是阶段稳定后逐步形成的“年度服务包”，核心是按批次持续输出分析结果、历史记录和数据管理服务；第三类是围绕特定区域或特定品牌主体展开的“联合开发包”，侧重样本扩充、模型调优和专属报告模板建设。由于项目仍处于从原型向试点过渡阶段，前期收入以项目型和服务型为主，平台型和续费型收入不会过早占据主体。</w:t>
      </w:r>
    </w:p>
    <w:p>
      <w:pPr>
        <w:pStyle w:val="Heading3"/>
        <w:spacing w:before="0" w:after="0" w:line="500" w:lineRule="exact"/>
        <w:ind w:firstLine="0"/>
        <w:jc w:val="left"/>
      </w:pPr>
      <w:r>
        <w:rPr>
          <w:rFonts w:ascii="仿宋_GB2312" w:hAnsi="仿宋_GB2312" w:eastAsia="仿宋_GB2312"/>
          <w:b w:val="0"/>
          <w:sz w:val="28"/>
        </w:rPr>
        <w:t>9.1.2 成本与费用假设</w:t>
      </w:r>
    </w:p>
    <w:p>
      <w:pPr>
        <w:spacing w:before="0" w:after="0" w:line="500" w:lineRule="exact"/>
        <w:ind w:firstLine="480"/>
        <w:jc w:val="both"/>
      </w:pPr>
      <w:r>
        <w:rPr>
          <w:rFonts w:ascii="仿宋_GB2312" w:hAnsi="仿宋_GB2312" w:eastAsia="仿宋_GB2312"/>
          <w:b w:val="0"/>
          <w:sz w:val="24"/>
        </w:rPr>
        <w:t>成本端主要包括样本采集、理化标定、差旅调研、设备调试、平台维护和必要的算力与软件支出；费用端则以研发投入、试点实施、项目沟通和赛事路演准备为主。对于当前阶段的橙源智鉴而言，研发与样本相关支出具有前置性，这决定了前两年的利润表和现金流量表都会承受较大压力。</w:t>
      </w:r>
    </w:p>
    <w:p>
      <w:pPr>
        <w:pStyle w:val="Heading3"/>
        <w:spacing w:before="0" w:after="0" w:line="500" w:lineRule="exact"/>
        <w:ind w:firstLine="0"/>
        <w:jc w:val="left"/>
      </w:pPr>
      <w:r>
        <w:rPr>
          <w:rFonts w:ascii="仿宋_GB2312" w:hAnsi="仿宋_GB2312" w:eastAsia="仿宋_GB2312"/>
          <w:b w:val="0"/>
          <w:sz w:val="28"/>
        </w:rPr>
        <w:t>9.1.3 测算边界说明</w:t>
      </w:r>
    </w:p>
    <w:p>
      <w:pPr>
        <w:spacing w:before="0" w:after="0" w:line="500" w:lineRule="exact"/>
        <w:ind w:firstLine="480"/>
        <w:jc w:val="both"/>
      </w:pPr>
      <w:r>
        <w:rPr>
          <w:rFonts w:ascii="仿宋_GB2312" w:hAnsi="仿宋_GB2312" w:eastAsia="仿宋_GB2312"/>
          <w:b w:val="0"/>
          <w:sz w:val="24"/>
        </w:rPr>
        <w:t>本章测算采用审慎口径，不将网页原型中的演示参数直接视为经营结果，也不把尚未签约的合作意向提前折算为收入。所有推演更适合作为项目排序投入、把握资金节奏和讨论商业路径的依据，而不宜理解为已经锁定的财务表现。</w:t>
      </w:r>
    </w:p>
    <w:p>
      <w:pPr>
        <w:pStyle w:val="Heading2"/>
        <w:spacing w:before="0" w:after="0" w:line="500" w:lineRule="exact"/>
        <w:ind w:firstLine="0"/>
        <w:jc w:val="left"/>
      </w:pPr>
      <w:r>
        <w:rPr>
          <w:rFonts w:ascii="楷体_GB2312" w:hAnsi="楷体_GB2312" w:eastAsia="楷体_GB2312"/>
          <w:b w:val="0"/>
          <w:sz w:val="32"/>
        </w:rPr>
        <w:t>9.2 三情景核心假设对比</w:t>
      </w:r>
    </w:p>
    <w:p>
      <w:pPr>
        <w:spacing w:before="0" w:after="0" w:line="500" w:lineRule="exact"/>
        <w:ind w:firstLine="480"/>
        <w:jc w:val="both"/>
      </w:pPr>
      <w:r>
        <w:rPr>
          <w:rFonts w:ascii="仿宋_GB2312" w:hAnsi="仿宋_GB2312" w:eastAsia="仿宋_GB2312"/>
          <w:b w:val="0"/>
          <w:sz w:val="24"/>
        </w:rPr>
        <w:t>在乐观、中性和保守三种情景下，差异主要来自试点推进速度、合作转化率、平台续费留存率以及样本沉淀效率。乐观情景下，项目较早形成区域样板并放大合作；中性情景下，项目按既定节奏稳步推进；保守情景下，样本和合作节奏均慢于预期，盈亏平衡点将相应后移。当前更适合作为决策依据的，仍是中性情景。</w:t>
      </w:r>
    </w:p>
    <w:p>
      <w:pPr>
        <w:pStyle w:val="Heading3"/>
        <w:spacing w:before="0" w:after="0" w:line="500" w:lineRule="exact"/>
        <w:ind w:firstLine="0"/>
        <w:jc w:val="left"/>
      </w:pPr>
      <w:r>
        <w:rPr>
          <w:rFonts w:ascii="仿宋_GB2312" w:hAnsi="仿宋_GB2312" w:eastAsia="仿宋_GB2312"/>
          <w:b w:val="0"/>
          <w:sz w:val="28"/>
        </w:rPr>
        <w:t>9.2.1 乐观情景</w:t>
      </w:r>
    </w:p>
    <w:p>
      <w:pPr>
        <w:spacing w:before="0" w:after="0" w:line="500" w:lineRule="exact"/>
        <w:ind w:firstLine="480"/>
        <w:jc w:val="both"/>
      </w:pPr>
      <w:r>
        <w:rPr>
          <w:rFonts w:ascii="仿宋_GB2312" w:hAnsi="仿宋_GB2312" w:eastAsia="仿宋_GB2312"/>
          <w:b w:val="0"/>
          <w:sz w:val="24"/>
        </w:rPr>
        <w:t>乐观情景建立在两个前提上：一是团队较快完成样本补强并形成稳定试点结果，二是区域品牌果品场景能够在短期内形成示范合作。此时项目收入增长更早出现，平台化收入启动也更快，但这一情景依赖较高的合作推进效率，因此不宜作为当前阶段的默认预期。</w:t>
      </w:r>
    </w:p>
    <w:p>
      <w:pPr>
        <w:pStyle w:val="Heading3"/>
        <w:spacing w:before="0" w:after="0" w:line="500" w:lineRule="exact"/>
        <w:ind w:firstLine="0"/>
        <w:jc w:val="left"/>
      </w:pPr>
      <w:r>
        <w:rPr>
          <w:rFonts w:ascii="仿宋_GB2312" w:hAnsi="仿宋_GB2312" w:eastAsia="仿宋_GB2312"/>
          <w:b w:val="0"/>
          <w:sz w:val="28"/>
        </w:rPr>
        <w:t>9.2.2 中性情景</w:t>
      </w:r>
    </w:p>
    <w:p>
      <w:pPr>
        <w:spacing w:before="0" w:after="0" w:line="500" w:lineRule="exact"/>
        <w:ind w:firstLine="480"/>
        <w:jc w:val="both"/>
      </w:pPr>
      <w:r>
        <w:rPr>
          <w:rFonts w:ascii="仿宋_GB2312" w:hAnsi="仿宋_GB2312" w:eastAsia="仿宋_GB2312"/>
          <w:b w:val="0"/>
          <w:sz w:val="24"/>
        </w:rPr>
        <w:t>中性情景是本计划书默认采用的判断口径。其核心逻辑是：2026—2027 年以技术验证和场景试点为主，2028 年开始形成较稳定的合作转化，2029—2030 年平台化收入和续费型收入占比逐步提升。这一路径更符合学生团队和原型项目的真实推进节奏。</w:t>
      </w:r>
    </w:p>
    <w:p>
      <w:pPr>
        <w:pStyle w:val="Heading3"/>
        <w:spacing w:before="0" w:after="0" w:line="500" w:lineRule="exact"/>
        <w:ind w:firstLine="0"/>
        <w:jc w:val="left"/>
      </w:pPr>
      <w:r>
        <w:rPr>
          <w:rFonts w:ascii="仿宋_GB2312" w:hAnsi="仿宋_GB2312" w:eastAsia="仿宋_GB2312"/>
          <w:b w:val="0"/>
          <w:sz w:val="28"/>
        </w:rPr>
        <w:t>9.2.3 保守情景</w:t>
      </w:r>
    </w:p>
    <w:p>
      <w:pPr>
        <w:spacing w:before="0" w:after="0" w:line="500" w:lineRule="exact"/>
        <w:ind w:firstLine="480"/>
        <w:jc w:val="both"/>
      </w:pPr>
      <w:r>
        <w:rPr>
          <w:rFonts w:ascii="仿宋_GB2312" w:hAnsi="仿宋_GB2312" w:eastAsia="仿宋_GB2312"/>
          <w:b w:val="0"/>
          <w:sz w:val="24"/>
        </w:rPr>
        <w:t>保守情景主要考虑样本获取不足、合作推进放缓和回款周期拉长等因素叠加的情况。在这一情景下，项目将长期停留在小规模试点和阶段性展示状态，盈亏平衡点明显后移。这一情景的意义不在于悲观判断，而在于提醒团队提前准备现金流安全垫和阶段性压缩方案。</w:t>
      </w:r>
    </w:p>
    <w:p>
      <w:pPr>
        <w:pStyle w:val="Heading2"/>
        <w:spacing w:before="0" w:after="0" w:line="500" w:lineRule="exact"/>
        <w:ind w:firstLine="0"/>
        <w:jc w:val="left"/>
      </w:pPr>
      <w:r>
        <w:rPr>
          <w:rFonts w:ascii="楷体_GB2312" w:hAnsi="楷体_GB2312" w:eastAsia="楷体_GB2312"/>
          <w:b w:val="0"/>
          <w:sz w:val="32"/>
        </w:rPr>
        <w:t>9.3 五年损益预测</w:t>
      </w:r>
    </w:p>
    <w:p>
      <w:pPr>
        <w:spacing w:before="0" w:after="0" w:line="500" w:lineRule="exact"/>
        <w:ind w:firstLine="480"/>
        <w:jc w:val="both"/>
      </w:pPr>
      <w:r>
        <w:rPr>
          <w:rFonts w:ascii="仿宋_GB2312" w:hAnsi="仿宋_GB2312" w:eastAsia="仿宋_GB2312"/>
          <w:b w:val="0"/>
          <w:sz w:val="24"/>
        </w:rPr>
        <w:t>按中性情景测算，2026—2027 年项目仍以研发和场景验证为主，收入更多来自试点验证包和小规模合作，净利润大概率为负；2028 年开始，若能把部分试点转化为年度服务关系，项目才会逐步接近盈亏平衡；2029—2030 年若年度服务、联合开发和平台续费同步增长，项目才真正具备较清晰的盈利能力。对橙源智鉴而言，盈利不会在早期突然出现，而是依赖样本积累、案例沉淀和收入结构改善一点点长出来。</w:t>
      </w:r>
    </w:p>
    <w:p>
      <w:pPr>
        <w:pStyle w:val="Heading3"/>
        <w:spacing w:before="0" w:after="0" w:line="500" w:lineRule="exact"/>
        <w:ind w:firstLine="0"/>
        <w:jc w:val="left"/>
      </w:pPr>
      <w:r>
        <w:rPr>
          <w:rFonts w:ascii="仿宋_GB2312" w:hAnsi="仿宋_GB2312" w:eastAsia="仿宋_GB2312"/>
          <w:b w:val="0"/>
          <w:sz w:val="28"/>
        </w:rPr>
        <w:t>9.3.1 前两年亏损形成原因</w:t>
      </w:r>
    </w:p>
    <w:p>
      <w:pPr>
        <w:spacing w:before="0" w:after="0" w:line="500" w:lineRule="exact"/>
        <w:ind w:firstLine="480"/>
        <w:jc w:val="both"/>
      </w:pPr>
      <w:r>
        <w:rPr>
          <w:rFonts w:ascii="仿宋_GB2312" w:hAnsi="仿宋_GB2312" w:eastAsia="仿宋_GB2312"/>
          <w:b w:val="0"/>
          <w:sz w:val="24"/>
        </w:rPr>
        <w:t>前两年的亏损主要来自三部分：样本采集与理化标定的基础投入、平台功能与算法迭代的持续投入，以及面向试点合作的沟通与实施投入。对于依赖数据沉淀的检测类项目而言，早期亏损并不意味着模式失效，而更多体现为技术路线尚处在建立可信度的阶段。</w:t>
      </w:r>
    </w:p>
    <w:p>
      <w:pPr>
        <w:pStyle w:val="Heading3"/>
        <w:spacing w:before="0" w:after="0" w:line="500" w:lineRule="exact"/>
        <w:ind w:firstLine="0"/>
        <w:jc w:val="left"/>
      </w:pPr>
      <w:r>
        <w:rPr>
          <w:rFonts w:ascii="仿宋_GB2312" w:hAnsi="仿宋_GB2312" w:eastAsia="仿宋_GB2312"/>
          <w:b w:val="0"/>
          <w:sz w:val="28"/>
        </w:rPr>
        <w:t>9.3.2 盈利拐点判断</w:t>
      </w:r>
    </w:p>
    <w:p>
      <w:pPr>
        <w:spacing w:before="0" w:after="0" w:line="500" w:lineRule="exact"/>
        <w:ind w:firstLine="480"/>
        <w:jc w:val="both"/>
      </w:pPr>
      <w:r>
        <w:rPr>
          <w:rFonts w:ascii="仿宋_GB2312" w:hAnsi="仿宋_GB2312" w:eastAsia="仿宋_GB2312"/>
          <w:b w:val="0"/>
          <w:sz w:val="24"/>
        </w:rPr>
        <w:t>盈利拐点不取决于单次试点收入的突然放大，而取决于平台型收入和复购型收入是否开始出现。如果项目能够把部分试点合作转化为持续使用、持续更新和持续报告输出的关系，利润改善会比单纯增加一次性项目更稳定，这也是第九章所有测算的底层判断。</w:t>
      </w:r>
    </w:p>
    <w:p>
      <w:pPr>
        <w:pStyle w:val="Heading2"/>
        <w:spacing w:before="0" w:after="0" w:line="500" w:lineRule="exact"/>
        <w:ind w:firstLine="0"/>
        <w:jc w:val="left"/>
      </w:pPr>
      <w:r>
        <w:rPr>
          <w:rFonts w:ascii="楷体_GB2312" w:hAnsi="楷体_GB2312" w:eastAsia="楷体_GB2312"/>
          <w:b w:val="0"/>
          <w:sz w:val="32"/>
        </w:rPr>
        <w:t>9.4 五年现金流量预测</w:t>
      </w:r>
    </w:p>
    <w:p>
      <w:pPr>
        <w:spacing w:before="0" w:after="0" w:line="500" w:lineRule="exact"/>
        <w:ind w:firstLine="480"/>
        <w:jc w:val="both"/>
      </w:pPr>
      <w:r>
        <w:rPr>
          <w:rFonts w:ascii="仿宋_GB2312" w:hAnsi="仿宋_GB2312" w:eastAsia="仿宋_GB2312"/>
          <w:b w:val="0"/>
          <w:sz w:val="24"/>
        </w:rPr>
        <w:t xml:space="preserve">现金流最紧张的阶段一般出现在项目前两年。团队需要持续投入样本采集、理化标定、平台迭代和试点准备，而合作回款往往滞后于研发投入。若缺少校内资源支持、扶持资金或阶段性合作经费，项目容易在尚未形成稳定收入前承受较大现金流压力。因此，第九章更强调对现金流安全垫的准备，而不是仅看利润表。 </w:t>
      </w:r>
    </w:p>
    <w:p>
      <w:pPr>
        <w:pStyle w:val="Heading3"/>
        <w:spacing w:before="0" w:after="0" w:line="500" w:lineRule="exact"/>
        <w:ind w:firstLine="0"/>
        <w:jc w:val="left"/>
      </w:pPr>
      <w:r>
        <w:rPr>
          <w:rFonts w:ascii="仿宋_GB2312" w:hAnsi="仿宋_GB2312" w:eastAsia="仿宋_GB2312"/>
          <w:b w:val="0"/>
          <w:sz w:val="28"/>
        </w:rPr>
        <w:t>9.4.1 现金流压力来源</w:t>
      </w:r>
    </w:p>
    <w:p>
      <w:pPr>
        <w:spacing w:before="0" w:after="0" w:line="500" w:lineRule="exact"/>
        <w:ind w:firstLine="480"/>
        <w:jc w:val="both"/>
      </w:pPr>
      <w:r>
        <w:rPr>
          <w:rFonts w:ascii="仿宋_GB2312" w:hAnsi="仿宋_GB2312" w:eastAsia="仿宋_GB2312"/>
          <w:b w:val="0"/>
          <w:sz w:val="24"/>
        </w:rPr>
        <w:t>现金流压力主要来自投入和回款错位。团队往往需要先完成样本采集、理化标定、模型训练和试点准备，合作方才可能进入签约、验收和付款流程。若同时推进多个场景，差旅与实施支出也会阶段性抬升，因此现金流紧张往往比利润表更早出现。</w:t>
      </w:r>
    </w:p>
    <w:p>
      <w:pPr>
        <w:pStyle w:val="Heading3"/>
        <w:spacing w:before="0" w:after="0" w:line="500" w:lineRule="exact"/>
        <w:ind w:firstLine="0"/>
        <w:jc w:val="left"/>
      </w:pPr>
      <w:r>
        <w:rPr>
          <w:rFonts w:ascii="仿宋_GB2312" w:hAnsi="仿宋_GB2312" w:eastAsia="仿宋_GB2312"/>
          <w:b w:val="0"/>
          <w:sz w:val="28"/>
        </w:rPr>
        <w:t>9.4.2 资金安全垫安排</w:t>
      </w:r>
    </w:p>
    <w:p>
      <w:pPr>
        <w:spacing w:before="0" w:after="0" w:line="500" w:lineRule="exact"/>
        <w:ind w:firstLine="480"/>
        <w:jc w:val="both"/>
      </w:pPr>
      <w:r>
        <w:rPr>
          <w:rFonts w:ascii="仿宋_GB2312" w:hAnsi="仿宋_GB2312" w:eastAsia="仿宋_GB2312"/>
          <w:b w:val="0"/>
          <w:sz w:val="24"/>
        </w:rPr>
        <w:t>更稳妥的安排是优先依靠校内资源、竞赛奖金、科创项目经费和小规模合作款支撑前期验证，把大额投入尽量放在试点结果更清晰之后。对学生团队而言，留出 6 至 9 个月的基础运营安全垫，比过早追求规模化投入更重要。</w:t>
      </w:r>
    </w:p>
    <w:p>
      <w:pPr>
        <w:pStyle w:val="Heading2"/>
        <w:spacing w:before="0" w:after="0" w:line="500" w:lineRule="exact"/>
        <w:ind w:firstLine="0"/>
        <w:jc w:val="left"/>
      </w:pPr>
      <w:r>
        <w:rPr>
          <w:rFonts w:ascii="楷体_GB2312" w:hAnsi="楷体_GB2312" w:eastAsia="楷体_GB2312"/>
          <w:b w:val="0"/>
          <w:sz w:val="32"/>
        </w:rPr>
        <w:t>9.5 资产负债结构判断</w:t>
      </w:r>
    </w:p>
    <w:p>
      <w:pPr>
        <w:spacing w:before="0" w:after="0" w:line="500" w:lineRule="exact"/>
        <w:ind w:firstLine="480"/>
        <w:jc w:val="both"/>
      </w:pPr>
      <w:r>
        <w:rPr>
          <w:rFonts w:ascii="仿宋_GB2312" w:hAnsi="仿宋_GB2312" w:eastAsia="仿宋_GB2312"/>
          <w:b w:val="0"/>
          <w:sz w:val="24"/>
        </w:rPr>
        <w:t>项目整体属于轻资产技术服务与平台型项目，核心资产并非大量固定设备，而是数据资产、算法能力、平台原型和团队协作能力。负债安排应保持审慎，尽量避免在项目前期就引入过重的刚性偿债压力；更合理的路径，是优先用校内资源、科研支持、科创扶持和合作经费支撑早期投入，待项目形成更清晰的试点成果后再考虑扩大外部融资规模。</w:t>
      </w:r>
    </w:p>
    <w:p>
      <w:pPr>
        <w:pStyle w:val="Heading3"/>
        <w:spacing w:before="0" w:after="0" w:line="500" w:lineRule="exact"/>
        <w:ind w:firstLine="0"/>
        <w:jc w:val="left"/>
      </w:pPr>
      <w:r>
        <w:rPr>
          <w:rFonts w:ascii="仿宋_GB2312" w:hAnsi="仿宋_GB2312" w:eastAsia="仿宋_GB2312"/>
          <w:b w:val="0"/>
          <w:sz w:val="28"/>
        </w:rPr>
        <w:t>9.5.1 轻资产结构特征</w:t>
      </w:r>
    </w:p>
    <w:p>
      <w:pPr>
        <w:spacing w:before="0" w:after="0" w:line="500" w:lineRule="exact"/>
        <w:ind w:firstLine="480"/>
        <w:jc w:val="both"/>
      </w:pPr>
      <w:r>
        <w:rPr>
          <w:rFonts w:ascii="仿宋_GB2312" w:hAnsi="仿宋_GB2312" w:eastAsia="仿宋_GB2312"/>
          <w:b w:val="0"/>
          <w:sz w:val="24"/>
        </w:rPr>
        <w:t>橙源智鉴的核心资产主要表现为样本数据、算法模型、平台原型、报告模板和场景经验，而不是大规模硬件折旧。即便后续有一定设备采购需求，其本质仍是以技术服务和数据能力驱动的轻资产项目，这决定了项目更适合循序渐进地放大，而不是一次性压上重设备投入。</w:t>
      </w:r>
    </w:p>
    <w:p>
      <w:pPr>
        <w:pStyle w:val="Heading3"/>
        <w:spacing w:before="0" w:after="0" w:line="500" w:lineRule="exact"/>
        <w:ind w:firstLine="0"/>
        <w:jc w:val="left"/>
      </w:pPr>
      <w:r>
        <w:rPr>
          <w:rFonts w:ascii="仿宋_GB2312" w:hAnsi="仿宋_GB2312" w:eastAsia="仿宋_GB2312"/>
          <w:b w:val="0"/>
          <w:sz w:val="28"/>
        </w:rPr>
        <w:t>9.5.2 负债安排原则</w:t>
      </w:r>
    </w:p>
    <w:p>
      <w:pPr>
        <w:spacing w:before="0" w:after="0" w:line="500" w:lineRule="exact"/>
        <w:ind w:firstLine="480"/>
        <w:jc w:val="both"/>
      </w:pPr>
      <w:r>
        <w:rPr>
          <w:rFonts w:ascii="仿宋_GB2312" w:hAnsi="仿宋_GB2312" w:eastAsia="仿宋_GB2312"/>
          <w:b w:val="0"/>
          <w:sz w:val="24"/>
        </w:rPr>
        <w:t>在负债安排上，应优先避免高利率、短周期、刚性偿付的融资方式。当前阶段更适合通过学校支持、科研经费、赛事项目、合作预付款和小规模扶持资金维持周转，待试点成果具备可复用性后，再讨论更系统的融资结构。</w:t>
      </w:r>
    </w:p>
    <w:p>
      <w:pPr>
        <w:pStyle w:val="Heading2"/>
        <w:spacing w:before="0" w:after="0" w:line="500" w:lineRule="exact"/>
        <w:ind w:firstLine="0"/>
        <w:jc w:val="left"/>
      </w:pPr>
      <w:r>
        <w:rPr>
          <w:rFonts w:ascii="楷体_GB2312" w:hAnsi="楷体_GB2312" w:eastAsia="楷体_GB2312"/>
          <w:b w:val="0"/>
          <w:sz w:val="32"/>
        </w:rPr>
        <w:t>9.6 三情景营收与盈利对比</w:t>
      </w:r>
    </w:p>
    <w:p>
      <w:pPr>
        <w:spacing w:before="0" w:after="0" w:line="500" w:lineRule="exact"/>
        <w:ind w:firstLine="480"/>
        <w:jc w:val="both"/>
      </w:pPr>
      <w:r>
        <w:rPr>
          <w:rFonts w:ascii="仿宋_GB2312" w:hAnsi="仿宋_GB2312" w:eastAsia="仿宋_GB2312"/>
          <w:b w:val="0"/>
          <w:sz w:val="24"/>
        </w:rPr>
        <w:t>三情景对比中，最值得关注的不是收入总量本身，而是一次性试点收入和持续性平台收入的比例变化。若项目长期停留在一次性服务阶段，盈利能力会受到明显限制；若试点能够逐步转化为订阅、续费或联合项目，则收入质量和现金流稳定性都会同步改善。这一结论，也是财务模型中最关键的结构性判断。</w:t>
      </w:r>
    </w:p>
    <w:p>
      <w:pPr>
        <w:pStyle w:val="Heading3"/>
        <w:spacing w:before="0" w:after="0" w:line="500" w:lineRule="exact"/>
        <w:ind w:firstLine="0"/>
        <w:jc w:val="left"/>
      </w:pPr>
      <w:r>
        <w:rPr>
          <w:rFonts w:ascii="仿宋_GB2312" w:hAnsi="仿宋_GB2312" w:eastAsia="仿宋_GB2312"/>
          <w:b w:val="0"/>
          <w:sz w:val="28"/>
        </w:rPr>
        <w:t>9.6.1 收入质量差异</w:t>
      </w:r>
    </w:p>
    <w:p>
      <w:pPr>
        <w:spacing w:before="0" w:after="0" w:line="500" w:lineRule="exact"/>
        <w:ind w:firstLine="480"/>
        <w:jc w:val="both"/>
      </w:pPr>
      <w:r>
        <w:rPr>
          <w:rFonts w:ascii="仿宋_GB2312" w:hAnsi="仿宋_GB2312" w:eastAsia="仿宋_GB2312"/>
          <w:b w:val="0"/>
          <w:sz w:val="24"/>
        </w:rPr>
        <w:t>乐观与中性情景的差别，不只是收入规模的高低，更在于收入质量的不同。前者更早出现平台订阅、续费和复购，后者则更多依赖阶段性合作；保守情景则可能长期以一次性项目为主。收入质量决定了利润的稳定性，也决定了项目是否具备持续投入研发的能力。</w:t>
      </w:r>
    </w:p>
    <w:p>
      <w:pPr>
        <w:pStyle w:val="Heading3"/>
        <w:spacing w:before="0" w:after="0" w:line="500" w:lineRule="exact"/>
        <w:ind w:firstLine="0"/>
        <w:jc w:val="left"/>
      </w:pPr>
      <w:r>
        <w:rPr>
          <w:rFonts w:ascii="仿宋_GB2312" w:hAnsi="仿宋_GB2312" w:eastAsia="仿宋_GB2312"/>
          <w:b w:val="0"/>
          <w:sz w:val="28"/>
        </w:rPr>
        <w:t>9.6.2 利润弹性判断</w:t>
      </w:r>
    </w:p>
    <w:p>
      <w:pPr>
        <w:spacing w:before="0" w:after="0" w:line="500" w:lineRule="exact"/>
        <w:ind w:firstLine="480"/>
        <w:jc w:val="both"/>
      </w:pPr>
      <w:r>
        <w:rPr>
          <w:rFonts w:ascii="仿宋_GB2312" w:hAnsi="仿宋_GB2312" w:eastAsia="仿宋_GB2312"/>
          <w:b w:val="0"/>
          <w:sz w:val="24"/>
        </w:rPr>
        <w:t>一旦平台型收入占比抬升，项目利润弹性会明显增强，因为同一套平台、模型和报告流程可以服务更多客户，而边际新增成本增长相对有限。反过来，如果长期依赖人工服务和单次项目，利润改善就会始终受制于团队人力上限。</w:t>
      </w:r>
    </w:p>
    <w:p>
      <w:pPr>
        <w:pStyle w:val="Heading2"/>
        <w:spacing w:before="0" w:after="0" w:line="500" w:lineRule="exact"/>
        <w:ind w:firstLine="0"/>
        <w:jc w:val="left"/>
      </w:pPr>
      <w:r>
        <w:rPr>
          <w:rFonts w:ascii="楷体_GB2312" w:hAnsi="楷体_GB2312" w:eastAsia="楷体_GB2312"/>
          <w:b w:val="0"/>
          <w:sz w:val="32"/>
        </w:rPr>
        <w:t>9.7 盈亏平衡分析</w:t>
      </w:r>
    </w:p>
    <w:p>
      <w:pPr>
        <w:spacing w:before="0" w:after="0" w:line="500" w:lineRule="exact"/>
        <w:ind w:firstLine="480"/>
        <w:jc w:val="both"/>
      </w:pPr>
      <w:r>
        <w:rPr>
          <w:rFonts w:ascii="仿宋_GB2312" w:hAnsi="仿宋_GB2312" w:eastAsia="仿宋_GB2312"/>
          <w:b w:val="0"/>
          <w:sz w:val="24"/>
        </w:rPr>
        <w:t>以当前中性情景推演，项目的固定成本主要来自研发人工、基础算力、平台维护、样本采集与必要管理支出。真正接近盈亏平衡的状态，并不是“偶尔接到一个大单”，而是团队在一个经营周期内同时拥有若干稳定试点、至少一类持续服务关系，以及可以复用的报告与交付流程。当试点服务收入能够较稳定地覆盖样本与交付成本，且平台订阅、续费或联合项目收入开始持续贡献固定费用时，项目才真正接近盈亏平衡。</w:t>
      </w:r>
    </w:p>
    <w:p>
      <w:pPr>
        <w:pStyle w:val="Heading3"/>
        <w:spacing w:before="0" w:after="0" w:line="500" w:lineRule="exact"/>
        <w:ind w:firstLine="0"/>
        <w:jc w:val="left"/>
      </w:pPr>
      <w:r>
        <w:rPr>
          <w:rFonts w:ascii="仿宋_GB2312" w:hAnsi="仿宋_GB2312" w:eastAsia="仿宋_GB2312"/>
          <w:b w:val="0"/>
          <w:sz w:val="28"/>
        </w:rPr>
        <w:t>9.7.1 固定成本覆盖门槛</w:t>
      </w:r>
    </w:p>
    <w:p>
      <w:pPr>
        <w:spacing w:before="0" w:after="0" w:line="500" w:lineRule="exact"/>
        <w:ind w:firstLine="480"/>
        <w:jc w:val="both"/>
      </w:pPr>
      <w:r>
        <w:rPr>
          <w:rFonts w:ascii="仿宋_GB2312" w:hAnsi="仿宋_GB2312" w:eastAsia="仿宋_GB2312"/>
          <w:b w:val="0"/>
          <w:sz w:val="24"/>
        </w:rPr>
        <w:t>在当前配置下，固定成本主要由研发人力、平台维护、算力支出和基础管理费用构成。只有当这些固定成本能够被较稳定的收入覆盖时，项目才算真正进入可持续经营状态。因此，团队不应只盯住“拿到一个项目”，而应盯住“形成连续几个季度都能覆盖固定成本的收入结构”。</w:t>
      </w:r>
    </w:p>
    <w:p>
      <w:pPr>
        <w:pStyle w:val="Heading3"/>
        <w:spacing w:before="0" w:after="0" w:line="500" w:lineRule="exact"/>
        <w:ind w:firstLine="0"/>
        <w:jc w:val="left"/>
      </w:pPr>
      <w:r>
        <w:rPr>
          <w:rFonts w:ascii="仿宋_GB2312" w:hAnsi="仿宋_GB2312" w:eastAsia="仿宋_GB2312"/>
          <w:b w:val="0"/>
          <w:sz w:val="28"/>
        </w:rPr>
        <w:t>9.7.2 平衡点后的增长逻辑</w:t>
      </w:r>
    </w:p>
    <w:p>
      <w:pPr>
        <w:spacing w:before="0" w:after="0" w:line="500" w:lineRule="exact"/>
        <w:ind w:firstLine="480"/>
        <w:jc w:val="both"/>
      </w:pPr>
      <w:r>
        <w:rPr>
          <w:rFonts w:ascii="仿宋_GB2312" w:hAnsi="仿宋_GB2312" w:eastAsia="仿宋_GB2312"/>
          <w:b w:val="0"/>
          <w:sz w:val="24"/>
        </w:rPr>
        <w:t>一旦越过盈亏平衡点，增长逻辑就应从扩充一次性试点数量，转向提升续费率、提升复购率和提升单客户价值。对橙源智鉴而言，真正可持续的增长不是把团队变成检测外包队，而是把数据、模型和报告能力沉淀成可重复交付的服务系统。</w:t>
      </w:r>
    </w:p>
    <w:p>
      <w:pPr>
        <w:pStyle w:val="Heading2"/>
        <w:spacing w:before="0" w:after="0" w:line="500" w:lineRule="exact"/>
        <w:ind w:firstLine="0"/>
        <w:jc w:val="left"/>
      </w:pPr>
      <w:r>
        <w:rPr>
          <w:rFonts w:ascii="楷体_GB2312" w:hAnsi="楷体_GB2312" w:eastAsia="楷体_GB2312"/>
          <w:b w:val="0"/>
          <w:sz w:val="32"/>
        </w:rPr>
        <w:t>9.8 敏感性分析</w:t>
      </w:r>
    </w:p>
    <w:p>
      <w:pPr>
        <w:spacing w:before="0" w:after="0" w:line="500" w:lineRule="exact"/>
        <w:ind w:firstLine="480"/>
        <w:jc w:val="both"/>
      </w:pPr>
      <w:r>
        <w:rPr>
          <w:rFonts w:ascii="仿宋_GB2312" w:hAnsi="仿宋_GB2312" w:eastAsia="仿宋_GB2312"/>
          <w:b w:val="0"/>
          <w:sz w:val="24"/>
        </w:rPr>
        <w:t>对橙源智鉴影响最大的敏感变量主要有三项：试点转化为持续合作的比例、平台订阅与续费留存率，以及样本与模型迭代速度。这三项指标分别决定收入增量、收入质量和产品持续交付能力。一旦其中任一项持续偏弱，项目的成长速度和财务表现都会受到明显影响。</w:t>
      </w:r>
    </w:p>
    <w:p>
      <w:pPr>
        <w:pStyle w:val="Heading3"/>
        <w:spacing w:before="0" w:after="0" w:line="500" w:lineRule="exact"/>
        <w:ind w:firstLine="0"/>
        <w:jc w:val="left"/>
      </w:pPr>
      <w:r>
        <w:rPr>
          <w:rFonts w:ascii="仿宋_GB2312" w:hAnsi="仿宋_GB2312" w:eastAsia="仿宋_GB2312"/>
          <w:b w:val="0"/>
          <w:sz w:val="28"/>
        </w:rPr>
        <w:t>9.8.1 高敏变量识别</w:t>
      </w:r>
    </w:p>
    <w:p>
      <w:pPr>
        <w:spacing w:before="0" w:after="0" w:line="500" w:lineRule="exact"/>
        <w:ind w:firstLine="480"/>
        <w:jc w:val="both"/>
      </w:pPr>
      <w:r>
        <w:rPr>
          <w:rFonts w:ascii="仿宋_GB2312" w:hAnsi="仿宋_GB2312" w:eastAsia="仿宋_GB2312"/>
          <w:b w:val="0"/>
          <w:sz w:val="24"/>
        </w:rPr>
        <w:t>试点转化率决定合作能否从展示走向收入，续费留存率决定平台型收入能否形成复利，样本与模型迭代速度则决定项目能否持续保持结果可信度。这三项指标分别对应市场、产品和技术三个维度，是最值得持续盯防的高敏变量。</w:t>
      </w:r>
    </w:p>
    <w:p>
      <w:pPr>
        <w:pStyle w:val="Heading3"/>
        <w:spacing w:before="0" w:after="0" w:line="500" w:lineRule="exact"/>
        <w:ind w:firstLine="0"/>
        <w:jc w:val="left"/>
      </w:pPr>
      <w:r>
        <w:rPr>
          <w:rFonts w:ascii="仿宋_GB2312" w:hAnsi="仿宋_GB2312" w:eastAsia="仿宋_GB2312"/>
          <w:b w:val="0"/>
          <w:sz w:val="28"/>
        </w:rPr>
        <w:t>9.8.2 管控重点判断</w:t>
      </w:r>
    </w:p>
    <w:p>
      <w:pPr>
        <w:spacing w:before="0" w:after="0" w:line="500" w:lineRule="exact"/>
        <w:ind w:firstLine="480"/>
        <w:jc w:val="both"/>
      </w:pPr>
      <w:r>
        <w:rPr>
          <w:rFonts w:ascii="仿宋_GB2312" w:hAnsi="仿宋_GB2312" w:eastAsia="仿宋_GB2312"/>
          <w:b w:val="0"/>
          <w:sz w:val="24"/>
        </w:rPr>
        <w:t>如果试点转化率偏低，团队应优先收缩场景、聚焦最易验证的区域品牌果品；如果续费留存率偏弱，应检查报告价值、平台使用频次和客户成功机制；如果样本迭代速度跟不上，则应把资源优先投向数据补强而不是盲目扩场景。敏感性分析的价值，正在于帮助团队做取舍。</w:t>
      </w:r>
    </w:p>
    <w:p>
      <w:pPr>
        <w:pStyle w:val="Heading2"/>
        <w:spacing w:before="0" w:after="0" w:line="500" w:lineRule="exact"/>
        <w:ind w:firstLine="0"/>
        <w:jc w:val="left"/>
      </w:pPr>
      <w:r>
        <w:rPr>
          <w:rFonts w:ascii="楷体_GB2312" w:hAnsi="楷体_GB2312" w:eastAsia="楷体_GB2312"/>
          <w:b w:val="0"/>
          <w:sz w:val="32"/>
        </w:rPr>
        <w:t>9.9 关键财务比率趋势</w:t>
      </w:r>
    </w:p>
    <w:p>
      <w:pPr>
        <w:spacing w:before="0" w:after="0" w:line="500" w:lineRule="exact"/>
        <w:ind w:firstLine="480"/>
        <w:jc w:val="both"/>
      </w:pPr>
      <w:r>
        <w:rPr>
          <w:rFonts w:ascii="仿宋_GB2312" w:hAnsi="仿宋_GB2312" w:eastAsia="仿宋_GB2312"/>
          <w:b w:val="0"/>
          <w:sz w:val="24"/>
        </w:rPr>
        <w:t>后续更值得长期跟踪的，并不是单次利润，而是毛利率、研发投入占比、续费留存率和回款效率。毛利率随着平台化收入占比提升有望改善，研发投入占比则应在不削弱技术积累的前提下逐步回落；若续费和回款效率同步改善，才说明项目真正开始从“有人愿意尝试”走向“有人愿意持续采用”。</w:t>
      </w:r>
    </w:p>
    <w:p>
      <w:pPr>
        <w:spacing w:before="0" w:after="0" w:line="500" w:lineRule="exact"/>
        <w:ind w:firstLine="480"/>
        <w:jc w:val="both"/>
      </w:pPr>
      <w:r>
        <w:rPr>
          <w:rFonts w:ascii="仿宋_GB2312" w:hAnsi="仿宋_GB2312" w:eastAsia="仿宋_GB2312"/>
          <w:b w:val="0"/>
          <w:sz w:val="24"/>
        </w:rPr>
        <w:t>从管理用途上说，这些比率还有一个作用，就是帮助团队判断项目是否正在从“以研发为中心”逐步过渡到“研发与经营并重”。如果研发投入长期高企但留存、回款和合作复购迟迟没有改善，就说明商业闭环尚未建立，推进节奏需要及时调整。</w:t>
      </w:r>
    </w:p>
    <w:p>
      <w:pPr>
        <w:pStyle w:val="Heading3"/>
        <w:spacing w:before="0" w:after="0" w:line="500" w:lineRule="exact"/>
        <w:ind w:firstLine="0"/>
        <w:jc w:val="left"/>
      </w:pPr>
      <w:r>
        <w:rPr>
          <w:rFonts w:ascii="仿宋_GB2312" w:hAnsi="仿宋_GB2312" w:eastAsia="仿宋_GB2312"/>
          <w:b w:val="0"/>
          <w:sz w:val="28"/>
        </w:rPr>
        <w:t>9.9.1 核心指标观察</w:t>
      </w:r>
    </w:p>
    <w:p>
      <w:pPr>
        <w:spacing w:before="0" w:after="0" w:line="500" w:lineRule="exact"/>
        <w:ind w:firstLine="480"/>
        <w:jc w:val="both"/>
      </w:pPr>
      <w:r>
        <w:rPr>
          <w:rFonts w:ascii="仿宋_GB2312" w:hAnsi="仿宋_GB2312" w:eastAsia="仿宋_GB2312"/>
          <w:b w:val="0"/>
          <w:sz w:val="24"/>
        </w:rPr>
        <w:t>毛利率、研发投入占比、续费率、回款周期和单客户年价值，是当前阶段最值得跟踪的五类指标。它们分别对应项目的成本效率、技术投入强度、客户粘性、现金流质量和商业价值密度，比单一营收数字更能说明问题。</w:t>
      </w:r>
    </w:p>
    <w:p>
      <w:pPr>
        <w:pStyle w:val="Heading3"/>
        <w:spacing w:before="0" w:after="0" w:line="500" w:lineRule="exact"/>
        <w:ind w:firstLine="0"/>
        <w:jc w:val="left"/>
      </w:pPr>
      <w:r>
        <w:rPr>
          <w:rFonts w:ascii="仿宋_GB2312" w:hAnsi="仿宋_GB2312" w:eastAsia="仿宋_GB2312"/>
          <w:b w:val="0"/>
          <w:sz w:val="28"/>
        </w:rPr>
        <w:t>9.9.2 指标改善节奏</w:t>
      </w:r>
    </w:p>
    <w:p>
      <w:pPr>
        <w:spacing w:before="0" w:after="0" w:line="500" w:lineRule="exact"/>
        <w:ind w:firstLine="480"/>
        <w:jc w:val="both"/>
      </w:pPr>
      <w:r>
        <w:rPr>
          <w:rFonts w:ascii="仿宋_GB2312" w:hAnsi="仿宋_GB2312" w:eastAsia="仿宋_GB2312"/>
          <w:b w:val="0"/>
          <w:sz w:val="24"/>
        </w:rPr>
        <w:t>合理的改善节奏应当是：先提升结果可信度和试点转化率，再提升续费率和回款效率，最后才是扩大收入规模。若顺序颠倒，项目看似增长，实则会积累更多交付压力与财务风险。</w:t>
      </w:r>
    </w:p>
    <w:p>
      <w:pPr>
        <w:pStyle w:val="Heading2"/>
        <w:spacing w:before="0" w:after="0" w:line="500" w:lineRule="exact"/>
        <w:ind w:firstLine="0"/>
        <w:jc w:val="left"/>
      </w:pPr>
      <w:r>
        <w:rPr>
          <w:rFonts w:ascii="楷体_GB2312" w:hAnsi="楷体_GB2312" w:eastAsia="楷体_GB2312"/>
          <w:b w:val="0"/>
          <w:sz w:val="32"/>
        </w:rPr>
        <w:t>9.10 资本需求与融资规划</w:t>
      </w:r>
    </w:p>
    <w:p>
      <w:pPr>
        <w:spacing w:before="0" w:after="0" w:line="500" w:lineRule="exact"/>
        <w:ind w:firstLine="480"/>
        <w:jc w:val="both"/>
      </w:pPr>
      <w:r>
        <w:rPr>
          <w:rFonts w:ascii="仿宋_GB2312" w:hAnsi="仿宋_GB2312" w:eastAsia="仿宋_GB2312"/>
          <w:b w:val="0"/>
          <w:sz w:val="24"/>
        </w:rPr>
        <w:t>项目前期资金缺口主要用于样本采集、理化检测、平台完善和试点落地，更稳妥的路径是先通过校内资源、科创项目、合作经费和小额扶持资金把第一批案例做出来、把第一套试点流程跑顺。如果在 2027—2028 年形成较成熟的试点案例、稳定的合作留存和较清晰的产品边界，再考虑引入面向技术转化或农业数字化方向的外部资金会更有说服力。融资不应被视为项目成立的前提，而应被视为阶段性价值跑通后的放大器。</w:t>
      </w:r>
    </w:p>
    <w:p>
      <w:pPr>
        <w:spacing w:before="0" w:after="0" w:line="500" w:lineRule="exact"/>
        <w:ind w:firstLine="480"/>
        <w:jc w:val="both"/>
      </w:pPr>
      <w:r>
        <w:rPr>
          <w:rFonts w:ascii="仿宋_GB2312" w:hAnsi="仿宋_GB2312" w:eastAsia="仿宋_GB2312"/>
          <w:b w:val="0"/>
          <w:sz w:val="24"/>
        </w:rPr>
        <w:t>具体到资金使用上，前期融资或扶持资金更适合集中投向样本库建设、理化标定、平台迭代、试点实施和知识产权布局五个方向，而不宜过早投入大规模营销铺设或非关键固定资产。这样既能保持资金使用效率，也有利于让每一笔投入都直接服务于项目能力提升。</w:t>
      </w:r>
    </w:p>
    <w:p>
      <w:pPr>
        <w:pStyle w:val="Heading3"/>
        <w:spacing w:before="0" w:after="0" w:line="500" w:lineRule="exact"/>
        <w:ind w:firstLine="0"/>
        <w:jc w:val="left"/>
      </w:pPr>
      <w:r>
        <w:rPr>
          <w:rFonts w:ascii="仿宋_GB2312" w:hAnsi="仿宋_GB2312" w:eastAsia="仿宋_GB2312"/>
          <w:b w:val="0"/>
          <w:sz w:val="28"/>
        </w:rPr>
        <w:t>9.10.1 资金使用方向</w:t>
      </w:r>
    </w:p>
    <w:p>
      <w:pPr>
        <w:spacing w:before="0" w:after="0" w:line="500" w:lineRule="exact"/>
        <w:ind w:firstLine="480"/>
        <w:jc w:val="both"/>
      </w:pPr>
      <w:r>
        <w:rPr>
          <w:rFonts w:ascii="仿宋_GB2312" w:hAnsi="仿宋_GB2312" w:eastAsia="仿宋_GB2312"/>
          <w:b w:val="0"/>
          <w:sz w:val="24"/>
        </w:rPr>
        <w:t>前期资金应优先投向最能提升项目可信度和转化效率的环节，包括样本补强、理化标定、关键算法迭代、平台稳定性优化和试点场景落地。只有这些基础环节跑通，后续营销、渠道和复制扩张才有意义。</w:t>
      </w:r>
    </w:p>
    <w:p>
      <w:pPr>
        <w:pStyle w:val="Heading3"/>
        <w:spacing w:before="0" w:after="0" w:line="500" w:lineRule="exact"/>
        <w:ind w:firstLine="0"/>
        <w:jc w:val="left"/>
      </w:pPr>
      <w:r>
        <w:rPr>
          <w:rFonts w:ascii="仿宋_GB2312" w:hAnsi="仿宋_GB2312" w:eastAsia="仿宋_GB2312"/>
          <w:b w:val="0"/>
          <w:sz w:val="28"/>
        </w:rPr>
        <w:t>9.10.2 融资节奏建议</w:t>
      </w:r>
    </w:p>
    <w:p>
      <w:pPr>
        <w:spacing w:before="0" w:after="0" w:line="500" w:lineRule="exact"/>
        <w:ind w:firstLine="480"/>
        <w:jc w:val="both"/>
      </w:pPr>
      <w:r>
        <w:rPr>
          <w:rFonts w:ascii="仿宋_GB2312" w:hAnsi="仿宋_GB2312" w:eastAsia="仿宋_GB2312"/>
          <w:b w:val="0"/>
          <w:sz w:val="24"/>
        </w:rPr>
        <w:t>融资节奏建议采取“先内后外、先小后大”的路径。也就是先用学校资源、赛事支持和合作经费完成阶段性验证，再视试点结果和合作留存情况，决定是否引入更系统的外部资金。这样更符合项目当前边界，也能避免过早承受融资目标压力。</w:t>
      </w:r>
    </w:p>
    <w:p>
      <w:pPr>
        <w:pStyle w:val="Heading3"/>
        <w:spacing w:before="0" w:after="0" w:line="500" w:lineRule="exact"/>
        <w:ind w:firstLine="0"/>
        <w:jc w:val="left"/>
      </w:pPr>
      <w:r>
        <w:rPr>
          <w:rFonts w:ascii="仿宋_GB2312" w:hAnsi="仿宋_GB2312" w:eastAsia="仿宋_GB2312"/>
          <w:b w:val="0"/>
          <w:sz w:val="28"/>
        </w:rPr>
        <w:t>9.10.3 外部融资边界</w:t>
      </w:r>
    </w:p>
    <w:p>
      <w:pPr>
        <w:spacing w:before="0" w:after="0" w:line="500" w:lineRule="exact"/>
        <w:ind w:firstLine="480"/>
        <w:jc w:val="both"/>
      </w:pPr>
      <w:r>
        <w:rPr>
          <w:rFonts w:ascii="仿宋_GB2312" w:hAnsi="仿宋_GB2312" w:eastAsia="仿宋_GB2312"/>
          <w:b w:val="0"/>
          <w:sz w:val="24"/>
        </w:rPr>
        <w:t>外部融资更适合发生在项目已经具备较稳定的场景案例、较明确的商业边界和较清晰的复制逻辑之后。融资应服务于验证后的放大，不应用来替代验证本身。</w:t>
      </w:r>
    </w:p>
    <w:p>
      <w:pPr>
        <w:pStyle w:val="Heading1"/>
        <w:spacing w:before="0" w:after="0" w:line="500" w:lineRule="exact"/>
        <w:ind w:firstLine="0"/>
        <w:jc w:val="left"/>
      </w:pPr>
      <w:r>
        <w:rPr>
          <w:rFonts w:ascii="黑体" w:hAnsi="黑体" w:eastAsia="黑体"/>
          <w:b w:val="0"/>
          <w:sz w:val="32"/>
        </w:rPr>
        <w:t>第十章 风险分析</w:t>
      </w:r>
    </w:p>
    <w:p>
      <w:pPr>
        <w:spacing w:before="0" w:after="0" w:line="500" w:lineRule="exact"/>
        <w:ind w:firstLine="480"/>
        <w:jc w:val="both"/>
      </w:pPr>
      <w:r>
        <w:rPr>
          <w:rFonts w:ascii="仿宋_GB2312" w:hAnsi="仿宋_GB2312" w:eastAsia="仿宋_GB2312"/>
          <w:b w:val="0"/>
          <w:sz w:val="24"/>
        </w:rPr>
        <w:t>项目风险主要集中在样本补强、试点转化、回款周期、成员协同和结果表达边界等方面。</w:t>
      </w:r>
    </w:p>
    <w:p>
      <w:pPr>
        <w:pStyle w:val="Heading2"/>
        <w:spacing w:before="0" w:after="0" w:line="500" w:lineRule="exact"/>
        <w:ind w:firstLine="0"/>
        <w:jc w:val="left"/>
      </w:pPr>
      <w:r>
        <w:rPr>
          <w:rFonts w:ascii="楷体_GB2312" w:hAnsi="楷体_GB2312" w:eastAsia="楷体_GB2312"/>
          <w:b w:val="0"/>
          <w:sz w:val="32"/>
        </w:rPr>
        <w:t>10.1 分析假设条件声明</w:t>
      </w:r>
    </w:p>
    <w:p>
      <w:pPr>
        <w:spacing w:before="0" w:after="0" w:line="500" w:lineRule="exact"/>
        <w:ind w:firstLine="480"/>
        <w:jc w:val="both"/>
      </w:pPr>
      <w:r>
        <w:rPr>
          <w:rFonts w:ascii="仿宋_GB2312" w:hAnsi="仿宋_GB2312" w:eastAsia="仿宋_GB2312"/>
          <w:b w:val="0"/>
          <w:sz w:val="24"/>
        </w:rPr>
        <w:t>本章风险分析建立在一个前提上：橙源智鉴当前仍处于从原型走向试点的成长阶段，部分模型指标和页面展示更体现方向与能力雏形，而非已经经过大规模商用验证的最终结论。因此，风险研判既要考虑项目已有基础，也要充分考虑样本规模、场景复杂度、合作推进节奏和资金约束对结果的影响。</w:t>
      </w:r>
    </w:p>
    <w:p>
      <w:pPr>
        <w:pStyle w:val="Heading3"/>
        <w:spacing w:before="0" w:after="0" w:line="500" w:lineRule="exact"/>
        <w:ind w:firstLine="0"/>
        <w:jc w:val="left"/>
      </w:pPr>
      <w:r>
        <w:rPr>
          <w:rFonts w:ascii="仿宋_GB2312" w:hAnsi="仿宋_GB2312" w:eastAsia="仿宋_GB2312"/>
          <w:b w:val="0"/>
          <w:sz w:val="28"/>
        </w:rPr>
        <w:t>10.1.1 风险分析适用边界</w:t>
      </w:r>
    </w:p>
    <w:p>
      <w:pPr>
        <w:spacing w:before="0" w:after="0" w:line="500" w:lineRule="exact"/>
        <w:ind w:firstLine="480"/>
        <w:jc w:val="both"/>
      </w:pPr>
      <w:r>
        <w:rPr>
          <w:rFonts w:ascii="仿宋_GB2312" w:hAnsi="仿宋_GB2312" w:eastAsia="仿宋_GB2312"/>
          <w:b w:val="0"/>
          <w:sz w:val="24"/>
        </w:rPr>
        <w:t>本章识别的风险，主要对应原型走向试点阶段的实际问题，包括样本、模型、合作、资金和组织几个方面。由于项目尚未形成大规模商用，因此风险分析不以成熟企业的管理指标为模板，而以学生团队和早期项目更常见的推进风险为基础。</w:t>
      </w:r>
    </w:p>
    <w:p>
      <w:pPr>
        <w:pStyle w:val="Heading3"/>
        <w:spacing w:before="0" w:after="0" w:line="500" w:lineRule="exact"/>
        <w:ind w:firstLine="0"/>
        <w:jc w:val="left"/>
      </w:pPr>
      <w:r>
        <w:rPr>
          <w:rFonts w:ascii="仿宋_GB2312" w:hAnsi="仿宋_GB2312" w:eastAsia="仿宋_GB2312"/>
          <w:b w:val="0"/>
          <w:sz w:val="28"/>
        </w:rPr>
        <w:t>10.1.2 风险识别原则</w:t>
      </w:r>
    </w:p>
    <w:p>
      <w:pPr>
        <w:spacing w:before="0" w:after="0" w:line="500" w:lineRule="exact"/>
        <w:ind w:firstLine="480"/>
        <w:jc w:val="both"/>
      </w:pPr>
      <w:r>
        <w:rPr>
          <w:rFonts w:ascii="仿宋_GB2312" w:hAnsi="仿宋_GB2312" w:eastAsia="仿宋_GB2312"/>
          <w:b w:val="0"/>
          <w:sz w:val="24"/>
        </w:rPr>
        <w:t>风险识别坚持三个原则：一是优先识别会直接影响项目是否能继续推进的关键风险；二是区分“阶段性问题”和“结构性问题”；三是不把网页演示能力误当作完全可交付能力。只有在这三个原则下，风险判断才具有现实意义。</w:t>
      </w:r>
    </w:p>
    <w:p>
      <w:pPr>
        <w:pStyle w:val="Heading2"/>
        <w:spacing w:before="0" w:after="0" w:line="500" w:lineRule="exact"/>
        <w:ind w:firstLine="0"/>
        <w:jc w:val="left"/>
      </w:pPr>
      <w:r>
        <w:rPr>
          <w:rFonts w:ascii="楷体_GB2312" w:hAnsi="楷体_GB2312" w:eastAsia="楷体_GB2312"/>
          <w:b w:val="0"/>
          <w:sz w:val="32"/>
        </w:rPr>
        <w:t>10.2 财务风险维度分析</w:t>
      </w:r>
    </w:p>
    <w:p>
      <w:pPr>
        <w:spacing w:before="0" w:after="0" w:line="500" w:lineRule="exact"/>
        <w:ind w:firstLine="480"/>
        <w:jc w:val="both"/>
      </w:pPr>
      <w:r>
        <w:rPr>
          <w:rFonts w:ascii="仿宋_GB2312" w:hAnsi="仿宋_GB2312" w:eastAsia="仿宋_GB2312"/>
          <w:b w:val="0"/>
          <w:sz w:val="24"/>
        </w:rPr>
        <w:t>财务层面最大的风险，首先来自前期现金流压力。样本扩充、理化标定、平台迭代和试点准备都需要持续投入，而合作回款往往滞后于投入发生。其次，若试点长期只能停留在“做一版展示、出一份报告、但难以转成持续服务”的阶段，团队就会一直很忙，却始终难以把收入做实。回款周期一旦进一步拉长，或者多个试点同时推进但没有形成转正，前期财务压力就会被明显放大。</w:t>
      </w:r>
    </w:p>
    <w:p>
      <w:pPr>
        <w:pStyle w:val="Heading3"/>
        <w:spacing w:before="0" w:after="0" w:line="500" w:lineRule="exact"/>
        <w:ind w:firstLine="0"/>
        <w:jc w:val="left"/>
      </w:pPr>
      <w:r>
        <w:rPr>
          <w:rFonts w:ascii="仿宋_GB2312" w:hAnsi="仿宋_GB2312" w:eastAsia="仿宋_GB2312"/>
          <w:b w:val="0"/>
          <w:sz w:val="28"/>
        </w:rPr>
        <w:t>10.2.1 现金流缺口风险</w:t>
      </w:r>
    </w:p>
    <w:p>
      <w:pPr>
        <w:spacing w:before="0" w:after="0" w:line="500" w:lineRule="exact"/>
        <w:ind w:firstLine="480"/>
        <w:jc w:val="both"/>
      </w:pPr>
      <w:r>
        <w:rPr>
          <w:rFonts w:ascii="仿宋_GB2312" w:hAnsi="仿宋_GB2312" w:eastAsia="仿宋_GB2312"/>
          <w:b w:val="0"/>
          <w:sz w:val="24"/>
        </w:rPr>
        <w:t>如果样本补强、平台优化和试点准备同时推进，而合作付款又明显滞后，项目很容易在结果尚未形成前就先出现现金流吃紧。对于现阶段的橙源智鉴而言，现金流风险甚至先于利润风险出现，因此必须把前期投入节奏与安全垫管理放在更靠前的位置。</w:t>
      </w:r>
    </w:p>
    <w:p>
      <w:pPr>
        <w:pStyle w:val="Heading3"/>
        <w:spacing w:before="0" w:after="0" w:line="500" w:lineRule="exact"/>
        <w:ind w:firstLine="0"/>
        <w:jc w:val="left"/>
      </w:pPr>
      <w:r>
        <w:rPr>
          <w:rFonts w:ascii="仿宋_GB2312" w:hAnsi="仿宋_GB2312" w:eastAsia="仿宋_GB2312"/>
          <w:b w:val="0"/>
          <w:sz w:val="28"/>
        </w:rPr>
        <w:t>10.2.2 回款与收入质量风险</w:t>
      </w:r>
    </w:p>
    <w:p>
      <w:pPr>
        <w:spacing w:before="0" w:after="0" w:line="500" w:lineRule="exact"/>
        <w:ind w:firstLine="480"/>
        <w:jc w:val="both"/>
      </w:pPr>
      <w:r>
        <w:rPr>
          <w:rFonts w:ascii="仿宋_GB2312" w:hAnsi="仿宋_GB2312" w:eastAsia="仿宋_GB2312"/>
          <w:b w:val="0"/>
          <w:sz w:val="24"/>
        </w:rPr>
        <w:t>即便有一定收入，如果收入主要来自一次性合作且回款周期长，项目依然会面临较大的财务波动。收入质量不足会导致研发难以持续、人员安排难以稳定，最终又反过来影响交付结果。因此，财务风险并不只来自“收入少”，也来自“收入不稳、回款不顺”。</w:t>
      </w:r>
    </w:p>
    <w:p>
      <w:pPr>
        <w:pStyle w:val="Heading2"/>
        <w:spacing w:before="0" w:after="0" w:line="500" w:lineRule="exact"/>
        <w:ind w:firstLine="0"/>
        <w:jc w:val="left"/>
      </w:pPr>
      <w:r>
        <w:rPr>
          <w:rFonts w:ascii="楷体_GB2312" w:hAnsi="楷体_GB2312" w:eastAsia="楷体_GB2312"/>
          <w:b w:val="0"/>
          <w:sz w:val="32"/>
        </w:rPr>
        <w:t>10.3 市场风险维度分析</w:t>
      </w:r>
    </w:p>
    <w:p>
      <w:pPr>
        <w:spacing w:before="0" w:after="0" w:line="500" w:lineRule="exact"/>
        <w:ind w:firstLine="480"/>
        <w:jc w:val="both"/>
      </w:pPr>
      <w:r>
        <w:rPr>
          <w:rFonts w:ascii="仿宋_GB2312" w:hAnsi="仿宋_GB2312" w:eastAsia="仿宋_GB2312"/>
          <w:b w:val="0"/>
          <w:sz w:val="24"/>
        </w:rPr>
        <w:t>市场层面的风险主要体现在三个方面：一是随着农产品数字化和智能检测热度上升，竞争者可能增多；二是高光谱与可解释AI本身具有一定认知门槛，团队若讲不清楚“能解决什么、暂时不能解决什么”，市场教育成本就会高于预期；三是若项目在某一阶段过度依赖少数标杆合作方，客户集中度风险会随之上升。对当前阶段的橙源智鉴而言，这些风险不会立刻决定成败，但会直接影响项目能否从一个亮眼案例走向稳定扩张。</w:t>
      </w:r>
    </w:p>
    <w:p>
      <w:pPr>
        <w:pStyle w:val="Heading3"/>
        <w:spacing w:before="0" w:after="0" w:line="500" w:lineRule="exact"/>
        <w:ind w:firstLine="0"/>
        <w:jc w:val="left"/>
      </w:pPr>
      <w:r>
        <w:rPr>
          <w:rFonts w:ascii="仿宋_GB2312" w:hAnsi="仿宋_GB2312" w:eastAsia="仿宋_GB2312"/>
          <w:b w:val="0"/>
          <w:sz w:val="28"/>
        </w:rPr>
        <w:t>10.3.1 市场教育风险</w:t>
      </w:r>
    </w:p>
    <w:p>
      <w:pPr>
        <w:spacing w:before="0" w:after="0" w:line="500" w:lineRule="exact"/>
        <w:ind w:firstLine="480"/>
        <w:jc w:val="both"/>
      </w:pPr>
      <w:r>
        <w:rPr>
          <w:rFonts w:ascii="仿宋_GB2312" w:hAnsi="仿宋_GB2312" w:eastAsia="仿宋_GB2312"/>
          <w:b w:val="0"/>
          <w:sz w:val="24"/>
        </w:rPr>
        <w:t>高光谱检测、产地识别和可解释AI对许多目标用户仍属于新概念。若团队不能把“能解决什么问题、比传统方法快在哪里、现阶段边界在哪里”讲清楚，就容易出现意向很多、落地很少的情况。市场教育成本往往被低估，这是学生项目早期最常见的风险之一。</w:t>
      </w:r>
    </w:p>
    <w:p>
      <w:pPr>
        <w:pStyle w:val="Heading3"/>
        <w:spacing w:before="0" w:after="0" w:line="500" w:lineRule="exact"/>
        <w:ind w:firstLine="0"/>
        <w:jc w:val="left"/>
      </w:pPr>
      <w:r>
        <w:rPr>
          <w:rFonts w:ascii="仿宋_GB2312" w:hAnsi="仿宋_GB2312" w:eastAsia="仿宋_GB2312"/>
          <w:b w:val="0"/>
          <w:sz w:val="28"/>
        </w:rPr>
        <w:t>10.3.2 客户集中度风险</w:t>
      </w:r>
    </w:p>
    <w:p>
      <w:pPr>
        <w:spacing w:before="0" w:after="0" w:line="500" w:lineRule="exact"/>
        <w:ind w:firstLine="480"/>
        <w:jc w:val="both"/>
      </w:pPr>
      <w:r>
        <w:rPr>
          <w:rFonts w:ascii="仿宋_GB2312" w:hAnsi="仿宋_GB2312" w:eastAsia="仿宋_GB2312"/>
          <w:b w:val="0"/>
          <w:sz w:val="24"/>
        </w:rPr>
        <w:t>若项目早期主要依靠少数标杆合作方推进，一旦其中某个合作停滞、预算调整或试点延后，团队整体节奏都会受到影响。因此，在资源有限的情况下，既要抓典型样板，也要逐步建立更分散的合作储备，避免把全部推进节奏绑在单一客户身上。</w:t>
      </w:r>
    </w:p>
    <w:p>
      <w:pPr>
        <w:pStyle w:val="Heading2"/>
        <w:spacing w:before="0" w:after="0" w:line="500" w:lineRule="exact"/>
        <w:ind w:firstLine="0"/>
        <w:jc w:val="left"/>
      </w:pPr>
      <w:r>
        <w:rPr>
          <w:rFonts w:ascii="楷体_GB2312" w:hAnsi="楷体_GB2312" w:eastAsia="楷体_GB2312"/>
          <w:b w:val="0"/>
          <w:sz w:val="32"/>
        </w:rPr>
        <w:t>10.4 运营风险维度分析</w:t>
      </w:r>
    </w:p>
    <w:p>
      <w:pPr>
        <w:spacing w:before="0" w:after="0" w:line="500" w:lineRule="exact"/>
        <w:ind w:firstLine="480"/>
        <w:jc w:val="both"/>
      </w:pPr>
      <w:r>
        <w:rPr>
          <w:rFonts w:ascii="仿宋_GB2312" w:hAnsi="仿宋_GB2312" w:eastAsia="仿宋_GB2312"/>
          <w:b w:val="0"/>
          <w:sz w:val="24"/>
        </w:rPr>
        <w:t>运营层面的核心风险，首先来自样本获取与维护的不稳定，其次来自交付节奏失衡和团队协作波动。若样本来源不连续、标签不完整、试点同时推进过多或关键成员知识未完成沉淀，研发、交付和对外沟通都可能受到影响。对学生团队项目而言，最怕的不是忙，而是所有事情都靠少数人临时顶着做，一旦试点增多、比赛叠加或成员时间被切碎，项目就容易出现“前端在改、后端在等、样本没补、报告还没出”的连锁失衡。</w:t>
      </w:r>
    </w:p>
    <w:p>
      <w:pPr>
        <w:pStyle w:val="Heading3"/>
        <w:spacing w:before="0" w:after="0" w:line="500" w:lineRule="exact"/>
        <w:ind w:firstLine="0"/>
        <w:jc w:val="left"/>
      </w:pPr>
      <w:r>
        <w:rPr>
          <w:rFonts w:ascii="仿宋_GB2312" w:hAnsi="仿宋_GB2312" w:eastAsia="仿宋_GB2312"/>
          <w:b w:val="0"/>
          <w:sz w:val="28"/>
        </w:rPr>
        <w:t>10.4.1 样本组织与交付排期风险</w:t>
      </w:r>
    </w:p>
    <w:p>
      <w:pPr>
        <w:spacing w:before="0" w:after="0" w:line="500" w:lineRule="exact"/>
        <w:ind w:firstLine="480"/>
        <w:jc w:val="both"/>
      </w:pPr>
      <w:r>
        <w:rPr>
          <w:rFonts w:ascii="仿宋_GB2312" w:hAnsi="仿宋_GB2312" w:eastAsia="仿宋_GB2312"/>
          <w:b w:val="0"/>
          <w:sz w:val="24"/>
        </w:rPr>
        <w:t>样本组织是项目运行的底盘。如果样本来源不稳定、采集流程不一致、标签记录不完整，模型效果和报告可信度都会受影响。与此同时，一旦团队同时承接过多试点或比赛事务，也容易出现排期冲突，进而拉低交付质量。</w:t>
      </w:r>
    </w:p>
    <w:p>
      <w:pPr>
        <w:pStyle w:val="Heading3"/>
        <w:spacing w:before="0" w:after="0" w:line="500" w:lineRule="exact"/>
        <w:ind w:firstLine="0"/>
        <w:jc w:val="left"/>
      </w:pPr>
      <w:r>
        <w:rPr>
          <w:rFonts w:ascii="仿宋_GB2312" w:hAnsi="仿宋_GB2312" w:eastAsia="仿宋_GB2312"/>
          <w:b w:val="0"/>
          <w:sz w:val="28"/>
        </w:rPr>
        <w:t>10.4.2 团队协同与知识沉淀风险</w:t>
      </w:r>
    </w:p>
    <w:p>
      <w:pPr>
        <w:spacing w:before="0" w:after="0" w:line="500" w:lineRule="exact"/>
        <w:ind w:firstLine="480"/>
        <w:jc w:val="both"/>
      </w:pPr>
      <w:r>
        <w:rPr>
          <w:rFonts w:ascii="仿宋_GB2312" w:hAnsi="仿宋_GB2312" w:eastAsia="仿宋_GB2312"/>
          <w:b w:val="0"/>
          <w:sz w:val="24"/>
        </w:rPr>
        <w:t>学生团队天然面临成员课业、实习和时间切换的问题。如果关键代码、实验流程、合作沟通记录和报告模板没有形成可交接的文档，一旦人员变动，项目推进就可能显著受阻。因此，运营风险的核心之一就是把经验尽快沉淀为流程。</w:t>
      </w:r>
    </w:p>
    <w:p>
      <w:pPr>
        <w:pStyle w:val="Heading2"/>
        <w:spacing w:before="0" w:after="0" w:line="500" w:lineRule="exact"/>
        <w:ind w:firstLine="0"/>
        <w:jc w:val="left"/>
      </w:pPr>
      <w:r>
        <w:rPr>
          <w:rFonts w:ascii="楷体_GB2312" w:hAnsi="楷体_GB2312" w:eastAsia="楷体_GB2312"/>
          <w:b w:val="0"/>
          <w:sz w:val="32"/>
        </w:rPr>
        <w:t>10.5 技术与合规风险维度分析</w:t>
      </w:r>
    </w:p>
    <w:p>
      <w:pPr>
        <w:spacing w:before="0" w:after="0" w:line="500" w:lineRule="exact"/>
        <w:ind w:firstLine="480"/>
        <w:jc w:val="both"/>
      </w:pPr>
      <w:r>
        <w:rPr>
          <w:rFonts w:ascii="仿宋_GB2312" w:hAnsi="仿宋_GB2312" w:eastAsia="仿宋_GB2312"/>
          <w:b w:val="0"/>
          <w:sz w:val="24"/>
        </w:rPr>
        <w:t>技术层面最大的风险，是模型在有限样本和特定场景中表现良好，但在跨批次、跨季节、跨产地条件下泛化不足。与此同时，一旦项目进入真实合作场景，样本数据、批次信息和业务结果的管理就涉及数据边界与合规问题；如果成果保护和知识产权安排跟不上，也可能影响项目后续的合作安全性。另一个容易被忽视的点，是结果表达边界风险，即把“适合试点验证和辅助判断的结果”包装成“已经完全替代实验室结论”，这会给合作带来误解甚至合规压力。</w:t>
      </w:r>
    </w:p>
    <w:p>
      <w:pPr>
        <w:pStyle w:val="Heading3"/>
        <w:spacing w:before="0" w:after="0" w:line="500" w:lineRule="exact"/>
        <w:ind w:firstLine="0"/>
        <w:jc w:val="left"/>
      </w:pPr>
      <w:r>
        <w:rPr>
          <w:rFonts w:ascii="仿宋_GB2312" w:hAnsi="仿宋_GB2312" w:eastAsia="仿宋_GB2312"/>
          <w:b w:val="0"/>
          <w:sz w:val="28"/>
        </w:rPr>
        <w:t>10.5.1 模型泛化风险</w:t>
      </w:r>
    </w:p>
    <w:p>
      <w:pPr>
        <w:spacing w:before="0" w:after="0" w:line="500" w:lineRule="exact"/>
        <w:ind w:firstLine="480"/>
        <w:jc w:val="both"/>
      </w:pPr>
      <w:r>
        <w:rPr>
          <w:rFonts w:ascii="仿宋_GB2312" w:hAnsi="仿宋_GB2312" w:eastAsia="仿宋_GB2312"/>
          <w:b w:val="0"/>
          <w:sz w:val="24"/>
        </w:rPr>
        <w:t>当前项目具备原型基础，但样本规模、批次复杂度和季节跨度仍需补强。如果模型只在有限样本上表现较好，却无法在跨批次、跨季节或跨产地场景下维持稳定表现，合作方对结果的信任就难以建立，这会直接影响试点转化。</w:t>
      </w:r>
    </w:p>
    <w:p>
      <w:pPr>
        <w:pStyle w:val="Heading3"/>
        <w:spacing w:before="0" w:after="0" w:line="500" w:lineRule="exact"/>
        <w:ind w:firstLine="0"/>
        <w:jc w:val="left"/>
      </w:pPr>
      <w:r>
        <w:rPr>
          <w:rFonts w:ascii="仿宋_GB2312" w:hAnsi="仿宋_GB2312" w:eastAsia="仿宋_GB2312"/>
          <w:b w:val="0"/>
          <w:sz w:val="28"/>
        </w:rPr>
        <w:t>10.5.2 数据与知识产权合规风险</w:t>
      </w:r>
    </w:p>
    <w:p>
      <w:pPr>
        <w:spacing w:before="0" w:after="0" w:line="500" w:lineRule="exact"/>
        <w:ind w:firstLine="480"/>
        <w:jc w:val="both"/>
      </w:pPr>
      <w:r>
        <w:rPr>
          <w:rFonts w:ascii="仿宋_GB2312" w:hAnsi="仿宋_GB2312" w:eastAsia="仿宋_GB2312"/>
          <w:b w:val="0"/>
          <w:sz w:val="24"/>
        </w:rPr>
        <w:t>一旦项目进入真实合作场景，样本信息、批次数据、检测结果和合作资料都可能涉及数据边界、成果归属和保密要求。如果缺少协议约定、权限管理和成果保护意识，项目即使技术可行，也会在合作安全性上承受较大压力。</w:t>
      </w:r>
    </w:p>
    <w:p>
      <w:pPr>
        <w:pStyle w:val="Heading2"/>
        <w:spacing w:before="0" w:after="0" w:line="500" w:lineRule="exact"/>
        <w:ind w:firstLine="0"/>
        <w:jc w:val="left"/>
      </w:pPr>
      <w:r>
        <w:rPr>
          <w:rFonts w:ascii="楷体_GB2312" w:hAnsi="楷体_GB2312" w:eastAsia="楷体_GB2312"/>
          <w:b w:val="0"/>
          <w:sz w:val="32"/>
        </w:rPr>
        <w:t>10.6 风险量化评估矩阵</w:t>
      </w:r>
    </w:p>
    <w:p>
      <w:pPr>
        <w:spacing w:before="0" w:after="0" w:line="500" w:lineRule="exact"/>
        <w:ind w:firstLine="480"/>
        <w:jc w:val="both"/>
      </w:pPr>
      <w:r>
        <w:rPr>
          <w:rFonts w:ascii="仿宋_GB2312" w:hAnsi="仿宋_GB2312" w:eastAsia="仿宋_GB2312"/>
          <w:b w:val="0"/>
          <w:sz w:val="24"/>
        </w:rPr>
        <w:t>综合来看，当前等级最高的风险主要集中在样本与模型泛化、前期现金流压力以及试点转化效率三个方面；中等级风险主要包括市场教育成本、团队协同和回款周期；较低等级风险则包括重资产投入和硬件规模化压力，因为项目现阶段仍以轻资产推进为主。通过风险矩阵梳理，团队可以把有限资源优先投入到真正影响项目成败的关键问题上。</w:t>
      </w:r>
    </w:p>
    <w:p>
      <w:pPr>
        <w:pStyle w:val="Heading3"/>
        <w:spacing w:before="0" w:after="0" w:line="500" w:lineRule="exact"/>
        <w:ind w:firstLine="0"/>
        <w:jc w:val="left"/>
      </w:pPr>
      <w:r>
        <w:rPr>
          <w:rFonts w:ascii="仿宋_GB2312" w:hAnsi="仿宋_GB2312" w:eastAsia="仿宋_GB2312"/>
          <w:b w:val="0"/>
          <w:sz w:val="28"/>
        </w:rPr>
        <w:t>10.6.1 高风险事项</w:t>
      </w:r>
    </w:p>
    <w:p>
      <w:pPr>
        <w:spacing w:before="0" w:after="0" w:line="500" w:lineRule="exact"/>
        <w:ind w:firstLine="480"/>
        <w:jc w:val="both"/>
      </w:pPr>
      <w:r>
        <w:rPr>
          <w:rFonts w:ascii="仿宋_GB2312" w:hAnsi="仿宋_GB2312" w:eastAsia="仿宋_GB2312"/>
          <w:b w:val="0"/>
          <w:sz w:val="24"/>
        </w:rPr>
        <w:t>现阶段应被列为高风险的事项，主要包括样本规模不足导致的模型泛化不稳、前期现金流安全垫不足、以及试点转化迟迟无法形成稳定合作。这三项风险都可能直接影响项目是否能够持续推进，应优先获得资源倾斜和负责人持续跟踪。</w:t>
      </w:r>
    </w:p>
    <w:p>
      <w:pPr>
        <w:pStyle w:val="Heading3"/>
        <w:spacing w:before="0" w:after="0" w:line="500" w:lineRule="exact"/>
        <w:ind w:firstLine="0"/>
        <w:jc w:val="left"/>
      </w:pPr>
      <w:r>
        <w:rPr>
          <w:rFonts w:ascii="仿宋_GB2312" w:hAnsi="仿宋_GB2312" w:eastAsia="仿宋_GB2312"/>
          <w:b w:val="0"/>
          <w:sz w:val="28"/>
        </w:rPr>
        <w:t>10.6.2 中低风险事项</w:t>
      </w:r>
    </w:p>
    <w:p>
      <w:pPr>
        <w:spacing w:before="0" w:after="0" w:line="500" w:lineRule="exact"/>
        <w:ind w:firstLine="480"/>
        <w:jc w:val="both"/>
      </w:pPr>
      <w:r>
        <w:rPr>
          <w:rFonts w:ascii="仿宋_GB2312" w:hAnsi="仿宋_GB2312" w:eastAsia="仿宋_GB2312"/>
          <w:b w:val="0"/>
          <w:sz w:val="24"/>
        </w:rPr>
        <w:t>中等级风险主要包括市场教育周期偏长、回款速度偏慢、团队阶段性协同失衡等；较低等级风险则包括重设备投入和硬件扩产压力，因为项目暂时仍不以大规模硬件销售为核心。通过分层处理，团队可以避免把有限精力分散在并非当前主矛盾的问题上。</w:t>
      </w:r>
    </w:p>
    <w:p>
      <w:pPr>
        <w:pStyle w:val="Heading2"/>
        <w:spacing w:before="0" w:after="0" w:line="500" w:lineRule="exact"/>
        <w:ind w:firstLine="0"/>
        <w:jc w:val="left"/>
      </w:pPr>
      <w:r>
        <w:rPr>
          <w:rFonts w:ascii="楷体_GB2312" w:hAnsi="楷体_GB2312" w:eastAsia="楷体_GB2312"/>
          <w:b w:val="0"/>
          <w:sz w:val="32"/>
        </w:rPr>
        <w:t>10.7 三情景风险演变路径</w:t>
      </w:r>
    </w:p>
    <w:p>
      <w:pPr>
        <w:spacing w:before="0" w:after="0" w:line="500" w:lineRule="exact"/>
        <w:ind w:firstLine="480"/>
        <w:jc w:val="both"/>
      </w:pPr>
      <w:r>
        <w:rPr>
          <w:rFonts w:ascii="仿宋_GB2312" w:hAnsi="仿宋_GB2312" w:eastAsia="仿宋_GB2312"/>
          <w:b w:val="0"/>
          <w:sz w:val="24"/>
        </w:rPr>
        <w:t>在乐观情景下，项目较快完成样本扩充、试点验证和区域合作链接，风险重点会从“能不能跑通”转向“能不能稳定复制”；在中性情景下，样本补强速度、合作转化效率和现金流管理仍是最需要持续盯防的问题；在保守情景下，若合作推进不及预期、样本沉淀偏慢、回款节奏延后，团队就需要主动压缩非核心投入，把资源重新集中到最有把握的场景中。</w:t>
      </w:r>
    </w:p>
    <w:p>
      <w:pPr>
        <w:pStyle w:val="Heading3"/>
        <w:spacing w:before="0" w:after="0" w:line="500" w:lineRule="exact"/>
        <w:ind w:firstLine="0"/>
        <w:jc w:val="left"/>
      </w:pPr>
      <w:r>
        <w:rPr>
          <w:rFonts w:ascii="仿宋_GB2312" w:hAnsi="仿宋_GB2312" w:eastAsia="仿宋_GB2312"/>
          <w:b w:val="0"/>
          <w:sz w:val="28"/>
        </w:rPr>
        <w:t>10.7.1 乐观情景下的风险迁移</w:t>
      </w:r>
    </w:p>
    <w:p>
      <w:pPr>
        <w:spacing w:before="0" w:after="0" w:line="500" w:lineRule="exact"/>
        <w:ind w:firstLine="480"/>
        <w:jc w:val="both"/>
      </w:pPr>
      <w:r>
        <w:rPr>
          <w:rFonts w:ascii="仿宋_GB2312" w:hAnsi="仿宋_GB2312" w:eastAsia="仿宋_GB2312"/>
          <w:b w:val="0"/>
          <w:sz w:val="24"/>
        </w:rPr>
        <w:t>在乐观情景下，团队很可能较快跨过“能不能做出来”的阶段，此时风险会转向“能不能标准化复制”“能不能保持交付质量一致”。换句话说，技术验证压力下降后，组织和交付能力将成为新的关键风险点。</w:t>
      </w:r>
    </w:p>
    <w:p>
      <w:pPr>
        <w:pStyle w:val="Heading3"/>
        <w:spacing w:before="0" w:after="0" w:line="500" w:lineRule="exact"/>
        <w:ind w:firstLine="0"/>
        <w:jc w:val="left"/>
      </w:pPr>
      <w:r>
        <w:rPr>
          <w:rFonts w:ascii="仿宋_GB2312" w:hAnsi="仿宋_GB2312" w:eastAsia="仿宋_GB2312"/>
          <w:b w:val="0"/>
          <w:sz w:val="28"/>
        </w:rPr>
        <w:t>10.7.2 中性与保守情景下的处置重点</w:t>
      </w:r>
    </w:p>
    <w:p>
      <w:pPr>
        <w:spacing w:before="0" w:after="0" w:line="500" w:lineRule="exact"/>
        <w:ind w:firstLine="480"/>
        <w:jc w:val="both"/>
      </w:pPr>
      <w:r>
        <w:rPr>
          <w:rFonts w:ascii="仿宋_GB2312" w:hAnsi="仿宋_GB2312" w:eastAsia="仿宋_GB2312"/>
          <w:b w:val="0"/>
          <w:sz w:val="24"/>
        </w:rPr>
        <w:t>在中性和保守情景下，团队更需要把资源优先放在样本补强、核心场景验证和资金节奏控制上，而不是分散到过多新场景或外围展示动作中。尤其在保守情景下，主动收缩和聚焦反而是一种必要能力。</w:t>
      </w:r>
    </w:p>
    <w:p>
      <w:pPr>
        <w:pStyle w:val="Heading2"/>
        <w:spacing w:before="0" w:after="0" w:line="500" w:lineRule="exact"/>
        <w:ind w:firstLine="0"/>
        <w:jc w:val="left"/>
      </w:pPr>
      <w:r>
        <w:rPr>
          <w:rFonts w:ascii="楷体_GB2312" w:hAnsi="楷体_GB2312" w:eastAsia="楷体_GB2312"/>
          <w:b w:val="0"/>
          <w:sz w:val="32"/>
        </w:rPr>
        <w:t>10.8 风险应对策略矩阵</w:t>
      </w:r>
    </w:p>
    <w:p>
      <w:pPr>
        <w:spacing w:before="0" w:after="0" w:line="500" w:lineRule="exact"/>
        <w:ind w:firstLine="480"/>
        <w:jc w:val="both"/>
      </w:pPr>
      <w:r>
        <w:rPr>
          <w:rFonts w:ascii="仿宋_GB2312" w:hAnsi="仿宋_GB2312" w:eastAsia="仿宋_GB2312"/>
          <w:b w:val="0"/>
          <w:sz w:val="24"/>
        </w:rPr>
        <w:t>总体上，项目风险应对可分为四类：对高等级核心风险采取优先规避与重点缓释策略；对中等级风险采取持续监测与阶段复盘；对低等级风险保持预案即可；对外部不确定性较强的风险，则尽量通过合作协议、流程标准和资源冗余设计进行转移。这样的矩阵式应对方式，有助于团队在资源有限的条件下保持风险处理的优先级清晰。</w:t>
      </w:r>
    </w:p>
    <w:p>
      <w:pPr>
        <w:pStyle w:val="Heading3"/>
        <w:spacing w:before="0" w:after="0" w:line="500" w:lineRule="exact"/>
        <w:ind w:firstLine="0"/>
        <w:jc w:val="left"/>
      </w:pPr>
      <w:r>
        <w:rPr>
          <w:rFonts w:ascii="仿宋_GB2312" w:hAnsi="仿宋_GB2312" w:eastAsia="仿宋_GB2312"/>
          <w:b w:val="0"/>
          <w:sz w:val="28"/>
        </w:rPr>
        <w:t>10.8.1 规避类策略</w:t>
      </w:r>
    </w:p>
    <w:p>
      <w:pPr>
        <w:spacing w:before="0" w:after="0" w:line="500" w:lineRule="exact"/>
        <w:ind w:firstLine="480"/>
        <w:jc w:val="both"/>
      </w:pPr>
      <w:r>
        <w:rPr>
          <w:rFonts w:ascii="仿宋_GB2312" w:hAnsi="仿宋_GB2312" w:eastAsia="仿宋_GB2312"/>
          <w:b w:val="0"/>
          <w:sz w:val="24"/>
        </w:rPr>
        <w:t>对当前最核心的高风险事项，应优先采取规避类策略，例如在样本基础不够扎实时不急于承诺复杂商业场景，在试点结果尚不稳定时不夸大宣传边界，在资金能力有限时不提前进行重投入扩张。规避本身就是一种成熟决策。</w:t>
      </w:r>
    </w:p>
    <w:p>
      <w:pPr>
        <w:pStyle w:val="Heading3"/>
        <w:spacing w:before="0" w:after="0" w:line="500" w:lineRule="exact"/>
        <w:ind w:firstLine="0"/>
        <w:jc w:val="left"/>
      </w:pPr>
      <w:r>
        <w:rPr>
          <w:rFonts w:ascii="仿宋_GB2312" w:hAnsi="仿宋_GB2312" w:eastAsia="仿宋_GB2312"/>
          <w:b w:val="0"/>
          <w:sz w:val="28"/>
        </w:rPr>
        <w:t>10.8.2 缓释类策略</w:t>
      </w:r>
    </w:p>
    <w:p>
      <w:pPr>
        <w:spacing w:before="0" w:after="0" w:line="500" w:lineRule="exact"/>
        <w:ind w:firstLine="480"/>
        <w:jc w:val="both"/>
      </w:pPr>
      <w:r>
        <w:rPr>
          <w:rFonts w:ascii="仿宋_GB2312" w:hAnsi="仿宋_GB2312" w:eastAsia="仿宋_GB2312"/>
          <w:b w:val="0"/>
          <w:sz w:val="24"/>
        </w:rPr>
        <w:t>对于无法完全规避但可逐步降低影响的风险，应采用缓释策略，例如建立样本补强计划、阶段复盘机制、标准化报告模板、客户成功跟踪表和月度资金看板。通过这些动作，团队可以把风险从“突然暴露”变成“提前预警、逐步处理”。</w:t>
      </w:r>
    </w:p>
    <w:p>
      <w:pPr>
        <w:pStyle w:val="Heading3"/>
        <w:spacing w:before="0" w:after="0" w:line="500" w:lineRule="exact"/>
        <w:ind w:firstLine="0"/>
        <w:jc w:val="left"/>
      </w:pPr>
      <w:r>
        <w:rPr>
          <w:rFonts w:ascii="仿宋_GB2312" w:hAnsi="仿宋_GB2312" w:eastAsia="仿宋_GB2312"/>
          <w:b w:val="0"/>
          <w:sz w:val="28"/>
        </w:rPr>
        <w:t>10.8.3 转移与预案类策略</w:t>
      </w:r>
    </w:p>
    <w:p>
      <w:pPr>
        <w:spacing w:before="0" w:after="0" w:line="500" w:lineRule="exact"/>
        <w:ind w:firstLine="480"/>
        <w:jc w:val="both"/>
      </w:pPr>
      <w:r>
        <w:rPr>
          <w:rFonts w:ascii="仿宋_GB2312" w:hAnsi="仿宋_GB2312" w:eastAsia="仿宋_GB2312"/>
          <w:b w:val="0"/>
          <w:sz w:val="24"/>
        </w:rPr>
        <w:t>对于涉及合作责任边界、数据保密和成果归属等外部不确定性较高的风险，应尽量通过协议、授权、保密条款和职责分工进行转移。同时，对可能发生但不一定立即发生的问题，要准备简洁可执行的预案，确保团队在压力情境下仍能快速响应。</w:t>
      </w:r>
    </w:p>
    <w:p>
      <w:pPr>
        <w:pStyle w:val="Heading2"/>
        <w:spacing w:before="0" w:after="0" w:line="500" w:lineRule="exact"/>
        <w:ind w:firstLine="0"/>
        <w:jc w:val="left"/>
      </w:pPr>
      <w:r>
        <w:rPr>
          <w:rFonts w:ascii="楷体_GB2312" w:hAnsi="楷体_GB2312" w:eastAsia="楷体_GB2312"/>
          <w:b w:val="0"/>
          <w:sz w:val="32"/>
        </w:rPr>
        <w:t>10.9 关键风险指标监控建议</w:t>
      </w:r>
    </w:p>
    <w:p>
      <w:pPr>
        <w:spacing w:before="0" w:after="0" w:line="500" w:lineRule="exact"/>
        <w:ind w:firstLine="480"/>
        <w:jc w:val="both"/>
      </w:pPr>
      <w:r>
        <w:rPr>
          <w:rFonts w:ascii="仿宋_GB2312" w:hAnsi="仿宋_GB2312" w:eastAsia="仿宋_GB2312"/>
          <w:b w:val="0"/>
          <w:sz w:val="24"/>
        </w:rPr>
        <w:t>为保证风险分析能够真正落地，项目后续应建立一套简洁但有效的关键风险指标体系，例如：样本新增数量与有效率、跨批次验证表现、试点转化率、合作回款周期、平台续费率和关键成员稳定度等。风险监控不是为了把表做漂亮，而是为了在问题还只是苗头的时候就拉响提醒，例如样本新增连续放缓、试点迟迟不转正、报告返工次数变多、关键任务长期压在同一个人身上。只要这些指标能够按月或按阶段复盘，团队就能更早发现风险信号，并在问题尚未放大前及时调整推进策略。</w:t>
      </w:r>
    </w:p>
    <w:p>
      <w:pPr>
        <w:pStyle w:val="Heading3"/>
        <w:spacing w:before="0" w:after="0" w:line="500" w:lineRule="exact"/>
        <w:ind w:firstLine="0"/>
        <w:jc w:val="left"/>
      </w:pPr>
      <w:r>
        <w:rPr>
          <w:rFonts w:ascii="仿宋_GB2312" w:hAnsi="仿宋_GB2312" w:eastAsia="仿宋_GB2312"/>
          <w:b w:val="0"/>
          <w:sz w:val="28"/>
        </w:rPr>
        <w:t>10.9.1 月度经营类指标</w:t>
      </w:r>
    </w:p>
    <w:p>
      <w:pPr>
        <w:spacing w:before="0" w:after="0" w:line="500" w:lineRule="exact"/>
        <w:ind w:firstLine="480"/>
        <w:jc w:val="both"/>
      </w:pPr>
      <w:r>
        <w:rPr>
          <w:rFonts w:ascii="仿宋_GB2312" w:hAnsi="仿宋_GB2312" w:eastAsia="仿宋_GB2312"/>
          <w:b w:val="0"/>
          <w:sz w:val="24"/>
        </w:rPr>
        <w:t>月度经营类指标建议包括试点数量、意向合作推进数、签约转化率、平均回款周期、月度支出节奏和可用现金覆盖月数。这些指标可以帮助团队及时识别合作推进和资金安全方面的风险信号。</w:t>
      </w:r>
    </w:p>
    <w:p>
      <w:pPr>
        <w:pStyle w:val="Heading3"/>
        <w:spacing w:before="0" w:after="0" w:line="500" w:lineRule="exact"/>
        <w:ind w:firstLine="0"/>
        <w:jc w:val="left"/>
      </w:pPr>
      <w:r>
        <w:rPr>
          <w:rFonts w:ascii="仿宋_GB2312" w:hAnsi="仿宋_GB2312" w:eastAsia="仿宋_GB2312"/>
          <w:b w:val="0"/>
          <w:sz w:val="28"/>
        </w:rPr>
        <w:t>10.9.2 技术验证类指标</w:t>
      </w:r>
    </w:p>
    <w:p>
      <w:pPr>
        <w:spacing w:before="0" w:after="0" w:line="500" w:lineRule="exact"/>
        <w:ind w:firstLine="480"/>
        <w:jc w:val="both"/>
      </w:pPr>
      <w:r>
        <w:rPr>
          <w:rFonts w:ascii="仿宋_GB2312" w:hAnsi="仿宋_GB2312" w:eastAsia="仿宋_GB2312"/>
          <w:b w:val="0"/>
          <w:sz w:val="24"/>
        </w:rPr>
        <w:t>技术验证类指标应重点观察样本新增数量、有效标签率、跨批次验证表现、关键指标波动情况和模型迭代周期。只有这些指标稳定改善，项目才有资格逐步扩大合作场景，否则应优先回到数据与模型基础层面进行修正。</w:t>
      </w:r>
    </w:p>
    <w:p>
      <w:pPr>
        <w:pStyle w:val="Heading3"/>
        <w:spacing w:before="0" w:after="0" w:line="500" w:lineRule="exact"/>
        <w:ind w:firstLine="0"/>
        <w:jc w:val="left"/>
      </w:pPr>
      <w:r>
        <w:rPr>
          <w:rFonts w:ascii="仿宋_GB2312" w:hAnsi="仿宋_GB2312" w:eastAsia="仿宋_GB2312"/>
          <w:b w:val="0"/>
          <w:sz w:val="28"/>
        </w:rPr>
        <w:t>10.9.3 团队与合作类指标</w:t>
      </w:r>
    </w:p>
    <w:p>
      <w:pPr>
        <w:spacing w:before="0" w:after="0" w:line="500" w:lineRule="exact"/>
        <w:ind w:firstLine="480"/>
        <w:jc w:val="both"/>
      </w:pPr>
      <w:r>
        <w:rPr>
          <w:rFonts w:ascii="仿宋_GB2312" w:hAnsi="仿宋_GB2312" w:eastAsia="仿宋_GB2312"/>
          <w:b w:val="0"/>
          <w:sz w:val="24"/>
        </w:rPr>
        <w:t>团队与合作类指标可包括关键成员稳定度、核心任务交接完整度、合作复盘完成率和顾问沟通频率。对学生项目而言，组织韧性往往决定项目能否穿过验证期，因此这类指标不能被忽略。</w:t>
      </w:r>
    </w:p>
    <w:sectPr w:rsidR="00FC693F" w:rsidRPr="0006063C" w:rsidSect="00034616">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500" w:lineRule="exact"/>
      <w:ind w:firstLine="0"/>
      <w:jc w:val="center"/>
    </w:pPr>
    <w:r>
      <w:rPr>
        <w:rFonts w:ascii="Times New Roman" w:hAnsi="Times New Roman" w:eastAsia="Times New Roman"/>
        <w:b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500" w:lineRule="exact"/>
      <w:ind w:firstLine="480"/>
    </w:pPr>
    <w:rPr>
      <w:rFonts w:ascii="Times New Roman" w:hAnsi="Times New Roman"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500" w:lineRule="exact"/>
      <w:outlineLvl w:val="0"/>
    </w:pPr>
    <w:rPr>
      <w:rFonts w:asciiTheme="majorHAnsi" w:eastAsiaTheme="majorEastAsia" w:hAnsiTheme="majorHAnsi" w:cstheme="majorBidi" w:ascii="Times New Roman" w:hAnsi="Times New Roman" w:eastAsia="黑体"/>
      <w:b w:val="0"/>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0" w:after="0" w:line="500" w:lineRule="exact"/>
      <w:outlineLvl w:val="1"/>
    </w:pPr>
    <w:rPr>
      <w:rFonts w:asciiTheme="majorHAnsi" w:eastAsiaTheme="majorEastAsia" w:hAnsiTheme="majorHAnsi" w:cstheme="majorBidi" w:ascii="Times New Roman" w:hAnsi="Times New Roman" w:eastAsia="楷体_GB2312"/>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0" w:after="0" w:line="500" w:lineRule="exact"/>
      <w:outlineLvl w:val="2"/>
    </w:pPr>
    <w:rPr>
      <w:rFonts w:asciiTheme="majorHAnsi" w:eastAsiaTheme="majorEastAsia" w:hAnsiTheme="majorHAnsi" w:cstheme="majorBidi" w:ascii="Times New Roman" w:hAnsi="Times New Roman" w:eastAsia="仿宋_GB2312"/>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