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85B90">
      <w:pPr>
        <w:keepNext w:val="0"/>
        <w:keepLines w:val="0"/>
        <w:pageBreakBefore w:val="0"/>
        <w:widowControl w:val="0"/>
        <w:kinsoku/>
        <w:wordWrap/>
        <w:overflowPunct/>
        <w:topLinePunct w:val="0"/>
        <w:autoSpaceDE/>
        <w:autoSpaceDN/>
        <w:bidi w:val="0"/>
        <w:adjustRightInd/>
        <w:snapToGrid/>
        <w:spacing w:line="1360" w:lineRule="exact"/>
        <w:textAlignment w:val="auto"/>
        <w:rPr>
          <w:rFonts w:hint="eastAsia" w:ascii="思源黑体 CN Heavy" w:hAnsi="思源黑体 CN Heavy" w:eastAsia="思源黑体 CN Heavy" w:cs="思源黑体 CN Heavy"/>
          <w:color w:val="BEDEB9"/>
          <w:sz w:val="100"/>
          <w:szCs w:val="100"/>
          <w:lang w:val="en-US" w:eastAsia="zh-CN"/>
        </w:rPr>
      </w:pPr>
      <w:bookmarkStart w:id="190" w:name="_GoBack"/>
      <w:bookmarkEnd w:id="190"/>
    </w:p>
    <w:p w14:paraId="20C7C401">
      <w:pPr>
        <w:keepNext w:val="0"/>
        <w:keepLines w:val="0"/>
        <w:pageBreakBefore w:val="0"/>
        <w:widowControl w:val="0"/>
        <w:kinsoku/>
        <w:wordWrap/>
        <w:overflowPunct/>
        <w:topLinePunct w:val="0"/>
        <w:autoSpaceDE/>
        <w:autoSpaceDN/>
        <w:bidi w:val="0"/>
        <w:adjustRightInd/>
        <w:snapToGrid/>
        <w:spacing w:line="1360" w:lineRule="exact"/>
        <w:textAlignment w:val="auto"/>
        <w:rPr>
          <w:rFonts w:hint="eastAsia" w:ascii="思源黑体 CN Heavy" w:hAnsi="思源黑体 CN Heavy" w:eastAsia="思源黑体 CN Heavy" w:cs="思源黑体 CN Heavy"/>
          <w:color w:val="BEDEB9"/>
          <w:sz w:val="100"/>
          <w:szCs w:val="100"/>
          <w:lang w:val="en-US" w:eastAsia="zh-CN"/>
        </w:rPr>
      </w:pPr>
    </w:p>
    <w:p w14:paraId="62688B37">
      <w:pPr>
        <w:keepNext w:val="0"/>
        <w:keepLines w:val="0"/>
        <w:pageBreakBefore w:val="0"/>
        <w:widowControl w:val="0"/>
        <w:kinsoku/>
        <w:wordWrap/>
        <w:overflowPunct/>
        <w:topLinePunct w:val="0"/>
        <w:autoSpaceDE/>
        <w:autoSpaceDN/>
        <w:bidi w:val="0"/>
        <w:adjustRightInd/>
        <w:snapToGrid/>
        <w:spacing w:line="1360" w:lineRule="exact"/>
        <w:textAlignment w:val="auto"/>
        <w:rPr>
          <w:rFonts w:hint="eastAsia" w:ascii="汉仪雅酷黑简" w:hAnsi="汉仪雅酷黑简" w:eastAsia="汉仪雅酷黑简" w:cs="汉仪雅酷黑简"/>
          <w:color w:val="BEDEB9"/>
          <w:sz w:val="100"/>
          <w:szCs w:val="100"/>
          <w:lang w:val="en-US" w:eastAsia="zh-CN"/>
        </w:rPr>
      </w:pPr>
      <w:r>
        <w:rPr>
          <w:rFonts w:hint="eastAsia" w:ascii="汉仪雅酷黑简" w:hAnsi="汉仪雅酷黑简" w:eastAsia="汉仪雅酷黑简" w:cs="汉仪雅酷黑简"/>
          <w:color w:val="BEDEB9"/>
          <w:sz w:val="100"/>
          <w:szCs w:val="100"/>
          <w:lang w:val="en-US" w:eastAsia="zh-CN"/>
        </w:rPr>
        <w:t>智检饮安</w:t>
      </w:r>
    </w:p>
    <w:p w14:paraId="37DACC2C">
      <w:pPr>
        <w:keepNext w:val="0"/>
        <w:keepLines w:val="0"/>
        <w:pageBreakBefore w:val="0"/>
        <w:widowControl w:val="0"/>
        <w:kinsoku/>
        <w:wordWrap/>
        <w:overflowPunct/>
        <w:topLinePunct w:val="0"/>
        <w:autoSpaceDE/>
        <w:autoSpaceDN/>
        <w:bidi w:val="0"/>
        <w:adjustRightInd/>
        <w:snapToGrid/>
        <w:spacing w:line="1360" w:lineRule="exact"/>
        <w:textAlignment w:val="auto"/>
        <w:rPr>
          <w:rFonts w:hint="eastAsia" w:ascii="华文新魏" w:hAnsi="华文新魏" w:eastAsia="华文新魏" w:cs="华文新魏"/>
          <w:color w:val="FFFFFF"/>
          <w:sz w:val="50"/>
          <w:szCs w:val="50"/>
          <w:lang w:val="en-US" w:eastAsia="zh-CN"/>
        </w:rPr>
      </w:pPr>
      <w:r>
        <w:rPr>
          <w:rFonts w:hint="eastAsia" w:ascii="华文新魏" w:hAnsi="华文新魏" w:eastAsia="华文新魏" w:cs="华文新魏"/>
          <w:color w:val="FFFFFF"/>
          <w:sz w:val="50"/>
          <w:szCs w:val="50"/>
          <w:lang w:val="en-US" w:eastAsia="zh-CN"/>
        </w:rPr>
        <w:t>高光谱AI赋能饮品安全快速检测</w:t>
      </w:r>
    </w:p>
    <w:p w14:paraId="0D8E1AE5">
      <w:pPr>
        <w:rPr>
          <w:rFonts w:hint="eastAsia"/>
        </w:rPr>
      </w:pPr>
    </w:p>
    <w:p w14:paraId="310E4128">
      <w:pPr>
        <w:rPr>
          <w:rFonts w:hint="eastAsia"/>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720" w:num="1"/>
          <w:docGrid w:type="lines" w:linePitch="312" w:charSpace="0"/>
        </w:sectPr>
      </w:pPr>
      <w:r>
        <w:rPr>
          <w:sz w:val="21"/>
        </w:rPr>
        <w:pict>
          <v:shape id="文本框 98" o:spid="_x0000_s1027" o:spt="202" type="#_x0000_t202" style="position:absolute;left:0pt;margin-left:72.8pt;margin-top:196.9pt;height:112.4pt;width:289.7pt;z-index:251659264;mso-width-relative:page;mso-height-relative:page;" fillcolor="#FFFFFF" filled="t" stroked="f" coordsize="21600,21600" o:gfxdata="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ntDyrtYAAAALAQAADwAAAAAAAAABACAAAAAiAAAAZHJzL2Rvd25yZXYueG1sUEsBAhQAFAAAAAgA&#10;h07iQPCqP4lgAgAAngQAAA4AAAAAAAAAAQAgAAAAJQEAAGRycy9lMm9Eb2MueG1sUEsFBgAAAAAG&#10;AAYAWQEAAPcFAAAAAA==&#10;">
            <v:path/>
            <v:fill on="t" focussize="0,0"/>
            <v:stroke on="f" weight="0.5pt"/>
            <v:imagedata o:title=""/>
            <o:lock v:ext="edit" aspectratio="f"/>
            <v:textbox>
              <w:txbxContent>
                <w:p w14:paraId="14AC544F">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思源黑体 CN Medium" w:hAnsi="思源黑体 CN Medium" w:eastAsia="思源黑体 CN Medium" w:cs="思源黑体 CN Medium"/>
                      <w:color w:val="004562"/>
                      <w:sz w:val="36"/>
                      <w:szCs w:val="36"/>
                      <w:lang w:val="en-US" w:eastAsia="zh-CN"/>
                    </w:rPr>
                  </w:pPr>
                  <w:r>
                    <w:rPr>
                      <w:rFonts w:hint="eastAsia" w:ascii="思源黑体 CN Medium" w:hAnsi="思源黑体 CN Medium" w:eastAsia="思源黑体 CN Medium" w:cs="思源黑体 CN Medium"/>
                      <w:color w:val="004562"/>
                      <w:sz w:val="36"/>
                      <w:szCs w:val="36"/>
                      <w:lang w:val="en-US" w:eastAsia="zh-CN"/>
                    </w:rPr>
                    <w:t>项目负责人：彭斯逸</w:t>
                  </w:r>
                </w:p>
                <w:p w14:paraId="538CC3AF">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eastAsia="思源黑体 CN Medium"/>
                      <w:lang w:eastAsia="zh"/>
                    </w:rPr>
                  </w:pPr>
                  <w:r>
                    <w:rPr>
                      <w:rFonts w:hint="eastAsia" w:ascii="思源黑体 CN Medium" w:hAnsi="思源黑体 CN Medium" w:eastAsia="思源黑体 CN Medium" w:cs="思源黑体 CN Medium"/>
                      <w:color w:val="004562"/>
                      <w:sz w:val="36"/>
                      <w:szCs w:val="36"/>
                      <w:lang w:val="en-US" w:eastAsia="zh-CN"/>
                    </w:rPr>
                    <w:t>指导老师：</w:t>
                  </w:r>
                  <w:r>
                    <w:rPr>
                      <w:rFonts w:hint="eastAsia" w:ascii="思源黑体 CN Medium" w:hAnsi="思源黑体 CN Medium" w:eastAsia="思源黑体 CN Medium" w:cs="思源黑体 CN Medium"/>
                      <w:color w:val="004562"/>
                      <w:sz w:val="36"/>
                      <w:szCs w:val="36"/>
                      <w:lang w:val="en-US" w:eastAsia="zh"/>
                    </w:rPr>
                    <w:t>刘波 龙海侠</w:t>
                  </w:r>
                </w:p>
              </w:txbxContent>
            </v:textbox>
          </v:shape>
        </w:pict>
      </w:r>
    </w:p>
    <w:p w14:paraId="31E7F33B">
      <w:pPr>
        <w:spacing w:after="160"/>
        <w:rPr>
          <w:rFonts w:hint="eastAsia"/>
        </w:rPr>
      </w:pPr>
    </w:p>
    <w:p w14:paraId="79BE21D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9C18211">
      <w:pPr>
        <w:pStyle w:val="5"/>
        <w:tabs>
          <w:tab w:val="right" w:leader="dot" w:pos="8306"/>
        </w:tabs>
      </w:pPr>
      <w:r>
        <w:rPr>
          <w:rFonts w:hint="eastAsia" w:ascii="Calibri" w:hAnsi="Calibri" w:eastAsia="宋体" w:cs="Times New Roman"/>
          <w:kern w:val="2"/>
          <w:sz w:val="22"/>
          <w:szCs w:val="24"/>
          <w:lang w:val="en-US" w:eastAsia="zh-CN" w:bidi="ar-SA"/>
        </w:rPr>
        <w:fldChar w:fldCharType="begin"/>
      </w:r>
      <w:r>
        <w:rPr>
          <w:rFonts w:hint="eastAsia" w:ascii="Calibri" w:hAnsi="Calibri" w:eastAsia="宋体" w:cs="Times New Roman"/>
          <w:kern w:val="2"/>
          <w:sz w:val="22"/>
          <w:szCs w:val="24"/>
          <w:lang w:val="en-US" w:eastAsia="zh-CN" w:bidi="ar-SA"/>
        </w:rPr>
        <w:instrText xml:space="preserve">TOC \o "1-1" \h \u </w:instrText>
      </w:r>
      <w:r>
        <w:rPr>
          <w:rFonts w:hint="eastAsia" w:ascii="Calibri" w:hAnsi="Calibri" w:eastAsia="宋体" w:cs="Times New Roman"/>
          <w:kern w:val="2"/>
          <w:sz w:val="22"/>
          <w:szCs w:val="24"/>
          <w:lang w:val="en-US" w:eastAsia="zh-CN" w:bidi="ar-SA"/>
        </w:rPr>
        <w:fldChar w:fldCharType="separate"/>
      </w: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_Toc15551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宋体"/>
          <w:bCs/>
          <w:szCs w:val="32"/>
        </w:rPr>
        <w:t>第一章：项目概述</w:t>
      </w:r>
      <w:r>
        <w:tab/>
      </w:r>
      <w:r>
        <w:fldChar w:fldCharType="begin"/>
      </w:r>
      <w:r>
        <w:instrText xml:space="preserve"> PAGEREF _Toc15551 \h </w:instrText>
      </w:r>
      <w:r>
        <w:fldChar w:fldCharType="separate"/>
      </w:r>
      <w:r>
        <w:t>6</w:t>
      </w:r>
      <w:r>
        <w:fldChar w:fldCharType="end"/>
      </w:r>
      <w:r>
        <w:rPr>
          <w:rFonts w:hint="eastAsia" w:ascii="Calibri" w:hAnsi="Calibri" w:eastAsia="宋体" w:cs="Times New Roman"/>
          <w:kern w:val="2"/>
          <w:szCs w:val="24"/>
          <w:lang w:val="en-US" w:eastAsia="zh-CN" w:bidi="ar-SA"/>
        </w:rPr>
        <w:fldChar w:fldCharType="end"/>
      </w:r>
    </w:p>
    <w:p w14:paraId="72DE88EB">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_Toc8347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1.1项目背景</w:t>
      </w:r>
      <w:r>
        <w:tab/>
      </w:r>
      <w:r>
        <w:fldChar w:fldCharType="begin"/>
      </w:r>
      <w:r>
        <w:instrText xml:space="preserve"> PAGEREF _Toc8347 \h </w:instrText>
      </w:r>
      <w:r>
        <w:fldChar w:fldCharType="separate"/>
      </w:r>
      <w:r>
        <w:t>7</w:t>
      </w:r>
      <w:r>
        <w:fldChar w:fldCharType="end"/>
      </w:r>
      <w:r>
        <w:rPr>
          <w:rFonts w:hint="eastAsia" w:ascii="Calibri" w:hAnsi="Calibri" w:eastAsia="宋体" w:cs="Times New Roman"/>
          <w:kern w:val="2"/>
          <w:szCs w:val="24"/>
          <w:lang w:val="en-US" w:eastAsia="zh-CN" w:bidi="ar-SA"/>
        </w:rPr>
        <w:fldChar w:fldCharType="end"/>
      </w:r>
    </w:p>
    <w:p w14:paraId="10B0D0EC">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_Toc23640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1.2 政策支持</w:t>
      </w:r>
      <w:r>
        <w:tab/>
      </w:r>
      <w:r>
        <w:fldChar w:fldCharType="begin"/>
      </w:r>
      <w:r>
        <w:instrText xml:space="preserve"> PAGEREF _Toc23640 \h </w:instrText>
      </w:r>
      <w:r>
        <w:fldChar w:fldCharType="separate"/>
      </w:r>
      <w:r>
        <w:t>9</w:t>
      </w:r>
      <w:r>
        <w:fldChar w:fldCharType="end"/>
      </w:r>
      <w:r>
        <w:rPr>
          <w:rFonts w:hint="eastAsia" w:ascii="Calibri" w:hAnsi="Calibri" w:eastAsia="宋体" w:cs="Times New Roman"/>
          <w:kern w:val="2"/>
          <w:szCs w:val="24"/>
          <w:lang w:val="en-US" w:eastAsia="zh-CN" w:bidi="ar-SA"/>
        </w:rPr>
        <w:fldChar w:fldCharType="end"/>
      </w:r>
    </w:p>
    <w:p w14:paraId="3BC97487">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_Toc3747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1.3 技术支撑</w:t>
      </w:r>
      <w:r>
        <w:tab/>
      </w:r>
      <w:r>
        <w:fldChar w:fldCharType="begin"/>
      </w:r>
      <w:r>
        <w:instrText xml:space="preserve"> PAGEREF _Toc3747 \h </w:instrText>
      </w:r>
      <w:r>
        <w:fldChar w:fldCharType="separate"/>
      </w:r>
      <w:r>
        <w:t>18</w:t>
      </w:r>
      <w:r>
        <w:fldChar w:fldCharType="end"/>
      </w:r>
      <w:r>
        <w:rPr>
          <w:rFonts w:hint="eastAsia" w:ascii="Calibri" w:hAnsi="Calibri" w:eastAsia="宋体" w:cs="Times New Roman"/>
          <w:kern w:val="2"/>
          <w:szCs w:val="24"/>
          <w:lang w:val="en-US" w:eastAsia="zh-CN" w:bidi="ar-SA"/>
        </w:rPr>
        <w:fldChar w:fldCharType="end"/>
      </w:r>
    </w:p>
    <w:p w14:paraId="4C261662">
      <w:pPr>
        <w:pStyle w:val="5"/>
        <w:tabs>
          <w:tab w:val="right" w:leader="dot" w:pos="8306"/>
        </w:tabs>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_Toc13554 </w:instrText>
      </w:r>
      <w:r>
        <w:rPr>
          <w:rFonts w:hint="eastAsia" w:ascii="Calibri" w:hAnsi="Calibri" w:eastAsia="宋体" w:cs="Times New Roman"/>
          <w:kern w:val="2"/>
          <w:szCs w:val="24"/>
          <w:lang w:val="en-US" w:eastAsia="zh-CN" w:bidi="ar-SA"/>
        </w:rPr>
        <w:fldChar w:fldCharType="separate"/>
      </w:r>
      <w:r>
        <w:rPr>
          <w:rFonts w:hint="eastAsia" w:eastAsia="黑体"/>
          <w:bCs/>
        </w:rPr>
        <w:t>第二章：产品效益</w:t>
      </w:r>
      <w:r>
        <w:tab/>
      </w:r>
      <w:r>
        <w:fldChar w:fldCharType="begin"/>
      </w:r>
      <w:r>
        <w:instrText xml:space="preserve"> PAGEREF _Toc13554 \h </w:instrText>
      </w:r>
      <w:r>
        <w:fldChar w:fldCharType="separate"/>
      </w:r>
      <w:r>
        <w:t>22</w:t>
      </w:r>
      <w:r>
        <w:fldChar w:fldCharType="end"/>
      </w:r>
      <w:r>
        <w:rPr>
          <w:rFonts w:hint="eastAsia" w:ascii="Calibri" w:hAnsi="Calibri" w:eastAsia="宋体" w:cs="Times New Roman"/>
          <w:kern w:val="2"/>
          <w:szCs w:val="24"/>
          <w:lang w:val="en-US" w:eastAsia="zh-CN" w:bidi="ar-SA"/>
        </w:rPr>
        <w:fldChar w:fldCharType="end"/>
      </w:r>
    </w:p>
    <w:p w14:paraId="01107697">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_Toc353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kern w:val="0"/>
          <w:szCs w:val="30"/>
          <w:lang w:bidi="ar"/>
        </w:rPr>
        <w:t>2.1社会效益</w:t>
      </w:r>
      <w:r>
        <w:tab/>
      </w:r>
      <w:r>
        <w:fldChar w:fldCharType="begin"/>
      </w:r>
      <w:r>
        <w:instrText xml:space="preserve"> PAGEREF _Toc353 \h </w:instrText>
      </w:r>
      <w:r>
        <w:fldChar w:fldCharType="separate"/>
      </w:r>
      <w:r>
        <w:t>22</w:t>
      </w:r>
      <w:r>
        <w:fldChar w:fldCharType="end"/>
      </w:r>
      <w:r>
        <w:rPr>
          <w:rFonts w:hint="eastAsia" w:ascii="Calibri" w:hAnsi="Calibri" w:eastAsia="宋体" w:cs="Times New Roman"/>
          <w:kern w:val="2"/>
          <w:szCs w:val="24"/>
          <w:lang w:val="en-US" w:eastAsia="zh-CN" w:bidi="ar-SA"/>
        </w:rPr>
        <w:fldChar w:fldCharType="end"/>
      </w:r>
    </w:p>
    <w:p w14:paraId="5ABCBC9E">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_Toc14636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kern w:val="0"/>
          <w:szCs w:val="30"/>
          <w:lang w:bidi="ar"/>
        </w:rPr>
        <w:t>2.2 经济效益</w:t>
      </w:r>
      <w:r>
        <w:tab/>
      </w:r>
      <w:r>
        <w:fldChar w:fldCharType="begin"/>
      </w:r>
      <w:r>
        <w:instrText xml:space="preserve"> PAGEREF _Toc14636 \h </w:instrText>
      </w:r>
      <w:r>
        <w:fldChar w:fldCharType="separate"/>
      </w:r>
      <w:r>
        <w:t>28</w:t>
      </w:r>
      <w:r>
        <w:fldChar w:fldCharType="end"/>
      </w:r>
      <w:r>
        <w:rPr>
          <w:rFonts w:hint="eastAsia" w:ascii="Calibri" w:hAnsi="Calibri" w:eastAsia="宋体" w:cs="Times New Roman"/>
          <w:kern w:val="2"/>
          <w:szCs w:val="24"/>
          <w:lang w:val="en-US" w:eastAsia="zh-CN" w:bidi="ar-SA"/>
        </w:rPr>
        <w:fldChar w:fldCharType="end"/>
      </w:r>
    </w:p>
    <w:p w14:paraId="16E54801">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_Toc26865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kern w:val="0"/>
          <w:szCs w:val="30"/>
          <w:lang w:bidi="ar"/>
        </w:rPr>
        <w:t>2.3 教育引领</w:t>
      </w:r>
      <w:r>
        <w:tab/>
      </w:r>
      <w:r>
        <w:fldChar w:fldCharType="begin"/>
      </w:r>
      <w:r>
        <w:instrText xml:space="preserve"> PAGEREF _Toc26865 \h </w:instrText>
      </w:r>
      <w:r>
        <w:fldChar w:fldCharType="separate"/>
      </w:r>
      <w:r>
        <w:t>30</w:t>
      </w:r>
      <w:r>
        <w:fldChar w:fldCharType="end"/>
      </w:r>
      <w:r>
        <w:rPr>
          <w:rFonts w:hint="eastAsia" w:ascii="Calibri" w:hAnsi="Calibri" w:eastAsia="宋体" w:cs="Times New Roman"/>
          <w:kern w:val="2"/>
          <w:szCs w:val="24"/>
          <w:lang w:val="en-US" w:eastAsia="zh-CN" w:bidi="ar-SA"/>
        </w:rPr>
        <w:fldChar w:fldCharType="end"/>
      </w:r>
    </w:p>
    <w:p w14:paraId="69C23DEA">
      <w:pPr>
        <w:pStyle w:val="5"/>
        <w:tabs>
          <w:tab w:val="right" w:leader="dot" w:pos="8306"/>
        </w:tabs>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_Toc2274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kern w:val="0"/>
          <w:szCs w:val="32"/>
          <w:lang w:bidi="ar"/>
        </w:rPr>
        <w:t>第三章：可行性分析</w:t>
      </w:r>
      <w:r>
        <w:tab/>
      </w:r>
      <w:r>
        <w:fldChar w:fldCharType="begin"/>
      </w:r>
      <w:r>
        <w:instrText xml:space="preserve"> PAGEREF _Toc2274 \h </w:instrText>
      </w:r>
      <w:r>
        <w:fldChar w:fldCharType="separate"/>
      </w:r>
      <w:r>
        <w:t>32</w:t>
      </w:r>
      <w:r>
        <w:fldChar w:fldCharType="end"/>
      </w:r>
      <w:r>
        <w:rPr>
          <w:rFonts w:hint="eastAsia" w:ascii="Calibri" w:hAnsi="Calibri" w:eastAsia="宋体" w:cs="Times New Roman"/>
          <w:kern w:val="2"/>
          <w:szCs w:val="24"/>
          <w:lang w:val="en-US" w:eastAsia="zh-CN" w:bidi="ar-SA"/>
        </w:rPr>
        <w:fldChar w:fldCharType="end"/>
      </w:r>
    </w:p>
    <w:p w14:paraId="31C7C10D">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_Toc15680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3.1 市场可行性</w:t>
      </w:r>
      <w:r>
        <w:tab/>
      </w:r>
      <w:r>
        <w:fldChar w:fldCharType="begin"/>
      </w:r>
      <w:r>
        <w:instrText xml:space="preserve"> PAGEREF _Toc15680 \h </w:instrText>
      </w:r>
      <w:r>
        <w:fldChar w:fldCharType="separate"/>
      </w:r>
      <w:r>
        <w:t>32</w:t>
      </w:r>
      <w:r>
        <w:fldChar w:fldCharType="end"/>
      </w:r>
      <w:r>
        <w:rPr>
          <w:rFonts w:hint="eastAsia" w:ascii="Calibri" w:hAnsi="Calibri" w:eastAsia="宋体" w:cs="Times New Roman"/>
          <w:kern w:val="2"/>
          <w:szCs w:val="24"/>
          <w:lang w:val="en-US" w:eastAsia="zh-CN" w:bidi="ar-SA"/>
        </w:rPr>
        <w:fldChar w:fldCharType="end"/>
      </w:r>
    </w:p>
    <w:p w14:paraId="6880886C">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_Toc15811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3.2 技术可行性</w:t>
      </w:r>
      <w:r>
        <w:tab/>
      </w:r>
      <w:r>
        <w:fldChar w:fldCharType="begin"/>
      </w:r>
      <w:r>
        <w:instrText xml:space="preserve"> PAGEREF _Toc15811 \h </w:instrText>
      </w:r>
      <w:r>
        <w:fldChar w:fldCharType="separate"/>
      </w:r>
      <w:r>
        <w:t>36</w:t>
      </w:r>
      <w:r>
        <w:fldChar w:fldCharType="end"/>
      </w:r>
      <w:r>
        <w:rPr>
          <w:rFonts w:hint="eastAsia" w:ascii="Calibri" w:hAnsi="Calibri" w:eastAsia="宋体" w:cs="Times New Roman"/>
          <w:kern w:val="2"/>
          <w:szCs w:val="24"/>
          <w:lang w:val="en-US" w:eastAsia="zh-CN" w:bidi="ar-SA"/>
        </w:rPr>
        <w:fldChar w:fldCharType="end"/>
      </w:r>
    </w:p>
    <w:p w14:paraId="38F9557E">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_Toc5329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3.3 经济可行性</w:t>
      </w:r>
      <w:r>
        <w:tab/>
      </w:r>
      <w:r>
        <w:fldChar w:fldCharType="begin"/>
      </w:r>
      <w:r>
        <w:instrText xml:space="preserve"> PAGEREF _Toc5329 \h </w:instrText>
      </w:r>
      <w:r>
        <w:fldChar w:fldCharType="separate"/>
      </w:r>
      <w:r>
        <w:t>40</w:t>
      </w:r>
      <w:r>
        <w:fldChar w:fldCharType="end"/>
      </w:r>
      <w:r>
        <w:rPr>
          <w:rFonts w:hint="eastAsia" w:ascii="Calibri" w:hAnsi="Calibri" w:eastAsia="宋体" w:cs="Times New Roman"/>
          <w:kern w:val="2"/>
          <w:szCs w:val="24"/>
          <w:lang w:val="en-US" w:eastAsia="zh-CN" w:bidi="ar-SA"/>
        </w:rPr>
        <w:fldChar w:fldCharType="end"/>
      </w:r>
    </w:p>
    <w:p w14:paraId="0A2DFE48">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_Toc12689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3.4 运营可行性</w:t>
      </w:r>
      <w:r>
        <w:tab/>
      </w:r>
      <w:r>
        <w:fldChar w:fldCharType="begin"/>
      </w:r>
      <w:r>
        <w:instrText xml:space="preserve"> PAGEREF _Toc12689 \h </w:instrText>
      </w:r>
      <w:r>
        <w:fldChar w:fldCharType="separate"/>
      </w:r>
      <w:r>
        <w:t>44</w:t>
      </w:r>
      <w:r>
        <w:fldChar w:fldCharType="end"/>
      </w:r>
      <w:r>
        <w:rPr>
          <w:rFonts w:hint="eastAsia" w:ascii="Calibri" w:hAnsi="Calibri" w:eastAsia="宋体" w:cs="Times New Roman"/>
          <w:kern w:val="2"/>
          <w:szCs w:val="24"/>
          <w:lang w:val="en-US" w:eastAsia="zh-CN" w:bidi="ar-SA"/>
        </w:rPr>
        <w:fldChar w:fldCharType="end"/>
      </w:r>
    </w:p>
    <w:p w14:paraId="5CD7128F">
      <w:pPr>
        <w:pStyle w:val="5"/>
        <w:tabs>
          <w:tab w:val="right" w:leader="dot" w:pos="8306"/>
        </w:tabs>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_Toc12930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rPr>
        <w:t>第四章：市场优势</w:t>
      </w:r>
      <w:r>
        <w:tab/>
      </w:r>
      <w:r>
        <w:fldChar w:fldCharType="begin"/>
      </w:r>
      <w:r>
        <w:instrText xml:space="preserve"> PAGEREF _Toc12930 \h </w:instrText>
      </w:r>
      <w:r>
        <w:fldChar w:fldCharType="separate"/>
      </w:r>
      <w:r>
        <w:t>48</w:t>
      </w:r>
      <w:r>
        <w:fldChar w:fldCharType="end"/>
      </w:r>
      <w:r>
        <w:rPr>
          <w:rFonts w:hint="eastAsia" w:ascii="Calibri" w:hAnsi="Calibri" w:eastAsia="宋体" w:cs="Times New Roman"/>
          <w:kern w:val="2"/>
          <w:szCs w:val="24"/>
          <w:lang w:val="en-US" w:eastAsia="zh-CN" w:bidi="ar-SA"/>
        </w:rPr>
        <w:fldChar w:fldCharType="end"/>
      </w:r>
    </w:p>
    <w:p w14:paraId="3B7A237B">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_Toc13135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4.1 检测市场分析</w:t>
      </w:r>
      <w:r>
        <w:tab/>
      </w:r>
      <w:r>
        <w:fldChar w:fldCharType="begin"/>
      </w:r>
      <w:r>
        <w:instrText xml:space="preserve"> PAGEREF _Toc13135 \h </w:instrText>
      </w:r>
      <w:r>
        <w:fldChar w:fldCharType="separate"/>
      </w:r>
      <w:r>
        <w:t>48</w:t>
      </w:r>
      <w:r>
        <w:fldChar w:fldCharType="end"/>
      </w:r>
      <w:r>
        <w:rPr>
          <w:rFonts w:hint="eastAsia" w:ascii="Calibri" w:hAnsi="Calibri" w:eastAsia="宋体" w:cs="Times New Roman"/>
          <w:kern w:val="2"/>
          <w:szCs w:val="24"/>
          <w:lang w:val="en-US" w:eastAsia="zh-CN" w:bidi="ar-SA"/>
        </w:rPr>
        <w:fldChar w:fldCharType="end"/>
      </w:r>
    </w:p>
    <w:p w14:paraId="20D7D2F7">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_Toc19067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4.2 人工合成色素危害与行业痛点</w:t>
      </w:r>
      <w:r>
        <w:tab/>
      </w:r>
      <w:r>
        <w:fldChar w:fldCharType="begin"/>
      </w:r>
      <w:r>
        <w:instrText xml:space="preserve"> PAGEREF _Toc19067 \h </w:instrText>
      </w:r>
      <w:r>
        <w:fldChar w:fldCharType="separate"/>
      </w:r>
      <w:r>
        <w:t>54</w:t>
      </w:r>
      <w:r>
        <w:fldChar w:fldCharType="end"/>
      </w:r>
      <w:r>
        <w:rPr>
          <w:rFonts w:hint="eastAsia" w:ascii="Calibri" w:hAnsi="Calibri" w:eastAsia="宋体" w:cs="Times New Roman"/>
          <w:kern w:val="2"/>
          <w:szCs w:val="24"/>
          <w:lang w:val="en-US" w:eastAsia="zh-CN" w:bidi="ar-SA"/>
        </w:rPr>
        <w:fldChar w:fldCharType="end"/>
      </w:r>
    </w:p>
    <w:p w14:paraId="25BB1965">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_Toc2793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4.3 用户分析</w:t>
      </w:r>
      <w:r>
        <w:tab/>
      </w:r>
      <w:r>
        <w:fldChar w:fldCharType="begin"/>
      </w:r>
      <w:r>
        <w:instrText xml:space="preserve"> PAGEREF _Toc2793 \h </w:instrText>
      </w:r>
      <w:r>
        <w:fldChar w:fldCharType="separate"/>
      </w:r>
      <w:r>
        <w:t>59</w:t>
      </w:r>
      <w:r>
        <w:fldChar w:fldCharType="end"/>
      </w:r>
      <w:r>
        <w:rPr>
          <w:rFonts w:hint="eastAsia" w:ascii="Calibri" w:hAnsi="Calibri" w:eastAsia="宋体" w:cs="Times New Roman"/>
          <w:kern w:val="2"/>
          <w:szCs w:val="24"/>
          <w:lang w:val="en-US" w:eastAsia="zh-CN" w:bidi="ar-SA"/>
        </w:rPr>
        <w:fldChar w:fldCharType="end"/>
      </w:r>
    </w:p>
    <w:p w14:paraId="0D7BE47F">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_Toc32701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4.4 竞争分析</w:t>
      </w:r>
      <w:r>
        <w:tab/>
      </w:r>
      <w:r>
        <w:fldChar w:fldCharType="begin"/>
      </w:r>
      <w:r>
        <w:instrText xml:space="preserve"> PAGEREF _Toc32701 \h </w:instrText>
      </w:r>
      <w:r>
        <w:fldChar w:fldCharType="separate"/>
      </w:r>
      <w:r>
        <w:t>65</w:t>
      </w:r>
      <w:r>
        <w:fldChar w:fldCharType="end"/>
      </w:r>
      <w:r>
        <w:rPr>
          <w:rFonts w:hint="eastAsia" w:ascii="Calibri" w:hAnsi="Calibri" w:eastAsia="宋体" w:cs="Times New Roman"/>
          <w:kern w:val="2"/>
          <w:szCs w:val="24"/>
          <w:lang w:val="en-US" w:eastAsia="zh-CN" w:bidi="ar-SA"/>
        </w:rPr>
        <w:fldChar w:fldCharType="end"/>
      </w:r>
    </w:p>
    <w:p w14:paraId="2EA56B02">
      <w:pPr>
        <w:pStyle w:val="5"/>
        <w:tabs>
          <w:tab w:val="right" w:leader="dot" w:pos="8306"/>
        </w:tabs>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_Toc26396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2"/>
        </w:rPr>
        <w:t xml:space="preserve">第五章 </w:t>
      </w:r>
      <w:r>
        <w:rPr>
          <w:rFonts w:hint="eastAsia" w:ascii="黑体" w:hAnsi="黑体" w:eastAsia="黑体" w:cs="黑体"/>
          <w:bCs/>
          <w:szCs w:val="32"/>
          <w:lang w:eastAsia="zh-CN"/>
        </w:rPr>
        <w:t>：</w:t>
      </w:r>
      <w:r>
        <w:rPr>
          <w:rFonts w:hint="eastAsia" w:ascii="黑体" w:hAnsi="黑体" w:eastAsia="黑体" w:cs="黑体"/>
          <w:bCs/>
          <w:szCs w:val="32"/>
        </w:rPr>
        <w:t>技术策略</w:t>
      </w:r>
      <w:r>
        <w:tab/>
      </w:r>
      <w:r>
        <w:fldChar w:fldCharType="begin"/>
      </w:r>
      <w:r>
        <w:instrText xml:space="preserve"> PAGEREF _Toc26396 \h </w:instrText>
      </w:r>
      <w:r>
        <w:fldChar w:fldCharType="separate"/>
      </w:r>
      <w:r>
        <w:t>72</w:t>
      </w:r>
      <w:r>
        <w:fldChar w:fldCharType="end"/>
      </w:r>
      <w:r>
        <w:rPr>
          <w:rFonts w:hint="eastAsia" w:ascii="Calibri" w:hAnsi="Calibri" w:eastAsia="宋体" w:cs="Times New Roman"/>
          <w:kern w:val="2"/>
          <w:szCs w:val="24"/>
          <w:lang w:val="en-US" w:eastAsia="zh-CN" w:bidi="ar-SA"/>
        </w:rPr>
        <w:fldChar w:fldCharType="end"/>
      </w:r>
    </w:p>
    <w:p w14:paraId="5A051FF5">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_Toc26334 </w:instrText>
      </w:r>
      <w:r>
        <w:rPr>
          <w:rFonts w:hint="eastAsia" w:ascii="Calibri" w:hAnsi="Calibri" w:eastAsia="宋体" w:cs="Times New Roman"/>
          <w:kern w:val="2"/>
          <w:szCs w:val="24"/>
          <w:lang w:val="en-US" w:eastAsia="zh-CN" w:bidi="ar-SA"/>
        </w:rPr>
        <w:fldChar w:fldCharType="separate"/>
      </w:r>
      <w:r>
        <w:rPr>
          <w:rFonts w:ascii="黑体" w:hAnsi="黑体" w:eastAsia="黑体" w:cs="黑体"/>
          <w:bCs/>
          <w:szCs w:val="30"/>
        </w:rPr>
        <w:t>5.1</w:t>
      </w:r>
      <w:r>
        <w:rPr>
          <w:rFonts w:hint="eastAsia" w:ascii="黑体" w:hAnsi="黑体" w:eastAsia="黑体" w:cs="黑体"/>
          <w:bCs/>
          <w:szCs w:val="30"/>
        </w:rPr>
        <w:t>总体技术路线</w:t>
      </w:r>
      <w:r>
        <w:tab/>
      </w:r>
      <w:r>
        <w:fldChar w:fldCharType="begin"/>
      </w:r>
      <w:r>
        <w:instrText xml:space="preserve"> PAGEREF _Toc26334 \h </w:instrText>
      </w:r>
      <w:r>
        <w:fldChar w:fldCharType="separate"/>
      </w:r>
      <w:r>
        <w:t>72</w:t>
      </w:r>
      <w:r>
        <w:fldChar w:fldCharType="end"/>
      </w:r>
      <w:r>
        <w:rPr>
          <w:rFonts w:hint="eastAsia" w:ascii="Calibri" w:hAnsi="Calibri" w:eastAsia="宋体" w:cs="Times New Roman"/>
          <w:kern w:val="2"/>
          <w:szCs w:val="24"/>
          <w:lang w:val="en-US" w:eastAsia="zh-CN" w:bidi="ar-SA"/>
        </w:rPr>
        <w:fldChar w:fldCharType="end"/>
      </w:r>
    </w:p>
    <w:p w14:paraId="4CCB26A7">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_Toc28586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szCs w:val="30"/>
        </w:rPr>
        <w:t>5.2 实验设计与标准化流程</w:t>
      </w:r>
      <w:r>
        <w:tab/>
      </w:r>
      <w:r>
        <w:fldChar w:fldCharType="begin"/>
      </w:r>
      <w:r>
        <w:instrText xml:space="preserve"> PAGEREF _Toc28586 \h </w:instrText>
      </w:r>
      <w:r>
        <w:fldChar w:fldCharType="separate"/>
      </w:r>
      <w:r>
        <w:t>74</w:t>
      </w:r>
      <w:r>
        <w:fldChar w:fldCharType="end"/>
      </w:r>
      <w:r>
        <w:rPr>
          <w:rFonts w:hint="eastAsia" w:ascii="Calibri" w:hAnsi="Calibri" w:eastAsia="宋体" w:cs="Times New Roman"/>
          <w:kern w:val="2"/>
          <w:szCs w:val="24"/>
          <w:lang w:val="en-US" w:eastAsia="zh-CN" w:bidi="ar-SA"/>
        </w:rPr>
        <w:fldChar w:fldCharType="end"/>
      </w:r>
    </w:p>
    <w:p w14:paraId="66AE7628">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_Toc32762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5.3 核心算法与数学模型</w:t>
      </w:r>
      <w:r>
        <w:tab/>
      </w:r>
      <w:r>
        <w:fldChar w:fldCharType="begin"/>
      </w:r>
      <w:r>
        <w:instrText xml:space="preserve"> PAGEREF _Toc32762 \h </w:instrText>
      </w:r>
      <w:r>
        <w:fldChar w:fldCharType="separate"/>
      </w:r>
      <w:r>
        <w:t>79</w:t>
      </w:r>
      <w:r>
        <w:fldChar w:fldCharType="end"/>
      </w:r>
      <w:r>
        <w:rPr>
          <w:rFonts w:hint="eastAsia" w:ascii="Calibri" w:hAnsi="Calibri" w:eastAsia="宋体" w:cs="Times New Roman"/>
          <w:kern w:val="2"/>
          <w:szCs w:val="24"/>
          <w:lang w:val="en-US" w:eastAsia="zh-CN" w:bidi="ar-SA"/>
        </w:rPr>
        <w:fldChar w:fldCharType="end"/>
      </w:r>
    </w:p>
    <w:p w14:paraId="5C79D72C">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_Toc17951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szCs w:val="30"/>
        </w:rPr>
        <w:t>5.4 光谱机理与特征指纹</w:t>
      </w:r>
      <w:r>
        <w:tab/>
      </w:r>
      <w:r>
        <w:fldChar w:fldCharType="begin"/>
      </w:r>
      <w:r>
        <w:instrText xml:space="preserve"> PAGEREF _Toc17951 \h </w:instrText>
      </w:r>
      <w:r>
        <w:fldChar w:fldCharType="separate"/>
      </w:r>
      <w:r>
        <w:t>85</w:t>
      </w:r>
      <w:r>
        <w:fldChar w:fldCharType="end"/>
      </w:r>
      <w:r>
        <w:rPr>
          <w:rFonts w:hint="eastAsia" w:ascii="Calibri" w:hAnsi="Calibri" w:eastAsia="宋体" w:cs="Times New Roman"/>
          <w:kern w:val="2"/>
          <w:szCs w:val="24"/>
          <w:lang w:val="en-US" w:eastAsia="zh-CN" w:bidi="ar-SA"/>
        </w:rPr>
        <w:fldChar w:fldCharType="end"/>
      </w:r>
    </w:p>
    <w:p w14:paraId="127B65E9">
      <w:pPr>
        <w:pStyle w:val="5"/>
        <w:tabs>
          <w:tab w:val="right" w:leader="dot" w:pos="8306"/>
        </w:tabs>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_Toc26852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szCs w:val="32"/>
        </w:rPr>
        <w:t>第六章：产品策略</w:t>
      </w:r>
      <w:r>
        <w:tab/>
      </w:r>
      <w:r>
        <w:fldChar w:fldCharType="begin"/>
      </w:r>
      <w:r>
        <w:instrText xml:space="preserve"> PAGEREF _Toc26852 \h </w:instrText>
      </w:r>
      <w:r>
        <w:fldChar w:fldCharType="separate"/>
      </w:r>
      <w:r>
        <w:t>87</w:t>
      </w:r>
      <w:r>
        <w:fldChar w:fldCharType="end"/>
      </w:r>
      <w:r>
        <w:rPr>
          <w:rFonts w:hint="eastAsia" w:ascii="Calibri" w:hAnsi="Calibri" w:eastAsia="宋体" w:cs="Times New Roman"/>
          <w:kern w:val="2"/>
          <w:szCs w:val="24"/>
          <w:lang w:val="en-US" w:eastAsia="zh-CN" w:bidi="ar-SA"/>
        </w:rPr>
        <w:fldChar w:fldCharType="end"/>
      </w:r>
    </w:p>
    <w:p w14:paraId="562500DB">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_Toc20903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szCs w:val="30"/>
        </w:rPr>
        <w:t>6.1 商业模式</w:t>
      </w:r>
      <w:r>
        <w:tab/>
      </w:r>
      <w:r>
        <w:fldChar w:fldCharType="begin"/>
      </w:r>
      <w:r>
        <w:instrText xml:space="preserve"> PAGEREF _Toc20903 \h </w:instrText>
      </w:r>
      <w:r>
        <w:fldChar w:fldCharType="separate"/>
      </w:r>
      <w:r>
        <w:t>87</w:t>
      </w:r>
      <w:r>
        <w:fldChar w:fldCharType="end"/>
      </w:r>
      <w:r>
        <w:rPr>
          <w:rFonts w:hint="eastAsia" w:ascii="Calibri" w:hAnsi="Calibri" w:eastAsia="宋体" w:cs="Times New Roman"/>
          <w:kern w:val="2"/>
          <w:szCs w:val="24"/>
          <w:lang w:val="en-US" w:eastAsia="zh-CN" w:bidi="ar-SA"/>
        </w:rPr>
        <w:fldChar w:fldCharType="end"/>
      </w:r>
    </w:p>
    <w:p w14:paraId="10FF0F4B">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_Toc21014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szCs w:val="30"/>
        </w:rPr>
        <w:t>6.2 设备营销策略</w:t>
      </w:r>
      <w:r>
        <w:tab/>
      </w:r>
      <w:r>
        <w:fldChar w:fldCharType="begin"/>
      </w:r>
      <w:r>
        <w:instrText xml:space="preserve"> PAGEREF _Toc21014 \h </w:instrText>
      </w:r>
      <w:r>
        <w:fldChar w:fldCharType="separate"/>
      </w:r>
      <w:r>
        <w:t>90</w:t>
      </w:r>
      <w:r>
        <w:fldChar w:fldCharType="end"/>
      </w:r>
      <w:r>
        <w:rPr>
          <w:rFonts w:hint="eastAsia" w:ascii="Calibri" w:hAnsi="Calibri" w:eastAsia="宋体" w:cs="Times New Roman"/>
          <w:kern w:val="2"/>
          <w:szCs w:val="24"/>
          <w:lang w:val="en-US" w:eastAsia="zh-CN" w:bidi="ar-SA"/>
        </w:rPr>
        <w:fldChar w:fldCharType="end"/>
      </w:r>
    </w:p>
    <w:p w14:paraId="7BF63956">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_Toc22225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szCs w:val="30"/>
        </w:rPr>
        <w:t>6.3 实施与交付策略</w:t>
      </w:r>
      <w:r>
        <w:tab/>
      </w:r>
      <w:r>
        <w:fldChar w:fldCharType="begin"/>
      </w:r>
      <w:r>
        <w:instrText xml:space="preserve"> PAGEREF _Toc22225 \h </w:instrText>
      </w:r>
      <w:r>
        <w:fldChar w:fldCharType="separate"/>
      </w:r>
      <w:r>
        <w:t>92</w:t>
      </w:r>
      <w:r>
        <w:fldChar w:fldCharType="end"/>
      </w:r>
      <w:r>
        <w:rPr>
          <w:rFonts w:hint="eastAsia" w:ascii="Calibri" w:hAnsi="Calibri" w:eastAsia="宋体" w:cs="Times New Roman"/>
          <w:kern w:val="2"/>
          <w:szCs w:val="24"/>
          <w:lang w:val="en-US" w:eastAsia="zh-CN" w:bidi="ar-SA"/>
        </w:rPr>
        <w:fldChar w:fldCharType="end"/>
      </w:r>
    </w:p>
    <w:p w14:paraId="4C2E137C">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_Toc21495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szCs w:val="30"/>
        </w:rPr>
        <w:t xml:space="preserve">6.4 </w:t>
      </w:r>
      <w:r>
        <w:rPr>
          <w:rFonts w:hint="eastAsia" w:ascii="黑体" w:hAnsi="黑体" w:eastAsia="黑体" w:cs="黑体"/>
          <w:szCs w:val="28"/>
        </w:rPr>
        <w:t>产品推广与销售模式</w:t>
      </w:r>
      <w:r>
        <w:tab/>
      </w:r>
      <w:r>
        <w:fldChar w:fldCharType="begin"/>
      </w:r>
      <w:r>
        <w:instrText xml:space="preserve"> PAGEREF _Toc21495 \h </w:instrText>
      </w:r>
      <w:r>
        <w:fldChar w:fldCharType="separate"/>
      </w:r>
      <w:r>
        <w:t>95</w:t>
      </w:r>
      <w:r>
        <w:fldChar w:fldCharType="end"/>
      </w:r>
      <w:r>
        <w:rPr>
          <w:rFonts w:hint="eastAsia" w:ascii="Calibri" w:hAnsi="Calibri" w:eastAsia="宋体" w:cs="Times New Roman"/>
          <w:kern w:val="2"/>
          <w:szCs w:val="24"/>
          <w:lang w:val="en-US" w:eastAsia="zh-CN" w:bidi="ar-SA"/>
        </w:rPr>
        <w:fldChar w:fldCharType="end"/>
      </w:r>
    </w:p>
    <w:p w14:paraId="52A3EC17">
      <w:pPr>
        <w:pStyle w:val="5"/>
        <w:tabs>
          <w:tab w:val="right" w:leader="dot" w:pos="8306"/>
        </w:tabs>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_Toc8754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2"/>
        </w:rPr>
        <w:t>第七章：运营策略</w:t>
      </w:r>
      <w:r>
        <w:tab/>
      </w:r>
      <w:r>
        <w:fldChar w:fldCharType="begin"/>
      </w:r>
      <w:r>
        <w:instrText xml:space="preserve"> PAGEREF _Toc8754 \h </w:instrText>
      </w:r>
      <w:r>
        <w:fldChar w:fldCharType="separate"/>
      </w:r>
      <w:r>
        <w:t>98</w:t>
      </w:r>
      <w:r>
        <w:fldChar w:fldCharType="end"/>
      </w:r>
      <w:r>
        <w:rPr>
          <w:rFonts w:hint="eastAsia" w:ascii="Calibri" w:hAnsi="Calibri" w:eastAsia="宋体" w:cs="Times New Roman"/>
          <w:kern w:val="2"/>
          <w:szCs w:val="24"/>
          <w:lang w:val="en-US" w:eastAsia="zh-CN" w:bidi="ar-SA"/>
        </w:rPr>
        <w:fldChar w:fldCharType="end"/>
      </w:r>
    </w:p>
    <w:p w14:paraId="6E6E8E33">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_Toc28521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7.1 运营定位与目标</w:t>
      </w:r>
      <w:r>
        <w:tab/>
      </w:r>
      <w:r>
        <w:fldChar w:fldCharType="begin"/>
      </w:r>
      <w:r>
        <w:instrText xml:space="preserve"> PAGEREF _Toc28521 \h </w:instrText>
      </w:r>
      <w:r>
        <w:fldChar w:fldCharType="separate"/>
      </w:r>
      <w:r>
        <w:t>99</w:t>
      </w:r>
      <w:r>
        <w:fldChar w:fldCharType="end"/>
      </w:r>
      <w:r>
        <w:rPr>
          <w:rFonts w:hint="eastAsia" w:ascii="Calibri" w:hAnsi="Calibri" w:eastAsia="宋体" w:cs="Times New Roman"/>
          <w:kern w:val="2"/>
          <w:szCs w:val="24"/>
          <w:lang w:val="en-US" w:eastAsia="zh-CN" w:bidi="ar-SA"/>
        </w:rPr>
        <w:fldChar w:fldCharType="end"/>
      </w:r>
    </w:p>
    <w:p w14:paraId="76DFAC85">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_Toc1342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7.2 阶段运营</w:t>
      </w:r>
      <w:r>
        <w:tab/>
      </w:r>
      <w:r>
        <w:fldChar w:fldCharType="begin"/>
      </w:r>
      <w:r>
        <w:instrText xml:space="preserve"> PAGEREF _Toc1342 \h </w:instrText>
      </w:r>
      <w:r>
        <w:fldChar w:fldCharType="separate"/>
      </w:r>
      <w:r>
        <w:t>102</w:t>
      </w:r>
      <w:r>
        <w:fldChar w:fldCharType="end"/>
      </w:r>
      <w:r>
        <w:rPr>
          <w:rFonts w:hint="eastAsia" w:ascii="Calibri" w:hAnsi="Calibri" w:eastAsia="宋体" w:cs="Times New Roman"/>
          <w:kern w:val="2"/>
          <w:szCs w:val="24"/>
          <w:lang w:val="en-US" w:eastAsia="zh-CN" w:bidi="ar-SA"/>
        </w:rPr>
        <w:fldChar w:fldCharType="end"/>
      </w:r>
    </w:p>
    <w:p w14:paraId="126429A6">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_Toc7108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7.3 运营模块</w:t>
      </w:r>
      <w:r>
        <w:tab/>
      </w:r>
      <w:r>
        <w:fldChar w:fldCharType="begin"/>
      </w:r>
      <w:r>
        <w:instrText xml:space="preserve"> PAGEREF _Toc7108 \h </w:instrText>
      </w:r>
      <w:r>
        <w:fldChar w:fldCharType="separate"/>
      </w:r>
      <w:r>
        <w:t>104</w:t>
      </w:r>
      <w:r>
        <w:fldChar w:fldCharType="end"/>
      </w:r>
      <w:r>
        <w:rPr>
          <w:rFonts w:hint="eastAsia" w:ascii="Calibri" w:hAnsi="Calibri" w:eastAsia="宋体" w:cs="Times New Roman"/>
          <w:kern w:val="2"/>
          <w:szCs w:val="24"/>
          <w:lang w:val="en-US" w:eastAsia="zh-CN" w:bidi="ar-SA"/>
        </w:rPr>
        <w:fldChar w:fldCharType="end"/>
      </w:r>
    </w:p>
    <w:p w14:paraId="7F7DF936">
      <w:pPr>
        <w:pStyle w:val="5"/>
        <w:tabs>
          <w:tab w:val="right" w:leader="dot" w:pos="8306"/>
        </w:tabs>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_Toc7893 </w:instrText>
      </w:r>
      <w:r>
        <w:rPr>
          <w:rFonts w:hint="eastAsia" w:ascii="Calibri" w:hAnsi="Calibri" w:eastAsia="宋体" w:cs="Times New Roman"/>
          <w:kern w:val="2"/>
          <w:szCs w:val="24"/>
          <w:lang w:val="en-US" w:eastAsia="zh-CN" w:bidi="ar-SA"/>
        </w:rPr>
        <w:fldChar w:fldCharType="separate"/>
      </w:r>
      <w:r>
        <w:rPr>
          <w:rFonts w:hint="eastAsia" w:ascii="黑体" w:hAnsi="宋体" w:eastAsia="黑体" w:cs="黑体"/>
          <w:bCs/>
          <w:kern w:val="44"/>
          <w:szCs w:val="32"/>
        </w:rPr>
        <w:t xml:space="preserve">第八章 </w:t>
      </w:r>
      <w:r>
        <w:rPr>
          <w:rFonts w:hint="eastAsia" w:ascii="黑体" w:hAnsi="宋体" w:eastAsia="黑体" w:cs="黑体"/>
          <w:bCs/>
          <w:kern w:val="44"/>
          <w:szCs w:val="32"/>
          <w:lang w:eastAsia="zh-CN"/>
        </w:rPr>
        <w:t>：</w:t>
      </w:r>
      <w:r>
        <w:rPr>
          <w:rFonts w:ascii="黑体" w:hAnsi="宋体" w:eastAsia="黑体" w:cs="黑体"/>
          <w:bCs/>
          <w:kern w:val="44"/>
          <w:szCs w:val="32"/>
        </w:rPr>
        <w:t>团队介绍</w:t>
      </w:r>
      <w:r>
        <w:tab/>
      </w:r>
      <w:r>
        <w:fldChar w:fldCharType="begin"/>
      </w:r>
      <w:r>
        <w:instrText xml:space="preserve"> PAGEREF _Toc7893 \h </w:instrText>
      </w:r>
      <w:r>
        <w:fldChar w:fldCharType="separate"/>
      </w:r>
      <w:r>
        <w:t>108</w:t>
      </w:r>
      <w:r>
        <w:fldChar w:fldCharType="end"/>
      </w:r>
      <w:r>
        <w:rPr>
          <w:rFonts w:hint="eastAsia" w:ascii="Calibri" w:hAnsi="Calibri" w:eastAsia="宋体" w:cs="Times New Roman"/>
          <w:kern w:val="2"/>
          <w:szCs w:val="24"/>
          <w:lang w:val="en-US" w:eastAsia="zh-CN" w:bidi="ar-SA"/>
        </w:rPr>
        <w:fldChar w:fldCharType="end"/>
      </w:r>
    </w:p>
    <w:p w14:paraId="7DF605E5">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_Toc5542 </w:instrText>
      </w:r>
      <w:r>
        <w:rPr>
          <w:rFonts w:hint="eastAsia" w:ascii="Calibri" w:hAnsi="Calibri" w:eastAsia="宋体" w:cs="Times New Roman"/>
          <w:kern w:val="2"/>
          <w:szCs w:val="24"/>
          <w:lang w:val="en-US" w:eastAsia="zh-CN" w:bidi="ar-SA"/>
        </w:rPr>
        <w:fldChar w:fldCharType="separate"/>
      </w:r>
      <w:r>
        <w:rPr>
          <w:rFonts w:ascii="黑体" w:hAnsi="黑体" w:eastAsia="黑体" w:cs="黑体"/>
          <w:szCs w:val="28"/>
        </w:rPr>
        <w:t>8.1 团队组织架构</w:t>
      </w:r>
      <w:r>
        <w:tab/>
      </w:r>
      <w:r>
        <w:fldChar w:fldCharType="begin"/>
      </w:r>
      <w:r>
        <w:instrText xml:space="preserve"> PAGEREF _Toc5542 \h </w:instrText>
      </w:r>
      <w:r>
        <w:fldChar w:fldCharType="separate"/>
      </w:r>
      <w:r>
        <w:t>108</w:t>
      </w:r>
      <w:r>
        <w:fldChar w:fldCharType="end"/>
      </w:r>
      <w:r>
        <w:rPr>
          <w:rFonts w:hint="eastAsia" w:ascii="Calibri" w:hAnsi="Calibri" w:eastAsia="宋体" w:cs="Times New Roman"/>
          <w:kern w:val="2"/>
          <w:szCs w:val="24"/>
          <w:lang w:val="en-US" w:eastAsia="zh-CN" w:bidi="ar-SA"/>
        </w:rPr>
        <w:fldChar w:fldCharType="end"/>
      </w:r>
    </w:p>
    <w:p w14:paraId="19585060">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_Toc30040 </w:instrText>
      </w:r>
      <w:r>
        <w:rPr>
          <w:rFonts w:hint="eastAsia" w:ascii="Calibri" w:hAnsi="Calibri" w:eastAsia="宋体" w:cs="Times New Roman"/>
          <w:kern w:val="2"/>
          <w:szCs w:val="24"/>
          <w:lang w:val="en-US" w:eastAsia="zh-CN" w:bidi="ar-SA"/>
        </w:rPr>
        <w:fldChar w:fldCharType="separate"/>
      </w:r>
      <w:r>
        <w:rPr>
          <w:rFonts w:ascii="黑体" w:hAnsi="黑体" w:eastAsia="黑体" w:cs="黑体"/>
          <w:szCs w:val="30"/>
        </w:rPr>
        <w:t>8.2 专家顾问团队</w:t>
      </w:r>
      <w:r>
        <w:tab/>
      </w:r>
      <w:r>
        <w:fldChar w:fldCharType="begin"/>
      </w:r>
      <w:r>
        <w:instrText xml:space="preserve"> PAGEREF _Toc30040 \h </w:instrText>
      </w:r>
      <w:r>
        <w:fldChar w:fldCharType="separate"/>
      </w:r>
      <w:r>
        <w:t>110</w:t>
      </w:r>
      <w:r>
        <w:fldChar w:fldCharType="end"/>
      </w:r>
      <w:r>
        <w:rPr>
          <w:rFonts w:hint="eastAsia" w:ascii="Calibri" w:hAnsi="Calibri" w:eastAsia="宋体" w:cs="Times New Roman"/>
          <w:kern w:val="2"/>
          <w:szCs w:val="24"/>
          <w:lang w:val="en-US" w:eastAsia="zh-CN" w:bidi="ar-SA"/>
        </w:rPr>
        <w:fldChar w:fldCharType="end"/>
      </w:r>
    </w:p>
    <w:p w14:paraId="4C8317F6">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_Toc32063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28"/>
        </w:rPr>
        <w:t>8.3 核心团队成员介绍</w:t>
      </w:r>
      <w:r>
        <w:tab/>
      </w:r>
      <w:r>
        <w:fldChar w:fldCharType="begin"/>
      </w:r>
      <w:r>
        <w:instrText xml:space="preserve"> PAGEREF _Toc32063 \h </w:instrText>
      </w:r>
      <w:r>
        <w:fldChar w:fldCharType="separate"/>
      </w:r>
      <w:r>
        <w:t>113</w:t>
      </w:r>
      <w:r>
        <w:fldChar w:fldCharType="end"/>
      </w:r>
      <w:r>
        <w:rPr>
          <w:rFonts w:hint="eastAsia" w:ascii="Calibri" w:hAnsi="Calibri" w:eastAsia="宋体" w:cs="Times New Roman"/>
          <w:kern w:val="2"/>
          <w:szCs w:val="24"/>
          <w:lang w:val="en-US" w:eastAsia="zh-CN" w:bidi="ar-SA"/>
        </w:rPr>
        <w:fldChar w:fldCharType="end"/>
      </w:r>
    </w:p>
    <w:p w14:paraId="772DCBF2">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_Toc22083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8.4 团队核心优势</w:t>
      </w:r>
      <w:r>
        <w:tab/>
      </w:r>
      <w:r>
        <w:fldChar w:fldCharType="begin"/>
      </w:r>
      <w:r>
        <w:instrText xml:space="preserve"> PAGEREF _Toc22083 \h </w:instrText>
      </w:r>
      <w:r>
        <w:fldChar w:fldCharType="separate"/>
      </w:r>
      <w:r>
        <w:t>117</w:t>
      </w:r>
      <w:r>
        <w:fldChar w:fldCharType="end"/>
      </w:r>
      <w:r>
        <w:rPr>
          <w:rFonts w:hint="eastAsia" w:ascii="Calibri" w:hAnsi="Calibri" w:eastAsia="宋体" w:cs="Times New Roman"/>
          <w:kern w:val="2"/>
          <w:szCs w:val="24"/>
          <w:lang w:val="en-US" w:eastAsia="zh-CN" w:bidi="ar-SA"/>
        </w:rPr>
        <w:fldChar w:fldCharType="end"/>
      </w:r>
    </w:p>
    <w:p w14:paraId="4ED715B7">
      <w:pPr>
        <w:pStyle w:val="5"/>
        <w:tabs>
          <w:tab w:val="right" w:leader="dot" w:pos="8306"/>
        </w:tabs>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_Toc2050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szCs w:val="32"/>
        </w:rPr>
        <w:t>第九章：财务预测</w:t>
      </w:r>
      <w:r>
        <w:tab/>
      </w:r>
      <w:r>
        <w:fldChar w:fldCharType="begin"/>
      </w:r>
      <w:r>
        <w:instrText xml:space="preserve"> PAGEREF _Toc2050 \h </w:instrText>
      </w:r>
      <w:r>
        <w:fldChar w:fldCharType="separate"/>
      </w:r>
      <w:r>
        <w:t>118</w:t>
      </w:r>
      <w:r>
        <w:fldChar w:fldCharType="end"/>
      </w:r>
      <w:r>
        <w:rPr>
          <w:rFonts w:hint="eastAsia" w:ascii="Calibri" w:hAnsi="Calibri" w:eastAsia="宋体" w:cs="Times New Roman"/>
          <w:kern w:val="2"/>
          <w:szCs w:val="24"/>
          <w:lang w:val="en-US" w:eastAsia="zh-CN" w:bidi="ar-SA"/>
        </w:rPr>
        <w:fldChar w:fldCharType="end"/>
      </w:r>
    </w:p>
    <w:p w14:paraId="0EFFCFEB">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_Toc20370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9.1 财务假设前提</w:t>
      </w:r>
      <w:r>
        <w:tab/>
      </w:r>
      <w:r>
        <w:fldChar w:fldCharType="begin"/>
      </w:r>
      <w:r>
        <w:instrText xml:space="preserve"> PAGEREF _Toc20370 \h </w:instrText>
      </w:r>
      <w:r>
        <w:fldChar w:fldCharType="separate"/>
      </w:r>
      <w:r>
        <w:t>118</w:t>
      </w:r>
      <w:r>
        <w:fldChar w:fldCharType="end"/>
      </w:r>
      <w:r>
        <w:rPr>
          <w:rFonts w:hint="eastAsia" w:ascii="Calibri" w:hAnsi="Calibri" w:eastAsia="宋体" w:cs="Times New Roman"/>
          <w:kern w:val="2"/>
          <w:szCs w:val="24"/>
          <w:lang w:val="en-US" w:eastAsia="zh-CN" w:bidi="ar-SA"/>
        </w:rPr>
        <w:fldChar w:fldCharType="end"/>
      </w:r>
    </w:p>
    <w:p w14:paraId="199E361C">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_Toc26855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9.2 三情景核心假设对比表</w:t>
      </w:r>
      <w:r>
        <w:tab/>
      </w:r>
      <w:r>
        <w:fldChar w:fldCharType="begin"/>
      </w:r>
      <w:r>
        <w:instrText xml:space="preserve"> PAGEREF _Toc26855 \h </w:instrText>
      </w:r>
      <w:r>
        <w:fldChar w:fldCharType="separate"/>
      </w:r>
      <w:r>
        <w:t>122</w:t>
      </w:r>
      <w:r>
        <w:fldChar w:fldCharType="end"/>
      </w:r>
      <w:r>
        <w:rPr>
          <w:rFonts w:hint="eastAsia" w:ascii="Calibri" w:hAnsi="Calibri" w:eastAsia="宋体" w:cs="Times New Roman"/>
          <w:kern w:val="2"/>
          <w:szCs w:val="24"/>
          <w:lang w:val="en-US" w:eastAsia="zh-CN" w:bidi="ar-SA"/>
        </w:rPr>
        <w:fldChar w:fldCharType="end"/>
      </w:r>
    </w:p>
    <w:p w14:paraId="1D70C90C">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_Toc31117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9.3 五年损益表（中性情景基准）</w:t>
      </w:r>
      <w:r>
        <w:tab/>
      </w:r>
      <w:r>
        <w:fldChar w:fldCharType="begin"/>
      </w:r>
      <w:r>
        <w:instrText xml:space="preserve"> PAGEREF _Toc31117 \h </w:instrText>
      </w:r>
      <w:r>
        <w:fldChar w:fldCharType="separate"/>
      </w:r>
      <w:r>
        <w:t>122</w:t>
      </w:r>
      <w:r>
        <w:fldChar w:fldCharType="end"/>
      </w:r>
      <w:r>
        <w:rPr>
          <w:rFonts w:hint="eastAsia" w:ascii="Calibri" w:hAnsi="Calibri" w:eastAsia="宋体" w:cs="Times New Roman"/>
          <w:kern w:val="2"/>
          <w:szCs w:val="24"/>
          <w:lang w:val="en-US" w:eastAsia="zh-CN" w:bidi="ar-SA"/>
        </w:rPr>
        <w:fldChar w:fldCharType="end"/>
      </w:r>
    </w:p>
    <w:p w14:paraId="36463195">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_Toc27545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9.4 五年现金流量表（中性情景基准）</w:t>
      </w:r>
      <w:r>
        <w:tab/>
      </w:r>
      <w:r>
        <w:fldChar w:fldCharType="begin"/>
      </w:r>
      <w:r>
        <w:instrText xml:space="preserve"> PAGEREF _Toc27545 \h </w:instrText>
      </w:r>
      <w:r>
        <w:fldChar w:fldCharType="separate"/>
      </w:r>
      <w:r>
        <w:t>124</w:t>
      </w:r>
      <w:r>
        <w:fldChar w:fldCharType="end"/>
      </w:r>
      <w:r>
        <w:rPr>
          <w:rFonts w:hint="eastAsia" w:ascii="Calibri" w:hAnsi="Calibri" w:eastAsia="宋体" w:cs="Times New Roman"/>
          <w:kern w:val="2"/>
          <w:szCs w:val="24"/>
          <w:lang w:val="en-US" w:eastAsia="zh-CN" w:bidi="ar-SA"/>
        </w:rPr>
        <w:fldChar w:fldCharType="end"/>
      </w:r>
    </w:p>
    <w:p w14:paraId="4C862127">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_Toc15274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9.5 五年资产负债表（中性情景基准）</w:t>
      </w:r>
      <w:r>
        <w:tab/>
      </w:r>
      <w:r>
        <w:fldChar w:fldCharType="begin"/>
      </w:r>
      <w:r>
        <w:instrText xml:space="preserve"> PAGEREF _Toc15274 \h </w:instrText>
      </w:r>
      <w:r>
        <w:fldChar w:fldCharType="separate"/>
      </w:r>
      <w:r>
        <w:t>126</w:t>
      </w:r>
      <w:r>
        <w:fldChar w:fldCharType="end"/>
      </w:r>
      <w:r>
        <w:rPr>
          <w:rFonts w:hint="eastAsia" w:ascii="Calibri" w:hAnsi="Calibri" w:eastAsia="宋体" w:cs="Times New Roman"/>
          <w:kern w:val="2"/>
          <w:szCs w:val="24"/>
          <w:lang w:val="en-US" w:eastAsia="zh-CN" w:bidi="ar-SA"/>
        </w:rPr>
        <w:fldChar w:fldCharType="end"/>
      </w:r>
    </w:p>
    <w:p w14:paraId="31861AD8">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_Toc25163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9.6 三情景五年营收与盈利对比表</w:t>
      </w:r>
      <w:r>
        <w:tab/>
      </w:r>
      <w:r>
        <w:fldChar w:fldCharType="begin"/>
      </w:r>
      <w:r>
        <w:instrText xml:space="preserve"> PAGEREF _Toc25163 \h </w:instrText>
      </w:r>
      <w:r>
        <w:fldChar w:fldCharType="separate"/>
      </w:r>
      <w:r>
        <w:t>127</w:t>
      </w:r>
      <w:r>
        <w:fldChar w:fldCharType="end"/>
      </w:r>
      <w:r>
        <w:rPr>
          <w:rFonts w:hint="eastAsia" w:ascii="Calibri" w:hAnsi="Calibri" w:eastAsia="宋体" w:cs="Times New Roman"/>
          <w:kern w:val="2"/>
          <w:szCs w:val="24"/>
          <w:lang w:val="en-US" w:eastAsia="zh-CN" w:bidi="ar-SA"/>
        </w:rPr>
        <w:fldChar w:fldCharType="end"/>
      </w:r>
    </w:p>
    <w:p w14:paraId="1ADF6BAD">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_Toc19865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9.7 盈亏平衡分析</w:t>
      </w:r>
      <w:r>
        <w:tab/>
      </w:r>
      <w:r>
        <w:fldChar w:fldCharType="begin"/>
      </w:r>
      <w:r>
        <w:instrText xml:space="preserve"> PAGEREF _Toc19865 \h </w:instrText>
      </w:r>
      <w:r>
        <w:fldChar w:fldCharType="separate"/>
      </w:r>
      <w:r>
        <w:t>127</w:t>
      </w:r>
      <w:r>
        <w:fldChar w:fldCharType="end"/>
      </w:r>
      <w:r>
        <w:rPr>
          <w:rFonts w:hint="eastAsia" w:ascii="Calibri" w:hAnsi="Calibri" w:eastAsia="宋体" w:cs="Times New Roman"/>
          <w:kern w:val="2"/>
          <w:szCs w:val="24"/>
          <w:lang w:val="en-US" w:eastAsia="zh-CN" w:bidi="ar-SA"/>
        </w:rPr>
        <w:fldChar w:fldCharType="end"/>
      </w:r>
    </w:p>
    <w:p w14:paraId="3BE57FF9">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_Toc17165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2"/>
        </w:rPr>
        <w:t>9.8 敏感性分析</w:t>
      </w:r>
      <w:r>
        <w:tab/>
      </w:r>
      <w:r>
        <w:fldChar w:fldCharType="begin"/>
      </w:r>
      <w:r>
        <w:instrText xml:space="preserve"> PAGEREF _Toc17165 \h </w:instrText>
      </w:r>
      <w:r>
        <w:fldChar w:fldCharType="separate"/>
      </w:r>
      <w:r>
        <w:t>129</w:t>
      </w:r>
      <w:r>
        <w:fldChar w:fldCharType="end"/>
      </w:r>
      <w:r>
        <w:rPr>
          <w:rFonts w:hint="eastAsia" w:ascii="Calibri" w:hAnsi="Calibri" w:eastAsia="宋体" w:cs="Times New Roman"/>
          <w:kern w:val="2"/>
          <w:szCs w:val="24"/>
          <w:lang w:val="en-US" w:eastAsia="zh-CN" w:bidi="ar-SA"/>
        </w:rPr>
        <w:fldChar w:fldCharType="end"/>
      </w:r>
    </w:p>
    <w:p w14:paraId="1746D3B8">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_Toc32198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9.9 关键财务比率趋势表</w:t>
      </w:r>
      <w:r>
        <w:tab/>
      </w:r>
      <w:r>
        <w:fldChar w:fldCharType="begin"/>
      </w:r>
      <w:r>
        <w:instrText xml:space="preserve"> PAGEREF _Toc32198 \h </w:instrText>
      </w:r>
      <w:r>
        <w:fldChar w:fldCharType="separate"/>
      </w:r>
      <w:r>
        <w:t>131</w:t>
      </w:r>
      <w:r>
        <w:fldChar w:fldCharType="end"/>
      </w:r>
      <w:r>
        <w:rPr>
          <w:rFonts w:hint="eastAsia" w:ascii="Calibri" w:hAnsi="Calibri" w:eastAsia="宋体" w:cs="Times New Roman"/>
          <w:kern w:val="2"/>
          <w:szCs w:val="24"/>
          <w:lang w:val="en-US" w:eastAsia="zh-CN" w:bidi="ar-SA"/>
        </w:rPr>
        <w:fldChar w:fldCharType="end"/>
      </w:r>
    </w:p>
    <w:p w14:paraId="54A5D462">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_Toc30925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9.10 资本需求与融资规划</w:t>
      </w:r>
      <w:r>
        <w:tab/>
      </w:r>
      <w:r>
        <w:fldChar w:fldCharType="begin"/>
      </w:r>
      <w:r>
        <w:instrText xml:space="preserve"> PAGEREF _Toc30925 \h </w:instrText>
      </w:r>
      <w:r>
        <w:fldChar w:fldCharType="separate"/>
      </w:r>
      <w:r>
        <w:t>132</w:t>
      </w:r>
      <w:r>
        <w:fldChar w:fldCharType="end"/>
      </w:r>
      <w:r>
        <w:rPr>
          <w:rFonts w:hint="eastAsia" w:ascii="Calibri" w:hAnsi="Calibri" w:eastAsia="宋体" w:cs="Times New Roman"/>
          <w:kern w:val="2"/>
          <w:szCs w:val="24"/>
          <w:lang w:val="en-US" w:eastAsia="zh-CN" w:bidi="ar-SA"/>
        </w:rPr>
        <w:fldChar w:fldCharType="end"/>
      </w:r>
    </w:p>
    <w:p w14:paraId="731138D9">
      <w:pPr>
        <w:pStyle w:val="5"/>
        <w:tabs>
          <w:tab w:val="right" w:leader="dot" w:pos="8306"/>
        </w:tabs>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_Toc20689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2"/>
          <w:lang w:val="en-US" w:eastAsia="zh-CN"/>
        </w:rPr>
        <w:t>第十章：风险分析</w:t>
      </w:r>
      <w:r>
        <w:tab/>
      </w:r>
      <w:r>
        <w:fldChar w:fldCharType="begin"/>
      </w:r>
      <w:r>
        <w:instrText xml:space="preserve"> PAGEREF _Toc20689 \h </w:instrText>
      </w:r>
      <w:r>
        <w:fldChar w:fldCharType="separate"/>
      </w:r>
      <w:r>
        <w:t>134</w:t>
      </w:r>
      <w:r>
        <w:fldChar w:fldCharType="end"/>
      </w:r>
      <w:r>
        <w:rPr>
          <w:rFonts w:hint="eastAsia" w:ascii="Calibri" w:hAnsi="Calibri" w:eastAsia="宋体" w:cs="Times New Roman"/>
          <w:kern w:val="2"/>
          <w:szCs w:val="24"/>
          <w:lang w:val="en-US" w:eastAsia="zh-CN" w:bidi="ar-SA"/>
        </w:rPr>
        <w:fldChar w:fldCharType="end"/>
      </w:r>
    </w:p>
    <w:p w14:paraId="1D1539F0">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_Toc19824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kern w:val="2"/>
          <w:szCs w:val="30"/>
          <w:lang w:val="en-US" w:eastAsia="zh-CN" w:bidi="ar-SA"/>
        </w:rPr>
        <w:t>10.1 分析假设条件声明</w:t>
      </w:r>
      <w:r>
        <w:tab/>
      </w:r>
      <w:r>
        <w:fldChar w:fldCharType="begin"/>
      </w:r>
      <w:r>
        <w:instrText xml:space="preserve"> PAGEREF _Toc19824 \h </w:instrText>
      </w:r>
      <w:r>
        <w:fldChar w:fldCharType="separate"/>
      </w:r>
      <w:r>
        <w:t>134</w:t>
      </w:r>
      <w:r>
        <w:fldChar w:fldCharType="end"/>
      </w:r>
      <w:r>
        <w:rPr>
          <w:rFonts w:hint="eastAsia" w:ascii="Calibri" w:hAnsi="Calibri" w:eastAsia="宋体" w:cs="Times New Roman"/>
          <w:kern w:val="2"/>
          <w:szCs w:val="24"/>
          <w:lang w:val="en-US" w:eastAsia="zh-CN" w:bidi="ar-SA"/>
        </w:rPr>
        <w:fldChar w:fldCharType="end"/>
      </w:r>
    </w:p>
    <w:p w14:paraId="75B5CE78">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_Toc27075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kern w:val="2"/>
          <w:szCs w:val="30"/>
          <w:lang w:val="en-US" w:eastAsia="zh-CN" w:bidi="ar-SA"/>
        </w:rPr>
        <w:t>10.2 财务风险维度分析</w:t>
      </w:r>
      <w:r>
        <w:tab/>
      </w:r>
      <w:r>
        <w:fldChar w:fldCharType="begin"/>
      </w:r>
      <w:r>
        <w:instrText xml:space="preserve"> PAGEREF _Toc27075 \h </w:instrText>
      </w:r>
      <w:r>
        <w:fldChar w:fldCharType="separate"/>
      </w:r>
      <w:r>
        <w:t>134</w:t>
      </w:r>
      <w:r>
        <w:fldChar w:fldCharType="end"/>
      </w:r>
      <w:r>
        <w:rPr>
          <w:rFonts w:hint="eastAsia" w:ascii="Calibri" w:hAnsi="Calibri" w:eastAsia="宋体" w:cs="Times New Roman"/>
          <w:kern w:val="2"/>
          <w:szCs w:val="24"/>
          <w:lang w:val="en-US" w:eastAsia="zh-CN" w:bidi="ar-SA"/>
        </w:rPr>
        <w:fldChar w:fldCharType="end"/>
      </w:r>
    </w:p>
    <w:p w14:paraId="61F79B0B">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_Toc15782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val="0"/>
          <w:kern w:val="0"/>
          <w:szCs w:val="30"/>
          <w:lang w:val="en-US" w:eastAsia="zh-CN" w:bidi="ar-SA"/>
        </w:rPr>
        <w:t>10.3 市场风险维度分析</w:t>
      </w:r>
      <w:r>
        <w:tab/>
      </w:r>
      <w:r>
        <w:fldChar w:fldCharType="begin"/>
      </w:r>
      <w:r>
        <w:instrText xml:space="preserve"> PAGEREF _Toc15782 \h </w:instrText>
      </w:r>
      <w:r>
        <w:fldChar w:fldCharType="separate"/>
      </w:r>
      <w:r>
        <w:t>139</w:t>
      </w:r>
      <w:r>
        <w:fldChar w:fldCharType="end"/>
      </w:r>
      <w:r>
        <w:rPr>
          <w:rFonts w:hint="eastAsia" w:ascii="Calibri" w:hAnsi="Calibri" w:eastAsia="宋体" w:cs="Times New Roman"/>
          <w:kern w:val="2"/>
          <w:szCs w:val="24"/>
          <w:lang w:val="en-US" w:eastAsia="zh-CN" w:bidi="ar-SA"/>
        </w:rPr>
        <w:fldChar w:fldCharType="end"/>
      </w:r>
    </w:p>
    <w:p w14:paraId="51992D90">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_Toc26904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val="0"/>
          <w:kern w:val="0"/>
          <w:szCs w:val="30"/>
          <w:lang w:val="en-US" w:eastAsia="zh-CN" w:bidi="ar-SA"/>
        </w:rPr>
        <w:t>10.4 运营风险维度分析</w:t>
      </w:r>
      <w:r>
        <w:tab/>
      </w:r>
      <w:r>
        <w:fldChar w:fldCharType="begin"/>
      </w:r>
      <w:r>
        <w:instrText xml:space="preserve"> PAGEREF _Toc26904 \h </w:instrText>
      </w:r>
      <w:r>
        <w:fldChar w:fldCharType="separate"/>
      </w:r>
      <w:r>
        <w:t>142</w:t>
      </w:r>
      <w:r>
        <w:fldChar w:fldCharType="end"/>
      </w:r>
      <w:r>
        <w:rPr>
          <w:rFonts w:hint="eastAsia" w:ascii="Calibri" w:hAnsi="Calibri" w:eastAsia="宋体" w:cs="Times New Roman"/>
          <w:kern w:val="2"/>
          <w:szCs w:val="24"/>
          <w:lang w:val="en-US" w:eastAsia="zh-CN" w:bidi="ar-SA"/>
        </w:rPr>
        <w:fldChar w:fldCharType="end"/>
      </w:r>
    </w:p>
    <w:p w14:paraId="2122AB49">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_Toc19556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kern w:val="0"/>
          <w:szCs w:val="30"/>
          <w:lang w:val="en-US" w:eastAsia="zh-CN" w:bidi="ar-SA"/>
        </w:rPr>
        <w:t>10.5 技术与合规风险维度分析</w:t>
      </w:r>
      <w:r>
        <w:tab/>
      </w:r>
      <w:r>
        <w:fldChar w:fldCharType="begin"/>
      </w:r>
      <w:r>
        <w:instrText xml:space="preserve"> PAGEREF _Toc19556 \h </w:instrText>
      </w:r>
      <w:r>
        <w:fldChar w:fldCharType="separate"/>
      </w:r>
      <w:r>
        <w:t>144</w:t>
      </w:r>
      <w:r>
        <w:fldChar w:fldCharType="end"/>
      </w:r>
      <w:r>
        <w:rPr>
          <w:rFonts w:hint="eastAsia" w:ascii="Calibri" w:hAnsi="Calibri" w:eastAsia="宋体" w:cs="Times New Roman"/>
          <w:kern w:val="2"/>
          <w:szCs w:val="24"/>
          <w:lang w:val="en-US" w:eastAsia="zh-CN" w:bidi="ar-SA"/>
        </w:rPr>
        <w:fldChar w:fldCharType="end"/>
      </w:r>
    </w:p>
    <w:p w14:paraId="154AE060">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_Toc8394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val="0"/>
          <w:kern w:val="0"/>
          <w:szCs w:val="30"/>
          <w:lang w:val="en-US" w:eastAsia="zh-CN" w:bidi="ar-SA"/>
        </w:rPr>
        <w:t>10.6 风险量化评估矩阵</w:t>
      </w:r>
      <w:r>
        <w:tab/>
      </w:r>
      <w:r>
        <w:fldChar w:fldCharType="begin"/>
      </w:r>
      <w:r>
        <w:instrText xml:space="preserve"> PAGEREF _Toc8394 \h </w:instrText>
      </w:r>
      <w:r>
        <w:fldChar w:fldCharType="separate"/>
      </w:r>
      <w:r>
        <w:t>146</w:t>
      </w:r>
      <w:r>
        <w:fldChar w:fldCharType="end"/>
      </w:r>
      <w:r>
        <w:rPr>
          <w:rFonts w:hint="eastAsia" w:ascii="Calibri" w:hAnsi="Calibri" w:eastAsia="宋体" w:cs="Times New Roman"/>
          <w:kern w:val="2"/>
          <w:szCs w:val="24"/>
          <w:lang w:val="en-US" w:eastAsia="zh-CN" w:bidi="ar-SA"/>
        </w:rPr>
        <w:fldChar w:fldCharType="end"/>
      </w:r>
    </w:p>
    <w:p w14:paraId="02C745B8">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_Toc23338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10.7 三情景风险演变路径</w:t>
      </w:r>
      <w:r>
        <w:tab/>
      </w:r>
      <w:r>
        <w:fldChar w:fldCharType="begin"/>
      </w:r>
      <w:r>
        <w:instrText xml:space="preserve"> PAGEREF _Toc23338 \h </w:instrText>
      </w:r>
      <w:r>
        <w:fldChar w:fldCharType="separate"/>
      </w:r>
      <w:r>
        <w:t>147</w:t>
      </w:r>
      <w:r>
        <w:fldChar w:fldCharType="end"/>
      </w:r>
      <w:r>
        <w:rPr>
          <w:rFonts w:hint="eastAsia" w:ascii="Calibri" w:hAnsi="Calibri" w:eastAsia="宋体" w:cs="Times New Roman"/>
          <w:kern w:val="2"/>
          <w:szCs w:val="24"/>
          <w:lang w:val="en-US" w:eastAsia="zh-CN" w:bidi="ar-SA"/>
        </w:rPr>
        <w:fldChar w:fldCharType="end"/>
      </w:r>
    </w:p>
    <w:p w14:paraId="6303DA9D">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_Toc11778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bCs/>
          <w:szCs w:val="30"/>
        </w:rPr>
        <w:t>10.8 风险应对策略矩阵</w:t>
      </w:r>
      <w:r>
        <w:tab/>
      </w:r>
      <w:r>
        <w:fldChar w:fldCharType="begin"/>
      </w:r>
      <w:r>
        <w:instrText xml:space="preserve"> PAGEREF _Toc11778 \h </w:instrText>
      </w:r>
      <w:r>
        <w:fldChar w:fldCharType="separate"/>
      </w:r>
      <w:r>
        <w:t>149</w:t>
      </w:r>
      <w:r>
        <w:fldChar w:fldCharType="end"/>
      </w:r>
      <w:r>
        <w:rPr>
          <w:rFonts w:hint="eastAsia" w:ascii="Calibri" w:hAnsi="Calibri" w:eastAsia="宋体" w:cs="Times New Roman"/>
          <w:kern w:val="2"/>
          <w:szCs w:val="24"/>
          <w:lang w:val="en-US" w:eastAsia="zh-CN" w:bidi="ar-SA"/>
        </w:rPr>
        <w:fldChar w:fldCharType="end"/>
      </w:r>
    </w:p>
    <w:p w14:paraId="721074A0">
      <w:pPr>
        <w:pStyle w:val="5"/>
        <w:tabs>
          <w:tab w:val="right" w:leader="dot" w:pos="8306"/>
        </w:tabs>
        <w:ind w:firstLine="440" w:firstLineChars="200"/>
      </w:pPr>
      <w:r>
        <w:rPr>
          <w:rFonts w:hint="eastAsia" w:ascii="Calibri" w:hAnsi="Calibri" w:eastAsia="宋体" w:cs="Times New Roman"/>
          <w:kern w:val="2"/>
          <w:szCs w:val="24"/>
          <w:lang w:val="en-US" w:eastAsia="zh-CN" w:bidi="ar-SA"/>
        </w:rPr>
        <w:fldChar w:fldCharType="begin"/>
      </w:r>
      <w:r>
        <w:rPr>
          <w:rFonts w:hint="eastAsia" w:ascii="Calibri" w:hAnsi="Calibri" w:eastAsia="宋体" w:cs="Times New Roman"/>
          <w:kern w:val="2"/>
          <w:szCs w:val="24"/>
          <w:lang w:val="en-US" w:eastAsia="zh-CN" w:bidi="ar-SA"/>
        </w:rPr>
        <w:instrText xml:space="preserve"> HYPERLINK \l _Toc30080 </w:instrText>
      </w:r>
      <w:r>
        <w:rPr>
          <w:rFonts w:hint="eastAsia" w:ascii="Calibri" w:hAnsi="Calibri" w:eastAsia="宋体" w:cs="Times New Roman"/>
          <w:kern w:val="2"/>
          <w:szCs w:val="24"/>
          <w:lang w:val="en-US" w:eastAsia="zh-CN" w:bidi="ar-SA"/>
        </w:rPr>
        <w:fldChar w:fldCharType="separate"/>
      </w:r>
      <w:r>
        <w:rPr>
          <w:rFonts w:hint="eastAsia" w:ascii="黑体" w:hAnsi="黑体" w:eastAsia="黑体" w:cs="黑体"/>
          <w:szCs w:val="30"/>
        </w:rPr>
        <w:t>10.9 关键风险指标(KRI)监控仪表盘</w:t>
      </w:r>
      <w:r>
        <w:tab/>
      </w:r>
      <w:r>
        <w:fldChar w:fldCharType="begin"/>
      </w:r>
      <w:r>
        <w:instrText xml:space="preserve"> PAGEREF _Toc30080 \h </w:instrText>
      </w:r>
      <w:r>
        <w:fldChar w:fldCharType="separate"/>
      </w:r>
      <w:r>
        <w:t>149</w:t>
      </w:r>
      <w:r>
        <w:fldChar w:fldCharType="end"/>
      </w:r>
      <w:r>
        <w:rPr>
          <w:rFonts w:hint="eastAsia" w:ascii="Calibri" w:hAnsi="Calibri" w:eastAsia="宋体" w:cs="Times New Roman"/>
          <w:kern w:val="2"/>
          <w:szCs w:val="24"/>
          <w:lang w:val="en-US" w:eastAsia="zh-CN" w:bidi="ar-SA"/>
        </w:rPr>
        <w:fldChar w:fldCharType="end"/>
      </w:r>
    </w:p>
    <w:p w14:paraId="777C738F">
      <w:pPr>
        <w:pStyle w:val="5"/>
        <w:tabs>
          <w:tab w:val="right" w:leader="dot" w:pos="8306"/>
        </w:tabs>
        <w:rPr>
          <w:rFonts w:hint="eastAsia" w:ascii="Calibri" w:hAnsi="Calibri" w:eastAsia="宋体" w:cs="Times New Roman"/>
          <w:kern w:val="2"/>
          <w:sz w:val="22"/>
          <w:szCs w:val="24"/>
          <w:lang w:val="en-US" w:eastAsia="zh-CN" w:bidi="ar-SA"/>
        </w:rPr>
      </w:pPr>
      <w:r>
        <w:rPr>
          <w:rFonts w:hint="eastAsia" w:ascii="Calibri" w:hAnsi="Calibri" w:eastAsia="宋体" w:cs="Times New Roman"/>
          <w:kern w:val="2"/>
          <w:szCs w:val="24"/>
          <w:lang w:val="en-US" w:eastAsia="zh-CN" w:bidi="ar-SA"/>
        </w:rPr>
        <w:fldChar w:fldCharType="end"/>
      </w:r>
    </w:p>
    <w:p w14:paraId="31DCB9AE">
      <w:pPr>
        <w:rPr>
          <w:rFonts w:hint="eastAsia"/>
        </w:rPr>
      </w:pPr>
    </w:p>
    <w:p w14:paraId="11E0E746">
      <w:pPr>
        <w:rPr>
          <w:rFonts w:hint="eastAsia" w:ascii="黑体" w:hAnsi="黑体" w:eastAsia="黑体" w:cs="宋体"/>
          <w:b/>
          <w:bCs/>
          <w:sz w:val="32"/>
          <w:szCs w:val="32"/>
        </w:rPr>
      </w:pPr>
    </w:p>
    <w:p w14:paraId="77E995AA">
      <w:pPr>
        <w:rPr>
          <w:rFonts w:hint="eastAsia" w:ascii="黑体" w:hAnsi="黑体" w:eastAsia="黑体" w:cs="宋体"/>
          <w:b/>
          <w:bCs/>
          <w:sz w:val="32"/>
          <w:szCs w:val="32"/>
        </w:rPr>
      </w:pPr>
    </w:p>
    <w:p w14:paraId="29D748EB">
      <w:pPr>
        <w:rPr>
          <w:rFonts w:hint="eastAsia" w:ascii="黑体" w:hAnsi="黑体" w:eastAsia="黑体" w:cs="宋体"/>
          <w:b/>
          <w:bCs/>
          <w:sz w:val="32"/>
          <w:szCs w:val="32"/>
        </w:rPr>
      </w:pPr>
    </w:p>
    <w:p w14:paraId="17739317">
      <w:pPr>
        <w:rPr>
          <w:rFonts w:hint="eastAsia" w:ascii="黑体" w:hAnsi="黑体" w:eastAsia="黑体" w:cs="宋体"/>
          <w:b/>
          <w:bCs/>
          <w:sz w:val="32"/>
          <w:szCs w:val="32"/>
        </w:rPr>
      </w:pPr>
    </w:p>
    <w:p w14:paraId="78485554">
      <w:pPr>
        <w:rPr>
          <w:rFonts w:hint="eastAsia" w:ascii="黑体" w:hAnsi="黑体" w:eastAsia="黑体" w:cs="宋体"/>
          <w:b/>
          <w:bCs/>
          <w:sz w:val="32"/>
          <w:szCs w:val="32"/>
        </w:rPr>
      </w:pPr>
    </w:p>
    <w:p w14:paraId="4ABB3EC1">
      <w:pPr>
        <w:rPr>
          <w:rFonts w:hint="eastAsia" w:ascii="黑体" w:hAnsi="黑体" w:eastAsia="黑体" w:cs="宋体"/>
          <w:b/>
          <w:bCs/>
          <w:sz w:val="32"/>
          <w:szCs w:val="32"/>
        </w:rPr>
      </w:pPr>
    </w:p>
    <w:p w14:paraId="0B317412">
      <w:pPr>
        <w:rPr>
          <w:rFonts w:hint="eastAsia" w:ascii="黑体" w:hAnsi="黑体" w:eastAsia="黑体" w:cs="宋体"/>
          <w:b/>
          <w:bCs/>
          <w:sz w:val="32"/>
          <w:szCs w:val="32"/>
        </w:rPr>
      </w:pPr>
    </w:p>
    <w:p w14:paraId="29327157">
      <w:pPr>
        <w:rPr>
          <w:rFonts w:hint="eastAsia" w:ascii="黑体" w:hAnsi="黑体" w:eastAsia="黑体" w:cs="宋体"/>
          <w:b/>
          <w:bCs/>
          <w:sz w:val="32"/>
          <w:szCs w:val="32"/>
        </w:rPr>
      </w:pPr>
    </w:p>
    <w:p w14:paraId="02167F3D">
      <w:pPr>
        <w:rPr>
          <w:rFonts w:hint="eastAsia" w:ascii="黑体" w:hAnsi="黑体" w:eastAsia="黑体" w:cs="宋体"/>
          <w:b/>
          <w:bCs/>
          <w:sz w:val="32"/>
          <w:szCs w:val="32"/>
        </w:rPr>
      </w:pPr>
    </w:p>
    <w:p w14:paraId="76BAFE10">
      <w:pPr>
        <w:rPr>
          <w:rFonts w:hint="eastAsia" w:ascii="黑体" w:hAnsi="黑体" w:eastAsia="黑体" w:cs="宋体"/>
          <w:b/>
          <w:bCs/>
          <w:sz w:val="32"/>
          <w:szCs w:val="32"/>
        </w:rPr>
      </w:pPr>
    </w:p>
    <w:p w14:paraId="7456F886">
      <w:pPr>
        <w:rPr>
          <w:rFonts w:hint="eastAsia" w:ascii="黑体" w:hAnsi="黑体" w:eastAsia="黑体" w:cs="宋体"/>
          <w:b/>
          <w:bCs/>
          <w:sz w:val="32"/>
          <w:szCs w:val="32"/>
        </w:rPr>
      </w:pPr>
    </w:p>
    <w:p w14:paraId="597913B2">
      <w:pPr>
        <w:rPr>
          <w:rFonts w:hint="eastAsia" w:ascii="黑体" w:hAnsi="黑体" w:eastAsia="黑体" w:cs="宋体"/>
          <w:b/>
          <w:bCs/>
          <w:sz w:val="32"/>
          <w:szCs w:val="32"/>
        </w:rPr>
      </w:pPr>
    </w:p>
    <w:p w14:paraId="0586076D">
      <w:pPr>
        <w:rPr>
          <w:rFonts w:hint="eastAsia" w:ascii="黑体" w:hAnsi="黑体" w:eastAsia="黑体" w:cs="宋体"/>
          <w:b/>
          <w:bCs/>
          <w:sz w:val="32"/>
          <w:szCs w:val="32"/>
        </w:rPr>
      </w:pPr>
      <w:r>
        <w:rPr>
          <w:rFonts w:hint="eastAsia" w:ascii="黑体" w:hAnsi="黑体" w:eastAsia="黑体" w:cs="宋体"/>
          <w:b/>
          <w:bCs/>
          <w:sz w:val="32"/>
          <w:szCs w:val="32"/>
        </w:rPr>
        <w:t>前言</w:t>
      </w:r>
    </w:p>
    <w:p w14:paraId="53384D48">
      <w:pPr>
        <w:ind w:firstLine="420"/>
        <w:rPr>
          <w:rFonts w:hint="eastAsia" w:ascii="宋体" w:hAnsi="宋体" w:eastAsia="宋体" w:cs="宋体"/>
          <w:sz w:val="28"/>
          <w:szCs w:val="28"/>
        </w:rPr>
      </w:pPr>
      <w:r>
        <w:rPr>
          <w:rFonts w:hint="eastAsia" w:ascii="宋体" w:hAnsi="宋体" w:eastAsia="宋体" w:cs="宋体"/>
          <w:sz w:val="28"/>
          <w:szCs w:val="28"/>
        </w:rPr>
        <w:t>随着</w:t>
      </w:r>
      <w:r>
        <w:rPr>
          <w:rFonts w:hint="eastAsia" w:ascii="宋体" w:hAnsi="宋体" w:eastAsia="宋体" w:cs="宋体"/>
          <w:sz w:val="28"/>
          <w:szCs w:val="28"/>
          <w:lang w:val="en-US" w:eastAsia="zh-CN"/>
        </w:rPr>
        <w:t>时代高速发展大家对饮品的需求日益增加</w:t>
      </w:r>
      <w:r>
        <w:rPr>
          <w:rFonts w:hint="eastAsia" w:ascii="宋体" w:hAnsi="宋体" w:eastAsia="宋体" w:cs="宋体"/>
          <w:sz w:val="28"/>
          <w:szCs w:val="28"/>
        </w:rPr>
        <w:t>，饮料品</w:t>
      </w:r>
      <w:r>
        <w:rPr>
          <w:rFonts w:hint="eastAsia" w:ascii="宋体" w:hAnsi="宋体" w:eastAsia="宋体" w:cs="宋体"/>
          <w:sz w:val="28"/>
          <w:szCs w:val="28"/>
          <w:lang w:val="en-US" w:eastAsia="zh-CN"/>
        </w:rPr>
        <w:t>品类</w:t>
      </w:r>
      <w:r>
        <w:rPr>
          <w:rFonts w:hint="eastAsia" w:ascii="宋体" w:hAnsi="宋体" w:eastAsia="宋体" w:cs="宋体"/>
          <w:sz w:val="28"/>
          <w:szCs w:val="28"/>
        </w:rPr>
        <w:t>丰富，现制茶饮、功能性饮料快速崛起其中</w:t>
      </w:r>
      <w:r>
        <w:rPr>
          <w:rFonts w:hint="eastAsia" w:ascii="宋体" w:hAnsi="宋体" w:eastAsia="宋体" w:cs="宋体"/>
          <w:sz w:val="28"/>
          <w:szCs w:val="28"/>
          <w:lang w:val="en-US" w:eastAsia="zh-CN"/>
        </w:rPr>
        <w:t>奶</w:t>
      </w:r>
      <w:r>
        <w:rPr>
          <w:rFonts w:hint="eastAsia" w:ascii="宋体" w:hAnsi="宋体" w:eastAsia="宋体" w:cs="宋体"/>
          <w:sz w:val="28"/>
          <w:szCs w:val="28"/>
        </w:rPr>
        <w:t>茶、果汁、植物蛋白等特色饮品凭借独特风味与营养优势，占据重要市场份额。与此同时</w:t>
      </w:r>
      <w:r>
        <w:rPr>
          <w:rFonts w:hint="eastAsia" w:ascii="宋体" w:hAnsi="宋体" w:eastAsia="宋体" w:cs="宋体"/>
          <w:b/>
          <w:bCs/>
          <w:sz w:val="28"/>
          <w:szCs w:val="28"/>
        </w:rPr>
        <w:t>人工合成色素滥用</w:t>
      </w:r>
      <w:r>
        <w:rPr>
          <w:rFonts w:hint="eastAsia" w:ascii="宋体" w:hAnsi="宋体" w:eastAsia="宋体" w:cs="宋体"/>
          <w:sz w:val="28"/>
          <w:szCs w:val="28"/>
          <w:lang w:val="en-US" w:eastAsia="zh-CN"/>
        </w:rPr>
        <w:t>成为行业普遍</w:t>
      </w:r>
      <w:r>
        <w:rPr>
          <w:rFonts w:hint="eastAsia" w:ascii="宋体" w:hAnsi="宋体" w:eastAsia="宋体" w:cs="宋体"/>
          <w:sz w:val="28"/>
          <w:szCs w:val="28"/>
        </w:rPr>
        <w:t>，部分企业为优化产品外观、降低成本，超范围、超限量使用</w:t>
      </w:r>
      <w:r>
        <w:rPr>
          <w:rFonts w:hint="eastAsia" w:ascii="宋体" w:hAnsi="宋体" w:eastAsia="宋体" w:cs="宋体"/>
          <w:b/>
          <w:bCs/>
          <w:sz w:val="28"/>
          <w:szCs w:val="28"/>
        </w:rPr>
        <w:t>柠檬黄、胭脂红、日落黄</w:t>
      </w:r>
      <w:r>
        <w:rPr>
          <w:rFonts w:hint="eastAsia" w:ascii="宋体" w:hAnsi="宋体" w:eastAsia="宋体" w:cs="宋体"/>
          <w:sz w:val="28"/>
          <w:szCs w:val="28"/>
        </w:rPr>
        <w:t>等合成色素，违背《食品安全国家标准 食品添加剂使用标准》（GB 2760）要求</w:t>
      </w:r>
      <w:r>
        <w:rPr>
          <w:rFonts w:hint="eastAsia" w:ascii="宋体" w:hAnsi="宋体" w:eastAsia="宋体" w:cs="宋体"/>
          <w:sz w:val="28"/>
          <w:szCs w:val="28"/>
          <w:lang w:eastAsia="zh-CN"/>
        </w:rPr>
        <w:t>，长期过量摄入人工色素可能导致消化问题、行为问题、生长发育问题，或增加儿童肥胖风险。天然色素过量摄入也影响健康，如甜菜根色素可能导致腹泻，胭脂虫红可能导致过敏反应。</w:t>
      </w:r>
      <w:r>
        <w:rPr>
          <w:rFonts w:hint="eastAsia" w:ascii="宋体" w:hAnsi="宋体" w:eastAsia="宋体" w:cs="宋体"/>
          <w:sz w:val="28"/>
          <w:szCs w:val="28"/>
          <w:lang w:val="en-US" w:eastAsia="zh-CN"/>
        </w:rPr>
        <w:t>这样的恶性滥用色素</w:t>
      </w:r>
      <w:r>
        <w:rPr>
          <w:rFonts w:hint="eastAsia" w:ascii="宋体" w:hAnsi="宋体" w:eastAsia="宋体" w:cs="宋体"/>
          <w:sz w:val="28"/>
          <w:szCs w:val="28"/>
        </w:rPr>
        <w:t>严重</w:t>
      </w:r>
      <w:r>
        <w:rPr>
          <w:rFonts w:hint="eastAsia" w:ascii="宋体" w:hAnsi="宋体" w:eastAsia="宋体" w:cs="宋体"/>
          <w:sz w:val="28"/>
          <w:szCs w:val="28"/>
          <w:lang w:val="en-US" w:eastAsia="zh-CN"/>
        </w:rPr>
        <w:t>影响</w:t>
      </w:r>
      <w:r>
        <w:rPr>
          <w:rFonts w:hint="eastAsia" w:ascii="宋体" w:hAnsi="宋体" w:eastAsia="宋体" w:cs="宋体"/>
          <w:sz w:val="28"/>
          <w:szCs w:val="28"/>
        </w:rPr>
        <w:t>了饮料行业的绿色规模化发展。​</w:t>
      </w:r>
    </w:p>
    <w:p w14:paraId="6D4B6C6D">
      <w:pPr>
        <w:ind w:firstLine="420"/>
        <w:rPr>
          <w:rFonts w:hint="eastAsia" w:ascii="宋体" w:hAnsi="宋体" w:eastAsia="宋体" w:cs="宋体"/>
          <w:sz w:val="28"/>
          <w:szCs w:val="28"/>
        </w:rPr>
      </w:pPr>
      <w:r>
        <w:rPr>
          <w:rFonts w:hint="eastAsia" w:ascii="宋体" w:hAnsi="宋体" w:eastAsia="宋体" w:cs="宋体"/>
          <w:sz w:val="28"/>
          <w:szCs w:val="28"/>
        </w:rPr>
        <w:t>当前合成色素检测以</w:t>
      </w:r>
      <w:r>
        <w:rPr>
          <w:rFonts w:hint="eastAsia" w:ascii="宋体" w:hAnsi="宋体" w:eastAsia="宋体" w:cs="宋体"/>
          <w:b/>
          <w:bCs/>
          <w:sz w:val="28"/>
          <w:szCs w:val="28"/>
        </w:rPr>
        <w:t>高效液相色谱法（HPLC）</w:t>
      </w:r>
      <w:r>
        <w:rPr>
          <w:rFonts w:hint="eastAsia" w:ascii="宋体" w:hAnsi="宋体" w:eastAsia="宋体" w:cs="宋体"/>
          <w:sz w:val="28"/>
          <w:szCs w:val="28"/>
        </w:rPr>
        <w:t>标准，该技术存在显著短板：单次检测耗时 2-4 小时、单样成本 500-800 元，</w:t>
      </w:r>
      <w:r>
        <w:rPr>
          <w:rFonts w:hint="eastAsia" w:ascii="宋体" w:hAnsi="宋体" w:eastAsia="宋体" w:cs="宋体"/>
          <w:sz w:val="28"/>
          <w:szCs w:val="28"/>
          <w:lang w:val="en-US" w:eastAsia="zh-CN"/>
        </w:rPr>
        <w:t>成本高耗时长</w:t>
      </w:r>
      <w:r>
        <w:rPr>
          <w:rFonts w:hint="eastAsia" w:ascii="宋体" w:hAnsi="宋体" w:eastAsia="宋体" w:cs="宋体"/>
          <w:sz w:val="28"/>
          <w:szCs w:val="28"/>
        </w:rPr>
        <w:t>且依赖有毒有机试剂、取样方式为破坏性检测</w:t>
      </w:r>
      <w:r>
        <w:rPr>
          <w:rFonts w:hint="eastAsia" w:ascii="宋体" w:hAnsi="宋体" w:eastAsia="宋体" w:cs="宋体"/>
          <w:sz w:val="28"/>
          <w:szCs w:val="28"/>
          <w:lang w:eastAsia="zh"/>
        </w:rPr>
        <w:t>，</w:t>
      </w:r>
      <w:r>
        <w:rPr>
          <w:rFonts w:hint="eastAsia" w:ascii="宋体" w:hAnsi="宋体" w:eastAsia="宋体" w:cs="宋体"/>
          <w:sz w:val="28"/>
          <w:szCs w:val="28"/>
          <w:lang w:val="en-US" w:eastAsia="zh-CN"/>
        </w:rPr>
        <w:t>这样的检测方式对</w:t>
      </w:r>
      <w:r>
        <w:rPr>
          <w:rFonts w:hint="eastAsia" w:ascii="宋体" w:hAnsi="宋体" w:eastAsia="宋体" w:cs="宋体"/>
          <w:sz w:val="28"/>
          <w:szCs w:val="28"/>
        </w:rPr>
        <w:t>环境</w:t>
      </w:r>
      <w:r>
        <w:rPr>
          <w:rFonts w:hint="eastAsia" w:ascii="宋体" w:hAnsi="宋体" w:eastAsia="宋体" w:cs="宋体"/>
          <w:sz w:val="28"/>
          <w:szCs w:val="28"/>
          <w:lang w:val="en-US" w:eastAsia="zh-CN"/>
        </w:rPr>
        <w:t>的</w:t>
      </w:r>
      <w:r>
        <w:rPr>
          <w:rFonts w:hint="eastAsia" w:ascii="宋体" w:hAnsi="宋体" w:eastAsia="宋体" w:cs="宋体"/>
          <w:sz w:val="28"/>
          <w:szCs w:val="28"/>
        </w:rPr>
        <w:t>污染</w:t>
      </w:r>
      <w:r>
        <w:rPr>
          <w:rFonts w:hint="eastAsia" w:ascii="宋体" w:hAnsi="宋体" w:eastAsia="宋体" w:cs="宋体"/>
          <w:sz w:val="28"/>
          <w:szCs w:val="28"/>
          <w:lang w:val="en-US" w:eastAsia="zh-CN"/>
        </w:rPr>
        <w:t>严重</w:t>
      </w:r>
      <w:r>
        <w:rPr>
          <w:rFonts w:hint="eastAsia" w:ascii="宋体" w:hAnsi="宋体" w:eastAsia="宋体" w:cs="宋体"/>
          <w:sz w:val="28"/>
          <w:szCs w:val="28"/>
          <w:lang w:val="en-US" w:eastAsia="zh"/>
        </w:rPr>
        <w:t>，</w:t>
      </w:r>
      <w:r>
        <w:rPr>
          <w:rFonts w:hint="eastAsia" w:ascii="宋体" w:hAnsi="宋体" w:eastAsia="宋体" w:cs="宋体"/>
          <w:sz w:val="28"/>
          <w:szCs w:val="28"/>
          <w:lang w:val="en-US" w:eastAsia="zh-CN"/>
        </w:rPr>
        <w:t>样</w:t>
      </w:r>
      <w:r>
        <w:rPr>
          <w:rFonts w:hint="eastAsia" w:ascii="宋体" w:hAnsi="宋体" w:eastAsia="宋体" w:cs="宋体"/>
          <w:sz w:val="28"/>
          <w:szCs w:val="28"/>
        </w:rPr>
        <w:t>品损耗</w:t>
      </w:r>
      <w:r>
        <w:rPr>
          <w:rFonts w:hint="eastAsia" w:ascii="宋体" w:hAnsi="宋体" w:eastAsia="宋体" w:cs="宋体"/>
          <w:sz w:val="28"/>
          <w:szCs w:val="28"/>
          <w:lang w:val="en-US" w:eastAsia="zh-CN"/>
        </w:rPr>
        <w:t>严重</w:t>
      </w:r>
      <w:r>
        <w:rPr>
          <w:rFonts w:hint="eastAsia" w:ascii="宋体" w:hAnsi="宋体" w:eastAsia="宋体" w:cs="宋体"/>
          <w:sz w:val="28"/>
          <w:szCs w:val="28"/>
        </w:rPr>
        <w:t>，适配性差、效率低下，难以满足多品类饮料</w:t>
      </w:r>
      <w:r>
        <w:rPr>
          <w:rFonts w:hint="eastAsia" w:ascii="宋体" w:hAnsi="宋体" w:eastAsia="宋体" w:cs="宋体"/>
          <w:sz w:val="28"/>
          <w:szCs w:val="28"/>
          <w:lang w:val="en-US" w:eastAsia="zh-CN"/>
        </w:rPr>
        <w:t>检测</w:t>
      </w:r>
      <w:r>
        <w:rPr>
          <w:rFonts w:hint="eastAsia" w:ascii="宋体" w:hAnsi="宋体" w:eastAsia="宋体" w:cs="宋体"/>
          <w:sz w:val="28"/>
          <w:szCs w:val="28"/>
        </w:rPr>
        <w:t>。现有检测技术在能源消耗、环保性、通用性上的不足，已成为行业高质量发展的主要瓶颈。​</w:t>
      </w:r>
    </w:p>
    <w:p w14:paraId="3D6385D6">
      <w:pPr>
        <w:ind w:firstLine="420"/>
        <w:rPr>
          <w:rFonts w:hint="eastAsia" w:ascii="宋体" w:hAnsi="宋体" w:eastAsia="宋体" w:cs="宋体"/>
          <w:sz w:val="28"/>
          <w:szCs w:val="28"/>
        </w:rPr>
      </w:pPr>
      <w:r>
        <w:rPr>
          <w:rFonts w:hint="eastAsia" w:ascii="宋体" w:hAnsi="宋体" w:eastAsia="宋体" w:cs="宋体"/>
          <w:sz w:val="28"/>
          <w:szCs w:val="28"/>
          <w:lang w:val="en-US" w:eastAsia="zh-CN"/>
        </w:rPr>
        <w:t>基于现存在的问题我们研发了</w:t>
      </w:r>
      <w:r>
        <w:rPr>
          <w:rFonts w:hint="eastAsia" w:ascii="宋体" w:hAnsi="宋体" w:eastAsia="宋体" w:cs="宋体"/>
          <w:sz w:val="28"/>
          <w:szCs w:val="28"/>
        </w:rPr>
        <w:t>，</w:t>
      </w:r>
      <w:r>
        <w:rPr>
          <w:rFonts w:hint="eastAsia" w:ascii="宋体" w:hAnsi="宋体" w:eastAsia="宋体" w:cs="宋体"/>
          <w:b/>
          <w:bCs/>
          <w:sz w:val="28"/>
          <w:szCs w:val="28"/>
        </w:rPr>
        <w:t>高光谱成像</w:t>
      </w:r>
      <w:r>
        <w:rPr>
          <w:rFonts w:hint="eastAsia" w:ascii="宋体" w:hAnsi="宋体" w:eastAsia="宋体" w:cs="宋体"/>
          <w:b/>
          <w:bCs/>
          <w:sz w:val="28"/>
          <w:szCs w:val="28"/>
          <w:lang w:val="en-US" w:eastAsia="zh-CN"/>
        </w:rPr>
        <w:t>检测</w:t>
      </w:r>
      <w:r>
        <w:rPr>
          <w:rFonts w:hint="eastAsia" w:ascii="宋体" w:hAnsi="宋体" w:eastAsia="宋体" w:cs="宋体"/>
          <w:b/>
          <w:bCs/>
          <w:sz w:val="28"/>
          <w:szCs w:val="28"/>
        </w:rPr>
        <w:t>技术</w:t>
      </w:r>
      <w:r>
        <w:rPr>
          <w:rFonts w:hint="eastAsia" w:ascii="宋体" w:hAnsi="宋体" w:eastAsia="宋体" w:cs="宋体"/>
          <w:sz w:val="28"/>
          <w:szCs w:val="28"/>
        </w:rPr>
        <w:t xml:space="preserve"> “图谱合一” </w:t>
      </w:r>
      <w:r>
        <w:rPr>
          <w:rFonts w:hint="eastAsia" w:ascii="宋体" w:hAnsi="宋体" w:eastAsia="宋体" w:cs="宋体"/>
          <w:sz w:val="28"/>
          <w:szCs w:val="28"/>
          <w:lang w:val="en-US" w:eastAsia="zh-CN"/>
        </w:rPr>
        <w:t>我们的核心</w:t>
      </w:r>
      <w:r>
        <w:rPr>
          <w:rFonts w:hint="eastAsia" w:ascii="宋体" w:hAnsi="宋体" w:eastAsia="宋体" w:cs="宋体"/>
          <w:sz w:val="28"/>
          <w:szCs w:val="28"/>
        </w:rPr>
        <w:t>优势与</w:t>
      </w:r>
      <w:r>
        <w:rPr>
          <w:rFonts w:hint="eastAsia" w:ascii="宋体" w:hAnsi="宋体" w:eastAsia="宋体" w:cs="宋体"/>
          <w:b/>
          <w:bCs/>
          <w:sz w:val="28"/>
          <w:szCs w:val="28"/>
        </w:rPr>
        <w:t>机器学习算法</w:t>
      </w:r>
      <w:r>
        <w:rPr>
          <w:rFonts w:hint="eastAsia" w:ascii="宋体" w:hAnsi="宋体" w:eastAsia="宋体" w:cs="宋体"/>
          <w:sz w:val="28"/>
          <w:szCs w:val="28"/>
        </w:rPr>
        <w:t>的高效数据处理能力深度融合，为检测技术革新提供了全新路径。为破解传统检测难题，本研究以武夷工夫红茶为典型载体，聚焦三种常见合成色素，研发</w:t>
      </w:r>
      <w:r>
        <w:rPr>
          <w:rFonts w:hint="eastAsia" w:ascii="宋体" w:hAnsi="宋体" w:eastAsia="宋体" w:cs="宋体"/>
          <w:b/>
          <w:bCs/>
          <w:sz w:val="28"/>
          <w:szCs w:val="28"/>
        </w:rPr>
        <w:t>高光谱成像与机器学习结合</w:t>
      </w:r>
      <w:r>
        <w:rPr>
          <w:rFonts w:hint="eastAsia" w:ascii="宋体" w:hAnsi="宋体" w:eastAsia="宋体" w:cs="宋体"/>
          <w:sz w:val="28"/>
          <w:szCs w:val="28"/>
        </w:rPr>
        <w:t>的通用型检测新方法。</w:t>
      </w:r>
    </w:p>
    <w:p w14:paraId="33CD1073">
      <w:pPr>
        <w:ind w:firstLine="420"/>
        <w:rPr>
          <w:rFonts w:hint="eastAsia" w:ascii="宋体" w:hAnsi="宋体" w:eastAsia="宋体" w:cs="宋体"/>
          <w:sz w:val="28"/>
          <w:szCs w:val="28"/>
        </w:rPr>
      </w:pPr>
      <w:r>
        <w:rPr>
          <w:rFonts w:hint="eastAsia" w:ascii="宋体" w:hAnsi="宋体" w:eastAsia="宋体" w:cs="宋体"/>
          <w:sz w:val="28"/>
          <w:szCs w:val="28"/>
        </w:rPr>
        <w:t>该方法通过 400-1000nm 高光谱成像系统采集样品数据，在技术上实现三大核心突破：创新提出</w:t>
      </w:r>
      <w:r>
        <w:rPr>
          <w:rFonts w:hint="eastAsia" w:ascii="宋体" w:hAnsi="宋体" w:eastAsia="宋体" w:cs="宋体"/>
          <w:b/>
          <w:bCs/>
          <w:sz w:val="28"/>
          <w:szCs w:val="28"/>
        </w:rPr>
        <w:t xml:space="preserve"> DFA-MSC-Lasso 组合预处理策略、构建参数可调的双路径（定性 + 定量）模型、形成模块化全流程检测体系。</w:t>
      </w:r>
      <w:r>
        <w:rPr>
          <w:rFonts w:hint="eastAsia" w:ascii="宋体" w:hAnsi="宋体" w:eastAsia="宋体" w:cs="宋体"/>
          <w:sz w:val="28"/>
          <w:szCs w:val="28"/>
        </w:rPr>
        <w:t>以智能化算法为核心，无需复杂前处理，可实现温度湿度等环境因素的自适应校正，全程</w:t>
      </w:r>
      <w:r>
        <w:rPr>
          <w:rFonts w:hint="eastAsia" w:ascii="宋体" w:hAnsi="宋体" w:eastAsia="宋体" w:cs="宋体"/>
          <w:b/>
          <w:bCs/>
          <w:sz w:val="28"/>
          <w:szCs w:val="28"/>
        </w:rPr>
        <w:t>无损、无有机试剂污染</w:t>
      </w:r>
      <w:r>
        <w:rPr>
          <w:rFonts w:hint="eastAsia" w:ascii="宋体" w:hAnsi="宋体" w:eastAsia="宋体" w:cs="宋体"/>
          <w:sz w:val="28"/>
          <w:szCs w:val="28"/>
        </w:rPr>
        <w:t>。实验验证表明，单次检测仅需</w:t>
      </w:r>
      <w:r>
        <w:rPr>
          <w:rFonts w:hint="eastAsia" w:ascii="宋体" w:hAnsi="宋体" w:eastAsia="宋体" w:cs="宋体"/>
          <w:b/>
          <w:bCs/>
          <w:sz w:val="28"/>
          <w:szCs w:val="28"/>
        </w:rPr>
        <w:t xml:space="preserve"> 20 秒</w:t>
      </w:r>
      <w:r>
        <w:rPr>
          <w:rFonts w:hint="eastAsia" w:ascii="宋体" w:hAnsi="宋体" w:eastAsia="宋体" w:cs="宋体"/>
          <w:sz w:val="28"/>
          <w:szCs w:val="28"/>
        </w:rPr>
        <w:t>，效率较 HPLC 提升</w:t>
      </w:r>
      <w:r>
        <w:rPr>
          <w:rFonts w:hint="eastAsia" w:ascii="宋体" w:hAnsi="宋体" w:eastAsia="宋体" w:cs="宋体"/>
          <w:b/>
          <w:bCs/>
          <w:sz w:val="28"/>
          <w:szCs w:val="28"/>
        </w:rPr>
        <w:t xml:space="preserve"> 60 倍</w:t>
      </w:r>
      <w:r>
        <w:rPr>
          <w:rFonts w:hint="eastAsia" w:ascii="宋体" w:hAnsi="宋体" w:eastAsia="宋体" w:cs="宋体"/>
          <w:sz w:val="28"/>
          <w:szCs w:val="28"/>
        </w:rPr>
        <w:t xml:space="preserve">以上；定性准确率达 </w:t>
      </w:r>
      <w:r>
        <w:rPr>
          <w:rFonts w:hint="eastAsia" w:ascii="宋体" w:hAnsi="宋体" w:eastAsia="宋体" w:cs="宋体"/>
          <w:b/>
          <w:bCs/>
          <w:sz w:val="28"/>
          <w:szCs w:val="28"/>
        </w:rPr>
        <w:t>98.7%</w:t>
      </w:r>
      <w:r>
        <w:rPr>
          <w:rFonts w:hint="eastAsia" w:ascii="宋体" w:hAnsi="宋体" w:eastAsia="宋体" w:cs="宋体"/>
          <w:sz w:val="28"/>
          <w:szCs w:val="28"/>
        </w:rPr>
        <w:t xml:space="preserve">，定量预测相关系数（R²）≥0.95，与 HPLC 检测结果相关性≥0.96，检测成本降至传统方法 </w:t>
      </w:r>
      <w:r>
        <w:rPr>
          <w:rFonts w:hint="eastAsia" w:ascii="宋体" w:hAnsi="宋体" w:eastAsia="宋体" w:cs="宋体"/>
          <w:b/>
          <w:bCs/>
          <w:sz w:val="28"/>
          <w:szCs w:val="28"/>
        </w:rPr>
        <w:t>1/10 以下。</w:t>
      </w:r>
      <w:r>
        <w:rPr>
          <w:rFonts w:hint="eastAsia" w:ascii="宋体" w:hAnsi="宋体" w:eastAsia="宋体" w:cs="宋体"/>
          <w:sz w:val="28"/>
          <w:szCs w:val="28"/>
        </w:rPr>
        <w:t>​</w:t>
      </w:r>
    </w:p>
    <w:p w14:paraId="50286FB8">
      <w:pPr>
        <w:ind w:firstLine="420"/>
        <w:rPr>
          <w:rFonts w:hint="eastAsia" w:ascii="宋体" w:hAnsi="宋体" w:eastAsia="宋体" w:cs="宋体"/>
          <w:sz w:val="28"/>
          <w:szCs w:val="28"/>
        </w:rPr>
      </w:pPr>
      <w:r>
        <w:rPr>
          <w:rFonts w:hint="eastAsia" w:ascii="宋体" w:hAnsi="宋体" w:eastAsia="宋体" w:cs="宋体"/>
          <w:sz w:val="28"/>
          <w:szCs w:val="28"/>
        </w:rPr>
        <w:t>该检测体系可通过参数优化与特征库扩充，快速适配果汁、植物蛋白饮品等不同基质饮料及更多类型合成色素检测，为同类食品添加剂检测提供可复用的</w:t>
      </w:r>
      <w:r>
        <w:rPr>
          <w:rFonts w:hint="eastAsia" w:ascii="宋体" w:hAnsi="宋体" w:eastAsia="宋体" w:cs="宋体"/>
          <w:b/>
          <w:bCs/>
          <w:sz w:val="28"/>
          <w:szCs w:val="28"/>
        </w:rPr>
        <w:t>方法学框架。</w:t>
      </w:r>
      <w:r>
        <w:rPr>
          <w:rFonts w:hint="eastAsia" w:ascii="宋体" w:hAnsi="宋体" w:eastAsia="宋体" w:cs="宋体"/>
          <w:sz w:val="28"/>
          <w:szCs w:val="28"/>
        </w:rPr>
        <w:t>其在生产质控、市场监管、进出口检验等多场景应用前景广阔，不仅有效解决了传统检测技术高能耗、低效率、污染环境的问题，更能推动饮料行业检测体系的</w:t>
      </w:r>
      <w:r>
        <w:rPr>
          <w:rFonts w:hint="eastAsia" w:ascii="宋体" w:hAnsi="宋体" w:eastAsia="宋体" w:cs="宋体"/>
          <w:b/>
          <w:bCs/>
          <w:sz w:val="28"/>
          <w:szCs w:val="28"/>
        </w:rPr>
        <w:t>智能化、绿色化升级</w:t>
      </w:r>
      <w:r>
        <w:rPr>
          <w:rFonts w:hint="eastAsia" w:ascii="宋体" w:hAnsi="宋体" w:eastAsia="宋体" w:cs="宋体"/>
          <w:sz w:val="28"/>
          <w:szCs w:val="28"/>
        </w:rPr>
        <w:t>，为筑牢食品安全防线、带动相关产业高质量发展提供重要技术支撑。</w:t>
      </w:r>
    </w:p>
    <w:p w14:paraId="3BEDB9A3">
      <w:pPr>
        <w:ind w:firstLine="420"/>
        <w:rPr>
          <w:rFonts w:hint="eastAsia" w:ascii="宋体" w:hAnsi="宋体" w:eastAsia="宋体" w:cs="宋体"/>
          <w:sz w:val="28"/>
          <w:szCs w:val="28"/>
        </w:rPr>
      </w:pPr>
    </w:p>
    <w:p w14:paraId="5E080E59">
      <w:pPr>
        <w:ind w:firstLine="420"/>
        <w:rPr>
          <w:rFonts w:hint="eastAsia" w:ascii="宋体" w:hAnsi="宋体" w:eastAsia="宋体" w:cs="宋体"/>
          <w:sz w:val="28"/>
          <w:szCs w:val="28"/>
        </w:rPr>
      </w:pPr>
    </w:p>
    <w:p w14:paraId="464C67A4">
      <w:pPr>
        <w:rPr>
          <w:rFonts w:hint="eastAsia" w:ascii="宋体" w:hAnsi="宋体" w:eastAsia="宋体" w:cs="宋体"/>
          <w:sz w:val="28"/>
          <w:szCs w:val="28"/>
        </w:rPr>
      </w:pPr>
    </w:p>
    <w:p w14:paraId="69C6E290">
      <w:pPr>
        <w:rPr>
          <w:rFonts w:hint="eastAsia" w:ascii="宋体" w:hAnsi="宋体" w:eastAsia="宋体" w:cs="宋体"/>
          <w:sz w:val="28"/>
          <w:szCs w:val="28"/>
        </w:rPr>
      </w:pPr>
    </w:p>
    <w:p w14:paraId="1EFDB08B">
      <w:pPr>
        <w:outlineLvl w:val="0"/>
        <w:rPr>
          <w:rFonts w:hint="eastAsia" w:ascii="黑体" w:hAnsi="黑体" w:eastAsia="黑体" w:cs="宋体"/>
          <w:b/>
          <w:bCs/>
          <w:sz w:val="32"/>
          <w:szCs w:val="32"/>
        </w:rPr>
      </w:pPr>
      <w:bookmarkStart w:id="0" w:name="_Toc15551"/>
      <w:r>
        <w:rPr>
          <w:rFonts w:hint="eastAsia" w:ascii="黑体" w:hAnsi="黑体" w:eastAsia="黑体" w:cs="宋体"/>
          <w:b/>
          <w:bCs/>
          <w:sz w:val="32"/>
          <w:szCs w:val="32"/>
        </w:rPr>
        <w:t>第一章：项目概述</w:t>
      </w:r>
      <w:bookmarkEnd w:id="0"/>
    </w:p>
    <w:p w14:paraId="40E55D21">
      <w:pPr>
        <w:ind w:firstLine="602" w:firstLineChars="200"/>
        <w:outlineLvl w:val="0"/>
        <w:rPr>
          <w:rFonts w:hint="eastAsia" w:ascii="黑体" w:hAnsi="黑体" w:eastAsia="黑体" w:cs="黑体"/>
          <w:sz w:val="24"/>
        </w:rPr>
      </w:pPr>
      <w:bookmarkStart w:id="1" w:name="_Toc8347"/>
      <w:r>
        <w:rPr>
          <w:rFonts w:hint="eastAsia" w:ascii="黑体" w:hAnsi="黑体" w:eastAsia="黑体" w:cs="黑体"/>
          <w:b/>
          <w:bCs/>
          <w:sz w:val="30"/>
          <w:szCs w:val="30"/>
        </w:rPr>
        <w:t>1.1项目背景</w:t>
      </w:r>
      <w:bookmarkEnd w:id="1"/>
      <w:r>
        <w:rPr>
          <w:rFonts w:hint="eastAsia" w:ascii="黑体" w:hAnsi="黑体" w:eastAsia="黑体" w:cs="黑体"/>
          <w:sz w:val="24"/>
        </w:rPr>
        <w:t xml:space="preserve"> </w:t>
      </w:r>
    </w:p>
    <w:p w14:paraId="11913FE7">
      <w:pPr>
        <w:ind w:firstLine="560" w:firstLineChars="200"/>
        <w:rPr>
          <w:rFonts w:hint="eastAsia" w:ascii="宋体" w:hAnsi="宋体" w:eastAsia="宋体" w:cs="宋体"/>
          <w:sz w:val="28"/>
          <w:szCs w:val="28"/>
        </w:rPr>
      </w:pPr>
      <w:r>
        <w:rPr>
          <w:rFonts w:hint="eastAsia" w:ascii="宋体" w:hAnsi="宋体" w:eastAsia="宋体" w:cs="宋体"/>
          <w:sz w:val="28"/>
          <w:szCs w:val="28"/>
        </w:rPr>
        <w:t>随着 “健康中国” 战略的深入推进，《食品安全法》《食品安全国家标准 食品添加剂使用标准》（GB 2760）等政策法规不断完善，食品行业品控监管进入 “严标准、全覆盖” 的新阶段。与此同时，消费者对食品安全的关注度持续提升，“零添加”“天然成分” 成为饮料消费的核心诉求，叠加现制茶饮、功能性饮料、新型果汁等新兴品类的快速崛起，饮料行业正面临前所未有的品质监管压力与市场竞争挑战。​</w:t>
      </w:r>
    </w:p>
    <w:p w14:paraId="6098AD5B">
      <w:pPr>
        <w:ind w:firstLine="560" w:firstLineChars="200"/>
        <w:rPr>
          <w:rFonts w:hint="eastAsia" w:ascii="宋体" w:hAnsi="宋体" w:eastAsia="宋体" w:cs="宋体"/>
          <w:sz w:val="28"/>
          <w:szCs w:val="28"/>
        </w:rPr>
      </w:pPr>
      <w:r>
        <w:rPr>
          <w:rFonts w:hint="eastAsia" w:ascii="宋体" w:hAnsi="宋体" w:eastAsia="宋体" w:cs="宋体"/>
          <w:sz w:val="28"/>
          <w:szCs w:val="28"/>
        </w:rPr>
        <w:t>从市场规模来看，2024 年中国饮料市场规模已突破 1.21 万亿元，其中现制茶饮、功能性饮料等细分领域年增长率超 15%，成为行业增长的核心引擎。但在市场扩容的背后，人工合成色素滥用问题日益凸显 —— 部分企业为降低成本、优化产品外观，超范围、超限量使用柠檬黄、胭脂红、日落黄等合成色素，不仅违反监管要求，更可能通过长期摄入对消费者健康造成潜在损伤，成为制约行业可持续发展的突出隐患。​</w:t>
      </w:r>
    </w:p>
    <w:p w14:paraId="59B573AE">
      <w:pPr>
        <w:ind w:firstLine="560" w:firstLineChars="200"/>
        <w:rPr>
          <w:rFonts w:hint="eastAsia" w:ascii="宋体" w:hAnsi="宋体" w:eastAsia="宋体" w:cs="宋体"/>
          <w:sz w:val="24"/>
        </w:rPr>
      </w:pPr>
      <w:r>
        <w:rPr>
          <w:rFonts w:hint="eastAsia" w:ascii="宋体" w:hAnsi="宋体" w:eastAsia="宋体" w:cs="宋体"/>
          <w:sz w:val="28"/>
          <w:szCs w:val="28"/>
        </w:rPr>
        <w:t>当前，合成色素检测仍以高效液相色谱法（HPLC）为金标准，但该技术在新兴饮料行业的应用中存在显著短板：其一，检测效率低下，单次分析需耗时 2-4 小时，无法满足生产线实时质控、市场监管快速筛查的场景需求；其二，检测成本高昂，单样品检测费用达 500-800 元，且依赖有毒有机试剂，既增加企业与监管部门的成本负担，又造成环境污染；其三，取样方式为破坏性检测，不适用于高附加值饮料的批量检测，且针对不同基质（如茶饮、果汁、植物蛋白饮品）需单独优化检测条件，适配性差。这些问题导致传统检测技术难以覆盖新兴饮料的全链条监管需求，技术升级已成为行业迫切诉求。​</w:t>
      </w:r>
    </w:p>
    <w:p w14:paraId="7A276DEC">
      <w:pPr>
        <w:rPr>
          <w:rFonts w:hint="eastAsia" w:ascii="宋体" w:hAnsi="宋体" w:eastAsia="宋体" w:cs="宋体"/>
          <w:sz w:val="24"/>
        </w:rPr>
      </w:pPr>
    </w:p>
    <w:p w14:paraId="43C8D2CB">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 1-1 传统饮料色素检测技术流程</w:t>
      </w:r>
    </w:p>
    <w:p w14:paraId="2680F879">
      <w:pPr>
        <w:ind w:firstLine="560" w:firstLineChars="200"/>
        <w:rPr>
          <w:rFonts w:hint="eastAsia" w:ascii="宋体" w:hAnsi="宋体" w:eastAsia="宋体" w:cs="宋体"/>
          <w:sz w:val="24"/>
        </w:rPr>
      </w:pPr>
      <w:r>
        <w:rPr>
          <w:rFonts w:hint="eastAsia" w:ascii="宋体" w:hAnsi="宋体" w:eastAsia="宋体" w:cs="宋体"/>
          <w:sz w:val="28"/>
          <w:szCs w:val="28"/>
        </w:rPr>
        <w:t>在此背景下，本项目聚焦饮料行业色素检测的核心痛点，立足 “快速、无损、精准、环保” 的技术需求，将高光谱成像技术 “图谱合一” 的特征提取优势与深度学习算法的高效数据处理能力深度融合，研发一套通用型智能检测解决方案。该技术无需复杂样品前处理，可在 20 秒内完成色素成分的定性识别与定量分析，检测精度达 ±0.01mg/kg，较传统 HPLC 法效率提升 60 倍以上，成本降至传统方法的 1/10 以下，且全程无损、无有机试剂污染。其成功落地不仅能为饮料企业提供低成本、高效率的品控升级方案，更能为监管部门提供智慧执法的技术支撑，填补新兴饮料品类快速检测的技术空白，助力饮料行业向绿色化、智能化、高质量化转型。</w:t>
      </w:r>
    </w:p>
    <w:p w14:paraId="72F8FEB6">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 1-2 新一代高光谱 AI 智能检测技术流程</w:t>
      </w:r>
    </w:p>
    <w:p w14:paraId="0642B525">
      <w:pPr>
        <w:ind w:firstLine="602" w:firstLineChars="200"/>
        <w:outlineLvl w:val="0"/>
        <w:rPr>
          <w:rFonts w:hint="eastAsia" w:ascii="黑体" w:hAnsi="黑体" w:eastAsia="黑体" w:cs="黑体"/>
          <w:b/>
          <w:bCs/>
          <w:sz w:val="30"/>
          <w:szCs w:val="30"/>
        </w:rPr>
      </w:pPr>
      <w:bookmarkStart w:id="2" w:name="_Toc23640"/>
      <w:r>
        <w:rPr>
          <w:rFonts w:hint="eastAsia" w:ascii="黑体" w:hAnsi="黑体" w:eastAsia="黑体" w:cs="黑体"/>
          <w:b/>
          <w:bCs/>
          <w:sz w:val="30"/>
          <w:szCs w:val="30"/>
        </w:rPr>
        <w:t>1.2 政策支持</w:t>
      </w:r>
      <w:bookmarkEnd w:id="2"/>
    </w:p>
    <w:p w14:paraId="5024A492">
      <w:pPr>
        <w:ind w:firstLine="560" w:firstLineChars="200"/>
        <w:rPr>
          <w:rFonts w:hint="eastAsia" w:ascii="宋体" w:hAnsi="宋体" w:eastAsia="宋体" w:cs="宋体"/>
          <w:color w:val="1F2329"/>
          <w:sz w:val="28"/>
          <w:szCs w:val="28"/>
        </w:rPr>
      </w:pPr>
      <w:r>
        <w:rPr>
          <w:rFonts w:hint="eastAsia" w:ascii="宋体" w:hAnsi="宋体" w:eastAsia="宋体" w:cs="宋体"/>
          <w:color w:val="1F2329"/>
          <w:sz w:val="28"/>
          <w:szCs w:val="28"/>
        </w:rPr>
        <w:t>本项目深度契合国家 “健康中国” 战略与食品安全 “四个最严” 要求，响应国务院 “人工智能 +” 行动部署，符合市场监管总局关于食品快速检测、智慧监管、食品添加剂严监管的系列政策导向。同时，项目紧密对接海南自由贸易港建设战略，精准匹配自贸港封关运作后食品安全监管、科技创新赋能、绿色低碳发展的核心需求，具备全国示范价值与区域特色应用优势。</w:t>
      </w:r>
    </w:p>
    <w:p w14:paraId="62409B98">
      <w:pPr>
        <w:ind w:firstLine="560" w:firstLineChars="200"/>
        <w:rPr>
          <w:rFonts w:ascii="Segoe UI Emoji" w:hAnsi="Segoe UI Emoji" w:eastAsia="Segoe UI Emoji" w:cs="Segoe UI Emoji"/>
          <w:color w:val="1F2329"/>
          <w:sz w:val="16"/>
          <w:szCs w:val="16"/>
          <w:shd w:val="clear" w:color="auto" w:fill="EFF0F1"/>
        </w:rPr>
      </w:pPr>
      <w:r>
        <w:rPr>
          <w:rFonts w:hint="eastAsia" w:ascii="宋体" w:hAnsi="宋体" w:eastAsia="宋体" w:cs="宋体"/>
          <w:color w:val="1F2329"/>
          <w:sz w:val="28"/>
          <w:szCs w:val="28"/>
        </w:rPr>
        <w:t>项目研发的高光谱+深度学习智能检测技术，为解决饮料行业色素滥用监管难题、推动检测体系智能化、绿色化、高效化升级提供关键技术支撑，既满足国家政策合规要求，又契合海南自贸港高质量发展诉求，产业应用价值显著。</w:t>
      </w:r>
    </w:p>
    <w:p w14:paraId="2DAD59D1">
      <w:pPr>
        <w:ind w:firstLine="562" w:firstLineChars="200"/>
        <w:outlineLvl w:val="1"/>
        <w:rPr>
          <w:rFonts w:hint="eastAsia" w:ascii="黑体" w:hAnsi="黑体" w:eastAsia="黑体" w:cs="黑体"/>
          <w:b/>
          <w:bCs/>
          <w:sz w:val="28"/>
          <w:szCs w:val="28"/>
        </w:rPr>
      </w:pPr>
      <w:bookmarkStart w:id="3" w:name="_Toc6473"/>
      <w:bookmarkStart w:id="4" w:name="_Toc26919"/>
      <w:r>
        <w:rPr>
          <w:rFonts w:hint="eastAsia" w:ascii="黑体" w:hAnsi="黑体" w:eastAsia="黑体" w:cs="黑体"/>
          <w:b/>
          <w:bCs/>
          <w:sz w:val="28"/>
          <w:szCs w:val="28"/>
        </w:rPr>
        <w:t>1.2.1 食品安全监管政策支持</w:t>
      </w:r>
      <w:bookmarkEnd w:id="3"/>
      <w:bookmarkEnd w:id="4"/>
    </w:p>
    <w:p w14:paraId="6475468E">
      <w:pPr>
        <w:ind w:firstLine="560" w:firstLineChars="200"/>
        <w:rPr>
          <w:rFonts w:hint="eastAsia" w:ascii="宋体" w:hAnsi="宋体" w:eastAsia="宋体" w:cs="宋体"/>
          <w:sz w:val="28"/>
          <w:szCs w:val="28"/>
        </w:rPr>
      </w:pPr>
      <w:r>
        <w:rPr>
          <w:rFonts w:ascii="宋体" w:hAnsi="宋体" w:eastAsia="宋体" w:cs="宋体"/>
          <w:sz w:val="28"/>
          <w:szCs w:val="28"/>
        </w:rPr>
        <w:t>为深入推进“健康中国”战略，筑牢食品安全防线，近年来国家密集出台了多项针对食品添加剂监管与食品安全保障的政策，列举如下：</w:t>
      </w:r>
    </w:p>
    <w:p w14:paraId="1B062DE7">
      <w:pPr>
        <w:ind w:firstLine="562" w:firstLineChars="200"/>
        <w:outlineLvl w:val="2"/>
        <w:rPr>
          <w:rFonts w:hint="eastAsia" w:ascii="宋体" w:hAnsi="宋体" w:eastAsia="宋体" w:cs="宋体"/>
          <w:b/>
          <w:bCs/>
          <w:sz w:val="28"/>
          <w:szCs w:val="28"/>
        </w:rPr>
      </w:pPr>
      <w:bookmarkStart w:id="5" w:name="_Toc19910"/>
      <w:r>
        <w:rPr>
          <w:rFonts w:hint="eastAsia" w:ascii="宋体" w:hAnsi="宋体" w:eastAsia="宋体" w:cs="宋体"/>
          <w:b/>
          <w:bCs/>
          <w:sz w:val="28"/>
          <w:szCs w:val="28"/>
        </w:rPr>
        <w:t>（1）</w:t>
      </w:r>
      <w:r>
        <w:rPr>
          <w:rFonts w:ascii="宋体" w:hAnsi="宋体" w:eastAsia="宋体" w:cs="宋体"/>
          <w:b/>
          <w:bCs/>
          <w:sz w:val="28"/>
          <w:szCs w:val="28"/>
        </w:rPr>
        <w:t>《“十四五”市场监管现代化规划》</w:t>
      </w:r>
      <w:bookmarkEnd w:id="5"/>
    </w:p>
    <w:p w14:paraId="745F0E09">
      <w:pPr>
        <w:ind w:firstLine="560" w:firstLineChars="200"/>
        <w:rPr>
          <w:rFonts w:hint="eastAsia" w:ascii="宋体" w:hAnsi="宋体" w:eastAsia="宋体" w:cs="宋体"/>
          <w:sz w:val="28"/>
          <w:szCs w:val="28"/>
        </w:rPr>
      </w:pPr>
      <w:r>
        <w:rPr>
          <w:rFonts w:ascii="宋体" w:hAnsi="宋体" w:eastAsia="宋体" w:cs="宋体"/>
          <w:sz w:val="28"/>
          <w:szCs w:val="28"/>
        </w:rPr>
        <w:t xml:space="preserve"> 2021年12月，国务院印发《“十四五”市场监管现代化规划》提出：深入贯彻“四个最严”要求，推进食品安全标本兼治。</w:t>
      </w:r>
    </w:p>
    <w:p w14:paraId="188D8FA9">
      <w:pPr>
        <w:ind w:firstLine="440" w:firstLineChars="200"/>
        <w:rPr>
          <w:rFonts w:hint="eastAsia"/>
        </w:rPr>
      </w:pPr>
      <w:r>
        <w:rPr>
          <w:rFonts w:hint="eastAsia"/>
        </w:rPr>
        <w:t xml:space="preserve">  </w:t>
      </w:r>
    </w:p>
    <w:p w14:paraId="0D611B29">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图1-3 国务院印发《“十四五”市场监管现代化规划》</w:t>
      </w:r>
    </w:p>
    <w:p w14:paraId="1AAF5380">
      <w:pPr>
        <w:ind w:firstLine="560" w:firstLineChars="200"/>
        <w:rPr>
          <w:rFonts w:hint="eastAsia"/>
        </w:rPr>
      </w:pPr>
      <w:r>
        <w:rPr>
          <w:rFonts w:ascii="宋体" w:hAnsi="宋体" w:eastAsia="宋体" w:cs="宋体"/>
          <w:sz w:val="28"/>
          <w:szCs w:val="28"/>
        </w:rPr>
        <w:t>深化食品安全抽检制度改革，明确监督抽检、风险监测与评价性抽检的功能定位。加强食品全链条质量安全监管，加快制修订食品污染物等食品安全通用标准，推进产业发展和监管急需的配套检验方法标准制修订。</w:t>
      </w:r>
    </w:p>
    <w:p w14:paraId="586903FB">
      <w:pPr>
        <w:ind w:firstLine="562" w:firstLineChars="200"/>
        <w:outlineLvl w:val="2"/>
        <w:rPr>
          <w:rFonts w:hint="eastAsia" w:ascii="宋体" w:hAnsi="宋体" w:eastAsia="宋体" w:cs="宋体"/>
          <w:b/>
          <w:bCs/>
          <w:sz w:val="28"/>
          <w:szCs w:val="28"/>
        </w:rPr>
      </w:pPr>
      <w:bookmarkStart w:id="6" w:name="_Toc23199"/>
      <w:r>
        <w:rPr>
          <w:rFonts w:hint="eastAsia" w:ascii="宋体" w:hAnsi="宋体" w:eastAsia="宋体" w:cs="宋体"/>
          <w:b/>
          <w:bCs/>
          <w:sz w:val="28"/>
          <w:szCs w:val="28"/>
        </w:rPr>
        <w:t>（2）</w:t>
      </w:r>
      <w:r>
        <w:rPr>
          <w:rFonts w:ascii="宋体" w:hAnsi="宋体" w:eastAsia="宋体" w:cs="宋体"/>
          <w:b/>
          <w:bCs/>
          <w:sz w:val="28"/>
          <w:szCs w:val="28"/>
        </w:rPr>
        <w:t>《食品安全标准与监测评估“十四五”规划》</w:t>
      </w:r>
      <w:bookmarkEnd w:id="6"/>
    </w:p>
    <w:p w14:paraId="3F3FDB60">
      <w:pPr>
        <w:ind w:firstLine="560" w:firstLineChars="200"/>
        <w:rPr>
          <w:rFonts w:hint="eastAsia" w:ascii="宋体" w:hAnsi="宋体" w:eastAsia="宋体" w:cs="宋体"/>
          <w:sz w:val="28"/>
          <w:szCs w:val="28"/>
        </w:rPr>
      </w:pPr>
      <w:r>
        <w:rPr>
          <w:rFonts w:ascii="宋体" w:hAnsi="宋体" w:eastAsia="宋体" w:cs="宋体"/>
          <w:sz w:val="28"/>
          <w:szCs w:val="28"/>
        </w:rPr>
        <w:t xml:space="preserve"> 2022年8月，国家卫生健康委发布《食品安全标准与监测评估“十四五”规划》提出：以提升卫生健康系统基层食品安全风险防范能力为重点。</w:t>
      </w:r>
    </w:p>
    <w:p w14:paraId="6DBDCC1E">
      <w:pPr>
        <w:ind w:firstLine="440" w:firstLineChars="200"/>
        <w:rPr>
          <w:rFonts w:hint="eastAsia"/>
        </w:rPr>
      </w:pPr>
      <w:r>
        <w:rPr>
          <w:rFonts w:hint="eastAsia"/>
        </w:rPr>
        <w:t xml:space="preserve">   </w:t>
      </w:r>
    </w:p>
    <w:p w14:paraId="748CFF88">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图1-4 《食品安全标准与监测评估“十四五”规划》解读</w:t>
      </w:r>
    </w:p>
    <w:p w14:paraId="6886BE3F">
      <w:pPr>
        <w:ind w:firstLine="560" w:firstLineChars="200"/>
        <w:rPr>
          <w:rFonts w:hint="eastAsia" w:ascii="宋体" w:hAnsi="宋体" w:eastAsia="宋体" w:cs="宋体"/>
          <w:sz w:val="28"/>
          <w:szCs w:val="28"/>
        </w:rPr>
      </w:pPr>
      <w:r>
        <w:rPr>
          <w:rFonts w:ascii="宋体" w:hAnsi="宋体" w:eastAsia="宋体" w:cs="宋体"/>
          <w:sz w:val="28"/>
          <w:szCs w:val="28"/>
        </w:rPr>
        <w:t>要求提升食品安全风险监测识别与评估研判工作水平，充分利用大数据分析等技术支撑科学决策。这为新型、快速、智能化的食品添加剂检测技术提供了明确的政策导向。</w:t>
      </w:r>
    </w:p>
    <w:p w14:paraId="418D977B">
      <w:pPr>
        <w:ind w:firstLine="562" w:firstLineChars="200"/>
        <w:outlineLvl w:val="2"/>
        <w:rPr>
          <w:rFonts w:hint="eastAsia" w:ascii="宋体" w:hAnsi="宋体" w:eastAsia="宋体" w:cs="宋体"/>
          <w:sz w:val="28"/>
          <w:szCs w:val="28"/>
        </w:rPr>
      </w:pPr>
      <w:bookmarkStart w:id="7" w:name="_Toc27553"/>
      <w:r>
        <w:rPr>
          <w:rFonts w:hint="eastAsia" w:ascii="宋体" w:hAnsi="宋体" w:eastAsia="宋体" w:cs="宋体"/>
          <w:b/>
          <w:bCs/>
          <w:sz w:val="28"/>
          <w:szCs w:val="28"/>
        </w:rPr>
        <w:t>（3）</w:t>
      </w:r>
      <w:r>
        <w:rPr>
          <w:rFonts w:ascii="宋体" w:hAnsi="宋体" w:eastAsia="宋体" w:cs="宋体"/>
          <w:b/>
          <w:bCs/>
          <w:sz w:val="28"/>
          <w:szCs w:val="28"/>
        </w:rPr>
        <w:t>《食品安全国家标准 食品添加剂使用标准》（GB 2760-2024）</w:t>
      </w:r>
      <w:bookmarkEnd w:id="7"/>
    </w:p>
    <w:p w14:paraId="727CDA55">
      <w:pPr>
        <w:ind w:firstLine="560" w:firstLineChars="200"/>
        <w:rPr>
          <w:rFonts w:hint="eastAsia" w:ascii="宋体" w:hAnsi="宋体" w:eastAsia="宋体" w:cs="宋体"/>
          <w:sz w:val="28"/>
          <w:szCs w:val="28"/>
        </w:rPr>
      </w:pPr>
      <w:r>
        <w:rPr>
          <w:rFonts w:ascii="宋体" w:hAnsi="宋体" w:eastAsia="宋体" w:cs="宋体"/>
          <w:sz w:val="28"/>
          <w:szCs w:val="28"/>
        </w:rPr>
        <w:t xml:space="preserve"> 2024年2月，国家卫生健康委发布最新版《食品安全国家标准 食品添加剂使用标准》，进一步严格规范了柠檬黄、日落黄、胭脂红等人工合成色素在饮料等食品中的使用原则和限量要求。</w:t>
      </w:r>
    </w:p>
    <w:p w14:paraId="705B5CC3">
      <w:pPr>
        <w:ind w:firstLine="422" w:firstLineChars="200"/>
        <w:rPr>
          <w:rFonts w:hint="eastAsia"/>
          <w:b/>
          <w:bCs/>
          <w:sz w:val="21"/>
          <w:szCs w:val="21"/>
          <w:lang w:eastAsia="zh"/>
        </w:rPr>
      </w:pPr>
      <w:r>
        <w:rPr>
          <w:rFonts w:hint="eastAsia"/>
          <w:b/>
          <w:bCs/>
          <w:sz w:val="21"/>
          <w:szCs w:val="21"/>
        </w:rPr>
        <w:t xml:space="preserve">     </w:t>
      </w:r>
    </w:p>
    <w:p w14:paraId="08ADEEB2">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图1-5 关于发布《食品安全国家标准 食品添加剂使用标准》的公告</w:t>
      </w:r>
    </w:p>
    <w:p w14:paraId="43A21823">
      <w:pPr>
        <w:ind w:firstLine="560" w:firstLineChars="200"/>
        <w:rPr>
          <w:rFonts w:hint="eastAsia" w:ascii="宋体" w:hAnsi="宋体" w:eastAsia="宋体" w:cs="宋体"/>
          <w:sz w:val="28"/>
          <w:szCs w:val="28"/>
        </w:rPr>
      </w:pPr>
      <w:r>
        <w:rPr>
          <w:rFonts w:ascii="宋体" w:hAnsi="宋体" w:eastAsia="宋体" w:cs="宋体"/>
          <w:sz w:val="28"/>
          <w:szCs w:val="28"/>
        </w:rPr>
        <w:t>政策的趋严要求企业和监管部门必须具备更高效、更精准的合规筛查手段。</w:t>
      </w:r>
    </w:p>
    <w:p w14:paraId="7BC726AE">
      <w:pPr>
        <w:ind w:firstLine="562" w:firstLineChars="200"/>
        <w:jc w:val="both"/>
        <w:outlineLvl w:val="1"/>
        <w:rPr>
          <w:rFonts w:hint="eastAsia" w:ascii="黑体" w:hAnsi="黑体" w:eastAsia="黑体" w:cs="黑体"/>
          <w:b/>
          <w:bCs/>
          <w:sz w:val="28"/>
          <w:szCs w:val="28"/>
        </w:rPr>
      </w:pPr>
      <w:bookmarkStart w:id="8" w:name="_Toc15858"/>
      <w:bookmarkStart w:id="9" w:name="_Toc6883"/>
      <w:r>
        <w:rPr>
          <w:rFonts w:hint="eastAsia" w:ascii="黑体" w:hAnsi="黑体" w:eastAsia="黑体" w:cs="黑体"/>
          <w:b/>
          <w:bCs/>
          <w:sz w:val="28"/>
          <w:szCs w:val="28"/>
        </w:rPr>
        <w:t>1.2.2</w:t>
      </w:r>
      <w:r>
        <w:rPr>
          <w:rFonts w:ascii="黑体" w:hAnsi="黑体" w:eastAsia="黑体" w:cs="黑体"/>
          <w:b/>
          <w:bCs/>
          <w:sz w:val="28"/>
          <w:szCs w:val="28"/>
        </w:rPr>
        <w:t>科技创新与智慧监管政策</w:t>
      </w:r>
      <w:bookmarkEnd w:id="8"/>
      <w:r>
        <w:rPr>
          <w:rFonts w:hint="eastAsia" w:ascii="黑体" w:hAnsi="黑体" w:eastAsia="黑体" w:cs="黑体"/>
          <w:b/>
          <w:bCs/>
          <w:sz w:val="28"/>
          <w:szCs w:val="28"/>
        </w:rPr>
        <w:t>支持</w:t>
      </w:r>
      <w:bookmarkEnd w:id="9"/>
    </w:p>
    <w:p w14:paraId="0207AF77">
      <w:pPr>
        <w:ind w:firstLine="562" w:firstLineChars="200"/>
        <w:outlineLvl w:val="2"/>
        <w:rPr>
          <w:rFonts w:hint="eastAsia" w:ascii="宋体" w:hAnsi="宋体" w:eastAsia="宋体" w:cs="宋体"/>
          <w:b/>
          <w:bCs/>
          <w:sz w:val="28"/>
          <w:szCs w:val="28"/>
        </w:rPr>
      </w:pPr>
      <w:bookmarkStart w:id="10" w:name="_Toc2935"/>
      <w:r>
        <w:rPr>
          <w:rFonts w:hint="eastAsia" w:ascii="宋体" w:hAnsi="宋体" w:eastAsia="宋体" w:cs="宋体"/>
          <w:b/>
          <w:bCs/>
          <w:sz w:val="28"/>
          <w:szCs w:val="28"/>
        </w:rPr>
        <w:t>（1）</w:t>
      </w:r>
      <w:r>
        <w:rPr>
          <w:rFonts w:ascii="宋体" w:hAnsi="宋体" w:eastAsia="宋体" w:cs="宋体"/>
          <w:b/>
          <w:bCs/>
          <w:sz w:val="28"/>
          <w:szCs w:val="28"/>
        </w:rPr>
        <w:t>《2024年国务院政府工作报告》</w:t>
      </w:r>
      <w:bookmarkEnd w:id="10"/>
    </w:p>
    <w:p w14:paraId="035808C3">
      <w:pPr>
        <w:ind w:firstLine="560" w:firstLineChars="200"/>
        <w:rPr>
          <w:rFonts w:hint="eastAsia"/>
        </w:rPr>
      </w:pPr>
      <w:r>
        <w:rPr>
          <w:rFonts w:ascii="宋体" w:hAnsi="宋体" w:eastAsia="宋体" w:cs="宋体"/>
          <w:sz w:val="28"/>
          <w:szCs w:val="28"/>
        </w:rPr>
        <w:t>2024年3月5日，国务院总理在政府工作报告中首次提出开展“人工智能+”行动。提出要深化大数据、人工智能等研发应用，打造具有国际竞争力的数字产业集群。</w:t>
      </w:r>
    </w:p>
    <w:p w14:paraId="04AB8A48">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图1-6 《政府工作报告》</w:t>
      </w:r>
    </w:p>
    <w:p w14:paraId="11A69EAF">
      <w:pPr>
        <w:ind w:firstLine="560" w:firstLineChars="200"/>
        <w:rPr>
          <w:rFonts w:hint="eastAsia" w:ascii="宋体" w:hAnsi="宋体" w:eastAsia="宋体" w:cs="宋体"/>
          <w:sz w:val="28"/>
          <w:szCs w:val="28"/>
        </w:rPr>
      </w:pPr>
      <w:r>
        <w:rPr>
          <w:rFonts w:ascii="宋体" w:hAnsi="宋体" w:eastAsia="宋体" w:cs="宋体"/>
          <w:sz w:val="28"/>
          <w:szCs w:val="28"/>
        </w:rPr>
        <w:t>本项目将高光谱成像与机器学习深度融合，正是“人工智能+检验检测”的典型示范。</w:t>
      </w:r>
    </w:p>
    <w:p w14:paraId="780D632E">
      <w:pPr>
        <w:ind w:firstLine="562" w:firstLineChars="200"/>
        <w:outlineLvl w:val="2"/>
        <w:rPr>
          <w:rFonts w:hint="eastAsia" w:ascii="宋体" w:hAnsi="宋体" w:eastAsia="宋体" w:cs="宋体"/>
          <w:b/>
          <w:bCs/>
          <w:sz w:val="28"/>
          <w:szCs w:val="28"/>
        </w:rPr>
      </w:pPr>
      <w:bookmarkStart w:id="11" w:name="_Toc3870"/>
      <w:r>
        <w:rPr>
          <w:rFonts w:hint="eastAsia" w:ascii="宋体" w:hAnsi="宋体" w:eastAsia="宋体" w:cs="宋体"/>
          <w:b/>
          <w:bCs/>
          <w:sz w:val="28"/>
          <w:szCs w:val="28"/>
        </w:rPr>
        <w:t>（2）</w:t>
      </w:r>
      <w:r>
        <w:rPr>
          <w:rFonts w:ascii="宋体" w:hAnsi="宋体" w:eastAsia="宋体" w:cs="宋体"/>
          <w:b/>
          <w:bCs/>
          <w:sz w:val="28"/>
          <w:szCs w:val="28"/>
        </w:rPr>
        <w:t>《关于加快推动制造服务业高质量发展的意见》</w:t>
      </w:r>
      <w:bookmarkEnd w:id="11"/>
    </w:p>
    <w:p w14:paraId="674AA9AB">
      <w:pPr>
        <w:ind w:firstLine="560" w:firstLineChars="200"/>
        <w:rPr>
          <w:rFonts w:hint="eastAsia" w:ascii="宋体" w:hAnsi="宋体" w:eastAsia="宋体" w:cs="宋体"/>
          <w:sz w:val="28"/>
          <w:szCs w:val="28"/>
        </w:rPr>
      </w:pPr>
      <w:r>
        <w:rPr>
          <w:rFonts w:ascii="宋体" w:hAnsi="宋体" w:eastAsia="宋体" w:cs="宋体"/>
          <w:sz w:val="28"/>
          <w:szCs w:val="28"/>
        </w:rPr>
        <w:t>国家发展改革委等13部门联合印发《关于加快推动制造服务业高质量发展的意见》，提出加快检验检测认证服务机构数字化、智能化转型。鼓励利用人工智能、大数据等新一代信息技术提升检验检测智能化水平，实现生产过程的实时质控。</w:t>
      </w:r>
    </w:p>
    <w:p w14:paraId="1031C884">
      <w:pPr>
        <w:jc w:val="both"/>
        <w:rPr>
          <w:rFonts w:hint="eastAsia"/>
        </w:rPr>
      </w:pPr>
    </w:p>
    <w:p w14:paraId="6D0E9402">
      <w:pPr>
        <w:ind w:firstLine="440" w:firstLineChars="200"/>
        <w:jc w:val="both"/>
        <w:rPr>
          <w:rFonts w:hint="eastAsia"/>
        </w:rPr>
      </w:pPr>
    </w:p>
    <w:p w14:paraId="7C2E5007">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图1-7 《关于加快推动制造服务业高质量发展的意见》</w:t>
      </w:r>
    </w:p>
    <w:p w14:paraId="4A05A376">
      <w:pPr>
        <w:ind w:firstLine="560" w:firstLineChars="200"/>
        <w:rPr>
          <w:rFonts w:hint="eastAsia" w:ascii="宋体" w:hAnsi="宋体" w:eastAsia="宋体" w:cs="宋体"/>
          <w:sz w:val="28"/>
          <w:szCs w:val="28"/>
        </w:rPr>
      </w:pPr>
      <w:r>
        <w:rPr>
          <w:rFonts w:ascii="宋体" w:hAnsi="宋体" w:eastAsia="宋体" w:cs="宋体"/>
          <w:sz w:val="28"/>
          <w:szCs w:val="28"/>
        </w:rPr>
        <w:t>鼓励利用人工智能、大数据等新一代信息技术提升检验检测智能化水平，实现生产过程的实时质控。</w:t>
      </w:r>
    </w:p>
    <w:p w14:paraId="7F08627F">
      <w:pPr>
        <w:ind w:firstLine="422" w:firstLineChars="200"/>
        <w:jc w:val="center"/>
        <w:rPr>
          <w:rFonts w:hint="eastAsia" w:ascii="黑体" w:hAnsi="黑体" w:eastAsia="黑体" w:cs="黑体"/>
          <w:b/>
          <w:bCs/>
          <w:sz w:val="21"/>
          <w:szCs w:val="21"/>
        </w:rPr>
      </w:pPr>
    </w:p>
    <w:p w14:paraId="44F4A48B">
      <w:pPr>
        <w:ind w:firstLine="562" w:firstLineChars="200"/>
        <w:jc w:val="both"/>
        <w:outlineLvl w:val="1"/>
        <w:rPr>
          <w:rFonts w:hint="eastAsia" w:ascii="黑体" w:hAnsi="黑体" w:eastAsia="黑体" w:cs="黑体"/>
          <w:b/>
          <w:bCs/>
          <w:sz w:val="28"/>
          <w:szCs w:val="28"/>
        </w:rPr>
      </w:pPr>
      <w:bookmarkStart w:id="12" w:name="_Toc21166"/>
      <w:bookmarkStart w:id="13" w:name="_Toc30573"/>
      <w:r>
        <w:rPr>
          <w:rFonts w:hint="eastAsia" w:ascii="黑体" w:hAnsi="黑体" w:eastAsia="黑体" w:cs="黑体"/>
          <w:b/>
          <w:bCs/>
          <w:sz w:val="28"/>
          <w:szCs w:val="28"/>
        </w:rPr>
        <w:t>1.2.3</w:t>
      </w:r>
      <w:r>
        <w:rPr>
          <w:rFonts w:ascii="黑体" w:hAnsi="黑体" w:eastAsia="黑体" w:cs="黑体"/>
          <w:b/>
          <w:bCs/>
          <w:sz w:val="28"/>
          <w:szCs w:val="28"/>
        </w:rPr>
        <w:t>绿色低碳与产业升级政策</w:t>
      </w:r>
      <w:bookmarkEnd w:id="12"/>
      <w:bookmarkEnd w:id="13"/>
    </w:p>
    <w:p w14:paraId="22237285">
      <w:pPr>
        <w:ind w:firstLine="562" w:firstLineChars="200"/>
        <w:outlineLvl w:val="2"/>
        <w:rPr>
          <w:rFonts w:hint="eastAsia" w:ascii="宋体" w:hAnsi="宋体" w:eastAsia="宋体" w:cs="宋体"/>
          <w:b/>
          <w:bCs/>
          <w:sz w:val="28"/>
          <w:szCs w:val="28"/>
        </w:rPr>
      </w:pPr>
      <w:bookmarkStart w:id="14" w:name="_Toc28771"/>
      <w:r>
        <w:rPr>
          <w:rFonts w:hint="eastAsia" w:ascii="宋体" w:hAnsi="宋体" w:eastAsia="宋体" w:cs="宋体"/>
          <w:b/>
          <w:bCs/>
          <w:sz w:val="28"/>
          <w:szCs w:val="28"/>
        </w:rPr>
        <w:t>（1）</w:t>
      </w:r>
      <w:r>
        <w:rPr>
          <w:rFonts w:ascii="宋体" w:hAnsi="宋体" w:eastAsia="宋体" w:cs="宋体"/>
          <w:b/>
          <w:bCs/>
          <w:sz w:val="28"/>
          <w:szCs w:val="28"/>
        </w:rPr>
        <w:t>《“十四五”工业绿色发展规划》</w:t>
      </w:r>
      <w:bookmarkEnd w:id="14"/>
    </w:p>
    <w:p w14:paraId="658BB5D5">
      <w:pPr>
        <w:ind w:firstLine="560" w:firstLineChars="200"/>
        <w:rPr>
          <w:rFonts w:hint="eastAsia" w:ascii="宋体" w:hAnsi="宋体" w:eastAsia="宋体" w:cs="宋体"/>
          <w:sz w:val="28"/>
          <w:szCs w:val="28"/>
        </w:rPr>
      </w:pPr>
      <w:r>
        <w:rPr>
          <w:rFonts w:ascii="宋体" w:hAnsi="宋体" w:eastAsia="宋体" w:cs="宋体"/>
          <w:sz w:val="28"/>
          <w:szCs w:val="28"/>
        </w:rPr>
        <w:t>2021年11月，工业和信息化部印发《“十四五”工业绿色发展规划》提出：强化绿色制造体系建设，全面推行绿色生产方式。在检验检测和生产质控环节，鼓励采用无损检测技术，减少有毒有害化学试剂的使用，降低实验室废液废气排放，推动产业链绿色低碳转型。</w:t>
      </w:r>
    </w:p>
    <w:p w14:paraId="16DF5509">
      <w:pPr>
        <w:rPr>
          <w:rFonts w:hint="eastAsia"/>
        </w:rPr>
      </w:pPr>
    </w:p>
    <w:p w14:paraId="4534FB60">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图1-8 《“十四五”工业绿色发展规划》</w:t>
      </w:r>
    </w:p>
    <w:p w14:paraId="387AC6C2">
      <w:pPr>
        <w:ind w:firstLine="560" w:firstLineChars="200"/>
        <w:rPr>
          <w:rFonts w:hint="eastAsia"/>
        </w:rPr>
      </w:pPr>
      <w:r>
        <w:rPr>
          <w:rFonts w:hint="eastAsia" w:ascii="宋体" w:hAnsi="宋体" w:eastAsia="宋体" w:cs="宋体"/>
          <w:sz w:val="28"/>
          <w:szCs w:val="28"/>
        </w:rPr>
        <w:t>无损检测技术的推广应用，不仅契合绿色低碳的产业升级方向，更为高光谱成像等非破坏性、无试剂消耗的新型食品添加剂检测技术提供了强有力的政策支撑与市场驱动力。</w:t>
      </w:r>
    </w:p>
    <w:p w14:paraId="1FABC2FA">
      <w:pPr>
        <w:ind w:firstLine="562" w:firstLineChars="200"/>
        <w:jc w:val="both"/>
        <w:outlineLvl w:val="1"/>
        <w:rPr>
          <w:rFonts w:hint="eastAsia" w:ascii="黑体" w:hAnsi="黑体" w:eastAsia="黑体" w:cs="黑体"/>
          <w:b/>
          <w:bCs/>
          <w:color w:val="1F2329"/>
          <w:sz w:val="28"/>
          <w:szCs w:val="28"/>
        </w:rPr>
      </w:pPr>
      <w:bookmarkStart w:id="15" w:name="_Toc69"/>
      <w:bookmarkStart w:id="16" w:name="_Toc8777"/>
      <w:r>
        <w:rPr>
          <w:rFonts w:hint="eastAsia" w:ascii="黑体" w:hAnsi="黑体" w:eastAsia="黑体" w:cs="黑体"/>
          <w:b/>
          <w:bCs/>
          <w:color w:val="1F2329"/>
          <w:sz w:val="28"/>
          <w:szCs w:val="28"/>
        </w:rPr>
        <w:t>1.2.4 海南自贸港专项政策支持</w:t>
      </w:r>
      <w:bookmarkEnd w:id="15"/>
      <w:bookmarkEnd w:id="16"/>
    </w:p>
    <w:p w14:paraId="1E32E25E">
      <w:pPr>
        <w:ind w:firstLine="562" w:firstLineChars="200"/>
        <w:rPr>
          <w:rFonts w:hint="eastAsia" w:ascii="宋体" w:hAnsi="宋体" w:eastAsia="宋体" w:cs="宋体"/>
          <w:b/>
          <w:bCs/>
          <w:color w:val="1F2329"/>
          <w:sz w:val="28"/>
          <w:szCs w:val="28"/>
        </w:rPr>
      </w:pPr>
      <w:r>
        <w:rPr>
          <w:rFonts w:hint="eastAsia" w:ascii="宋体" w:hAnsi="宋体" w:eastAsia="宋体" w:cs="宋体"/>
          <w:b/>
          <w:bCs/>
          <w:color w:val="1F2329"/>
          <w:sz w:val="28"/>
          <w:szCs w:val="28"/>
        </w:rPr>
        <w:t>（1）《海南自由贸易港建设总体方案》</w:t>
      </w:r>
    </w:p>
    <w:p w14:paraId="032287F4">
      <w:pPr>
        <w:ind w:firstLine="560" w:firstLineChars="200"/>
        <w:rPr>
          <w:rFonts w:hint="eastAsia" w:ascii="宋体" w:hAnsi="宋体" w:eastAsia="宋体" w:cs="宋体"/>
          <w:sz w:val="28"/>
          <w:szCs w:val="28"/>
        </w:rPr>
      </w:pPr>
      <w:r>
        <w:rPr>
          <w:rFonts w:ascii="宋体" w:hAnsi="宋体" w:eastAsia="宋体" w:cs="宋体"/>
          <w:sz w:val="28"/>
          <w:szCs w:val="28"/>
        </w:rPr>
        <w:t>方案明确</w:t>
      </w:r>
      <w:r>
        <w:rPr>
          <w:rFonts w:hint="eastAsia" w:ascii="宋体" w:hAnsi="宋体" w:eastAsia="宋体" w:cs="宋体"/>
          <w:sz w:val="28"/>
          <w:szCs w:val="28"/>
          <w:lang w:eastAsia="zh-CN"/>
        </w:rPr>
        <w:t>“</w:t>
      </w:r>
      <w:r>
        <w:rPr>
          <w:rFonts w:ascii="宋体" w:hAnsi="宋体" w:eastAsia="宋体" w:cs="宋体"/>
          <w:sz w:val="28"/>
          <w:szCs w:val="28"/>
        </w:rPr>
        <w:t>一线</w:t>
      </w:r>
      <w:r>
        <w:rPr>
          <w:rFonts w:hint="eastAsia" w:ascii="宋体" w:hAnsi="宋体" w:eastAsia="宋体" w:cs="宋体"/>
          <w:sz w:val="28"/>
          <w:szCs w:val="28"/>
          <w:lang w:eastAsia="zh-CN"/>
        </w:rPr>
        <w:t>”</w:t>
      </w:r>
      <w:r>
        <w:rPr>
          <w:rFonts w:ascii="宋体" w:hAnsi="宋体" w:eastAsia="宋体" w:cs="宋体"/>
          <w:sz w:val="28"/>
          <w:szCs w:val="28"/>
        </w:rPr>
        <w:t>进境环节强化食品安全管控，要求加强口岸公共卫生安全与食品质量安全监管，构建覆盖进境、流通、消费全环节的链条式风险防控体系。</w:t>
      </w:r>
    </w:p>
    <w:p w14:paraId="4D6EDA9E">
      <w:pPr>
        <w:ind w:firstLine="440" w:firstLineChars="200"/>
        <w:rPr>
          <w:rFonts w:hint="eastAsia"/>
        </w:rPr>
      </w:pPr>
      <w:r>
        <w:rPr>
          <w:rFonts w:hint="eastAsia"/>
        </w:rPr>
        <w:t xml:space="preserve">       </w:t>
      </w:r>
    </w:p>
    <w:p w14:paraId="55A2E1EB">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图1-9 《海南自由贸易港建设总体方案》</w:t>
      </w:r>
    </w:p>
    <w:p w14:paraId="50AE3273">
      <w:pPr>
        <w:ind w:firstLine="560" w:firstLineChars="200"/>
        <w:rPr>
          <w:rFonts w:hint="eastAsia" w:ascii="宋体" w:hAnsi="宋体" w:eastAsia="宋体" w:cs="宋体"/>
          <w:sz w:val="28"/>
          <w:szCs w:val="28"/>
        </w:rPr>
      </w:pPr>
      <w:r>
        <w:rPr>
          <w:rFonts w:ascii="宋体" w:hAnsi="宋体" w:eastAsia="宋体" w:cs="宋体"/>
          <w:sz w:val="28"/>
          <w:szCs w:val="28"/>
        </w:rPr>
        <w:t>项目快速检测技术的实战化应用，不仅契合自贸港口岸全链条风险防控的管理需求，更为"一线"通关与岛内流通环节的食品安全智能筛查提供了强有力的技术支撑与落地路径。</w:t>
      </w:r>
    </w:p>
    <w:p w14:paraId="205D4ED9">
      <w:pPr>
        <w:ind w:firstLine="562" w:firstLineChars="200"/>
        <w:rPr>
          <w:rFonts w:hint="eastAsia" w:ascii="宋体" w:hAnsi="宋体" w:eastAsia="宋体" w:cs="宋体"/>
          <w:b/>
          <w:bCs/>
          <w:color w:val="1F2329"/>
          <w:sz w:val="28"/>
          <w:szCs w:val="28"/>
        </w:rPr>
      </w:pPr>
      <w:r>
        <w:rPr>
          <w:rFonts w:hint="eastAsia" w:ascii="宋体" w:hAnsi="宋体" w:eastAsia="宋体" w:cs="宋体"/>
          <w:b/>
          <w:bCs/>
          <w:color w:val="1F2329"/>
          <w:sz w:val="28"/>
          <w:szCs w:val="28"/>
        </w:rPr>
        <w:t>（2）《全国人民代表大会常务委员会关于授权国务院在海南自由贸易港暂时调整适用〈中华人民共和国食品安全法〉有关规定的决定》</w:t>
      </w:r>
    </w:p>
    <w:p w14:paraId="6B64FAF7">
      <w:pPr>
        <w:ind w:firstLine="560" w:firstLineChars="200"/>
        <w:rPr>
          <w:rFonts w:hint="eastAsia" w:ascii="宋体" w:hAnsi="宋体" w:eastAsia="宋体" w:cs="宋体"/>
          <w:color w:val="1F2329"/>
          <w:sz w:val="28"/>
          <w:szCs w:val="28"/>
        </w:rPr>
      </w:pPr>
      <w:r>
        <w:rPr>
          <w:rFonts w:hint="eastAsia" w:ascii="宋体" w:hAnsi="宋体" w:eastAsia="宋体" w:cs="宋体"/>
          <w:color w:val="1F2329"/>
          <w:sz w:val="28"/>
          <w:szCs w:val="28"/>
        </w:rPr>
        <w:t>该决定授权海南自贸港在五年内创新食品安全监管模式，要求健全事中事后监督管理制度与应急处置机制，着力强化监管能力建设，为制度性探索提供法律授权空间。</w:t>
      </w:r>
    </w:p>
    <w:p w14:paraId="2FEDA0B8">
      <w:pPr>
        <w:ind w:firstLine="440" w:firstLineChars="200"/>
        <w:rPr>
          <w:rFonts w:hint="eastAsia"/>
        </w:rPr>
      </w:pPr>
      <w:r>
        <w:rPr>
          <w:rFonts w:hint="eastAsia"/>
        </w:rPr>
        <w:t xml:space="preserve">       </w:t>
      </w:r>
    </w:p>
    <w:p w14:paraId="0DA2D9CF">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图1-10 《关于授权国务院在海南自由贸易港暂时调整适用〈中华人民共和国食品安全法〉有关规定的决定》</w:t>
      </w:r>
    </w:p>
    <w:p w14:paraId="4E184A58">
      <w:pPr>
        <w:ind w:firstLine="560" w:firstLineChars="200"/>
        <w:rPr>
          <w:rFonts w:hint="eastAsia" w:ascii="宋体" w:hAnsi="宋体" w:eastAsia="宋体" w:cs="宋体"/>
          <w:color w:val="1F2329"/>
          <w:sz w:val="28"/>
          <w:szCs w:val="28"/>
        </w:rPr>
      </w:pPr>
      <w:r>
        <w:rPr>
          <w:rFonts w:hint="eastAsia" w:ascii="宋体" w:hAnsi="宋体" w:eastAsia="宋体" w:cs="宋体"/>
          <w:color w:val="1F2329"/>
          <w:sz w:val="28"/>
          <w:szCs w:val="28"/>
        </w:rPr>
        <w:t>项目技术的智能化检测能力，不仅契合自贸港食品安全监管模式创新的制度探索方向，更为海南构建食品添加剂智能化监管新路径、形成可复制推广的全国示范经验提供了坚实的技术支撑。</w:t>
      </w:r>
    </w:p>
    <w:p w14:paraId="1E72F6B7">
      <w:pPr>
        <w:ind w:firstLine="560" w:firstLineChars="200"/>
        <w:rPr>
          <w:rFonts w:hint="eastAsia" w:ascii="宋体" w:hAnsi="宋体" w:eastAsia="宋体" w:cs="宋体"/>
          <w:color w:val="1F2329"/>
          <w:sz w:val="28"/>
          <w:szCs w:val="28"/>
        </w:rPr>
      </w:pPr>
    </w:p>
    <w:p w14:paraId="21D0B403">
      <w:pPr>
        <w:ind w:firstLine="562" w:firstLineChars="200"/>
        <w:rPr>
          <w:rFonts w:hint="eastAsia" w:ascii="宋体" w:hAnsi="宋体" w:eastAsia="宋体" w:cs="宋体"/>
          <w:color w:val="1F2329"/>
          <w:sz w:val="28"/>
          <w:szCs w:val="28"/>
        </w:rPr>
      </w:pPr>
      <w:r>
        <w:rPr>
          <w:rFonts w:hint="eastAsia" w:ascii="宋体" w:hAnsi="宋体" w:eastAsia="宋体" w:cs="宋体"/>
          <w:b/>
          <w:bCs/>
          <w:color w:val="1F2329"/>
          <w:sz w:val="28"/>
          <w:szCs w:val="28"/>
        </w:rPr>
        <w:t>（3）《海南省推动 “人工智能 +” 行动方案（2026—2028年）》</w:t>
      </w:r>
    </w:p>
    <w:p w14:paraId="5C46ACF4">
      <w:pPr>
        <w:ind w:firstLine="560" w:firstLineChars="200"/>
        <w:rPr>
          <w:rFonts w:hint="eastAsia" w:ascii="宋体" w:hAnsi="宋体" w:eastAsia="宋体" w:cs="宋体"/>
          <w:color w:val="1F2329"/>
          <w:sz w:val="28"/>
          <w:szCs w:val="28"/>
        </w:rPr>
      </w:pPr>
      <w:r>
        <w:rPr>
          <w:rFonts w:hint="eastAsia" w:ascii="宋体" w:hAnsi="宋体" w:eastAsia="宋体" w:cs="宋体"/>
          <w:color w:val="1F2329"/>
          <w:sz w:val="28"/>
          <w:szCs w:val="28"/>
        </w:rPr>
        <w:t>方案提出构建"人工智能+"产业生态，重点支持检验检测等领域智能化升级，鼓励开发行业专用AI解决方案，并明确打造海口复兴城"人工智能+"基础技术和应用创新集聚区，为相关技术的转化验证提供平台载体。</w:t>
      </w:r>
    </w:p>
    <w:p w14:paraId="4AF1BCD9">
      <w:pPr>
        <w:ind w:firstLine="440" w:firstLineChars="200"/>
        <w:rPr>
          <w:rFonts w:hint="eastAsia"/>
        </w:rPr>
      </w:pPr>
      <w:r>
        <w:rPr>
          <w:rFonts w:hint="eastAsia"/>
        </w:rPr>
        <w:t xml:space="preserve">       </w:t>
      </w:r>
    </w:p>
    <w:p w14:paraId="3839F586">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图1-11 《海南省推动"人工智能+"行动方案（2026—2028年）》</w:t>
      </w:r>
    </w:p>
    <w:p w14:paraId="5192D1BD">
      <w:pPr>
        <w:ind w:firstLine="560" w:firstLineChars="200"/>
        <w:rPr>
          <w:rFonts w:hint="eastAsia" w:ascii="宋体" w:hAnsi="宋体" w:eastAsia="宋体" w:cs="宋体"/>
          <w:color w:val="1F2329"/>
          <w:sz w:val="28"/>
          <w:szCs w:val="28"/>
        </w:rPr>
      </w:pPr>
      <w:r>
        <w:rPr>
          <w:rFonts w:hint="eastAsia" w:ascii="宋体" w:hAnsi="宋体" w:eastAsia="宋体" w:cs="宋体"/>
          <w:color w:val="1F2329"/>
          <w:sz w:val="28"/>
          <w:szCs w:val="28"/>
        </w:rPr>
        <w:t>高光谱成像与机器学习的深度融合，不仅契合自贸港"场景应用驱动产业发展"的核心导向，更为海口复兴城人工智能创新集聚区提供了检验检测领域典型示范场景与技术转化的强有力支撑。</w:t>
      </w:r>
    </w:p>
    <w:p w14:paraId="316EE6A3">
      <w:pPr>
        <w:ind w:firstLine="562" w:firstLineChars="200"/>
        <w:rPr>
          <w:rFonts w:hint="eastAsia" w:ascii="宋体" w:hAnsi="宋体" w:eastAsia="宋体" w:cs="宋体"/>
          <w:b/>
          <w:bCs/>
          <w:color w:val="1F2329"/>
          <w:sz w:val="28"/>
          <w:szCs w:val="28"/>
        </w:rPr>
      </w:pPr>
      <w:r>
        <w:rPr>
          <w:rFonts w:hint="eastAsia" w:ascii="宋体" w:hAnsi="宋体" w:eastAsia="宋体" w:cs="宋体"/>
          <w:b/>
          <w:bCs/>
          <w:color w:val="1F2329"/>
          <w:sz w:val="28"/>
          <w:szCs w:val="28"/>
        </w:rPr>
        <w:t>（4）《海南省人民政府办公厅关于加快建立健全绿色低碳循环发展经济体系的实施意见》（琼府办〔2021〕69 号）</w:t>
      </w:r>
    </w:p>
    <w:p w14:paraId="70E6C064">
      <w:pPr>
        <w:ind w:firstLine="560" w:firstLineChars="200"/>
        <w:rPr>
          <w:rFonts w:hint="eastAsia" w:ascii="宋体" w:hAnsi="宋体" w:eastAsia="宋体" w:cs="宋体"/>
          <w:color w:val="1F2329"/>
          <w:sz w:val="28"/>
          <w:szCs w:val="28"/>
        </w:rPr>
      </w:pPr>
      <w:r>
        <w:rPr>
          <w:rFonts w:hint="eastAsia" w:ascii="宋体" w:hAnsi="宋体" w:eastAsia="宋体" w:cs="宋体"/>
          <w:color w:val="1F2329"/>
          <w:sz w:val="28"/>
          <w:szCs w:val="28"/>
        </w:rPr>
        <w:t>意见要求工业领域全面推广清洁生产技术，严格限制有毒有害试剂的使用，明确支持无损检测等绿色检验检测技术的推广应用，推动自贸港产业链向绿色低碳方向加速转型。</w:t>
      </w:r>
    </w:p>
    <w:p w14:paraId="0A6D1B44">
      <w:pPr>
        <w:ind w:firstLine="880" w:firstLineChars="400"/>
        <w:rPr>
          <w:rFonts w:hint="eastAsia"/>
        </w:rPr>
      </w:pPr>
    </w:p>
    <w:p w14:paraId="6DB69DF2">
      <w:pPr>
        <w:ind w:firstLine="843" w:firstLineChars="400"/>
        <w:jc w:val="center"/>
        <w:rPr>
          <w:rFonts w:hint="eastAsia" w:ascii="黑体" w:hAnsi="黑体" w:eastAsia="黑体" w:cs="黑体"/>
          <w:b/>
          <w:bCs/>
          <w:color w:val="1F2329"/>
          <w:sz w:val="21"/>
          <w:szCs w:val="21"/>
        </w:rPr>
      </w:pPr>
      <w:r>
        <w:rPr>
          <w:rFonts w:hint="eastAsia" w:ascii="黑体" w:hAnsi="黑体" w:eastAsia="黑体" w:cs="黑体"/>
          <w:b/>
          <w:bCs/>
          <w:color w:val="1F2329"/>
          <w:sz w:val="21"/>
          <w:szCs w:val="21"/>
        </w:rPr>
        <w:t>图1-12 《关于加快建立健全绿色低碳循环发展经济体系的实施意见》</w:t>
      </w:r>
    </w:p>
    <w:p w14:paraId="0E485E2B">
      <w:pPr>
        <w:ind w:firstLine="1120" w:firstLineChars="400"/>
        <w:rPr>
          <w:rFonts w:hint="eastAsia" w:ascii="宋体" w:hAnsi="宋体" w:eastAsia="宋体" w:cs="宋体"/>
          <w:color w:val="1F2329"/>
          <w:sz w:val="28"/>
          <w:szCs w:val="28"/>
        </w:rPr>
      </w:pPr>
      <w:r>
        <w:rPr>
          <w:rFonts w:hint="eastAsia" w:ascii="宋体" w:hAnsi="宋体" w:eastAsia="宋体" w:cs="宋体"/>
          <w:color w:val="1F2329"/>
          <w:sz w:val="28"/>
          <w:szCs w:val="28"/>
        </w:rPr>
        <w:t>高光谱无损检测技术的推广应用，不仅契合自贸港产业链绿色低碳转型的战略要求，更为企业降低环境影响、达标绿色生产标准提供了无试剂消耗、零废液排放的强有力技术支撑与实践路径。</w:t>
      </w:r>
      <w:r>
        <w:rPr>
          <w:rFonts w:hint="eastAsia" w:ascii="宋体" w:hAnsi="宋体" w:eastAsia="宋体" w:cs="宋体"/>
          <w:color w:val="1F2329"/>
          <w:sz w:val="28"/>
          <w:szCs w:val="28"/>
        </w:rPr>
        <w:br w:type="textWrapping"/>
      </w:r>
      <w:r>
        <w:rPr>
          <w:rFonts w:hint="eastAsia" w:ascii="宋体" w:hAnsi="宋体" w:eastAsia="宋体" w:cs="宋体"/>
          <w:color w:val="1F2329"/>
          <w:sz w:val="28"/>
          <w:szCs w:val="28"/>
        </w:rPr>
        <w:tab/>
      </w:r>
      <w:r>
        <w:rPr>
          <w:rFonts w:hint="eastAsia" w:ascii="宋体" w:hAnsi="宋体" w:eastAsia="宋体" w:cs="宋体"/>
          <w:b/>
          <w:bCs/>
          <w:color w:val="1F2329"/>
          <w:sz w:val="28"/>
          <w:szCs w:val="28"/>
        </w:rPr>
        <w:t>（5） 海南省市场监督管理局智慧监管能力建设</w:t>
      </w:r>
    </w:p>
    <w:p w14:paraId="2EA96076">
      <w:pPr>
        <w:spacing w:line="279" w:lineRule="auto"/>
        <w:ind w:firstLine="560" w:firstLineChars="200"/>
        <w:rPr>
          <w:rFonts w:hint="eastAsia"/>
        </w:rPr>
      </w:pPr>
      <w:r>
        <w:rPr>
          <w:rFonts w:ascii="宋体" w:hAnsi="宋体" w:eastAsia="宋体" w:cs="宋体"/>
          <w:sz w:val="28"/>
          <w:szCs w:val="28"/>
        </w:rPr>
        <w:t>海南省市场监管局明确提出强化智慧监管、信用监管赋能，推动监管理念从"管得住"向"管得好"全面升级，将人工智能技术列为提升监管效能、实现精准执法的核心驱动手段。</w:t>
      </w:r>
    </w:p>
    <w:p w14:paraId="77910481">
      <w:pPr>
        <w:ind w:left="1540" w:hanging="1540" w:hangingChars="700"/>
        <w:rPr>
          <w:rFonts w:hint="eastAsia"/>
        </w:rPr>
      </w:pPr>
      <w:r>
        <w:rPr>
          <w:rFonts w:hint="eastAsia"/>
        </w:rPr>
        <w:t xml:space="preserve">         </w:t>
      </w:r>
    </w:p>
    <w:p w14:paraId="6BC4F6C8">
      <w:pPr>
        <w:ind w:firstLine="843" w:firstLineChars="400"/>
        <w:jc w:val="center"/>
        <w:rPr>
          <w:rFonts w:hint="eastAsia" w:ascii="黑体" w:hAnsi="黑体" w:eastAsia="黑体" w:cs="黑体"/>
          <w:b/>
          <w:bCs/>
          <w:color w:val="1F2329"/>
          <w:sz w:val="21"/>
          <w:szCs w:val="21"/>
        </w:rPr>
      </w:pPr>
      <w:r>
        <w:rPr>
          <w:rFonts w:hint="eastAsia" w:ascii="黑体" w:hAnsi="黑体" w:eastAsia="黑体" w:cs="黑体"/>
          <w:b/>
          <w:bCs/>
          <w:color w:val="1F2329"/>
          <w:sz w:val="21"/>
          <w:szCs w:val="21"/>
        </w:rPr>
        <w:t>图1-13 海南省市场监督管理局智慧监管相关文件</w:t>
      </w:r>
    </w:p>
    <w:p w14:paraId="4ADE01FC">
      <w:pPr>
        <w:ind w:firstLine="560" w:firstLineChars="200"/>
        <w:rPr>
          <w:rFonts w:hint="eastAsia"/>
          <w:sz w:val="28"/>
          <w:szCs w:val="28"/>
        </w:rPr>
      </w:pPr>
      <w:r>
        <w:rPr>
          <w:rFonts w:ascii="宋体" w:hAnsi="宋体" w:eastAsia="宋体" w:cs="宋体"/>
          <w:sz w:val="28"/>
          <w:szCs w:val="28"/>
        </w:rPr>
        <w:t>项目作为</w:t>
      </w:r>
      <w:r>
        <w:rPr>
          <w:rFonts w:hint="eastAsia" w:ascii="宋体" w:hAnsi="宋体" w:eastAsia="宋体" w:cs="宋体"/>
          <w:sz w:val="28"/>
          <w:szCs w:val="28"/>
          <w:lang w:eastAsia="zh-CN"/>
        </w:rPr>
        <w:t>“</w:t>
      </w:r>
      <w:r>
        <w:rPr>
          <w:rFonts w:ascii="宋体" w:hAnsi="宋体" w:eastAsia="宋体" w:cs="宋体"/>
          <w:sz w:val="28"/>
          <w:szCs w:val="28"/>
        </w:rPr>
        <w:t>人工智能+检验检测</w:t>
      </w:r>
      <w:r>
        <w:rPr>
          <w:rFonts w:hint="eastAsia" w:ascii="宋体" w:hAnsi="宋体" w:eastAsia="宋体" w:cs="宋体"/>
          <w:sz w:val="28"/>
          <w:szCs w:val="28"/>
          <w:lang w:eastAsia="zh-CN"/>
        </w:rPr>
        <w:t>”</w:t>
      </w:r>
      <w:r>
        <w:rPr>
          <w:rFonts w:ascii="宋体" w:hAnsi="宋体" w:eastAsia="宋体" w:cs="宋体"/>
          <w:sz w:val="28"/>
          <w:szCs w:val="28"/>
        </w:rPr>
        <w:t>的典型应用，不仅契合自贸港智慧监管体系建设的核心方向，更为监管部门实现食品添加剂风险的实时感知与精准研判提供了强有力的智能化技术支撑。</w:t>
      </w:r>
    </w:p>
    <w:p w14:paraId="0E382C3C">
      <w:pPr>
        <w:ind w:firstLine="602" w:firstLineChars="200"/>
        <w:outlineLvl w:val="0"/>
        <w:rPr>
          <w:rFonts w:hint="eastAsia" w:ascii="黑体" w:hAnsi="黑体" w:eastAsia="黑体" w:cs="黑体"/>
          <w:b/>
          <w:bCs/>
          <w:sz w:val="30"/>
          <w:szCs w:val="30"/>
        </w:rPr>
      </w:pPr>
      <w:bookmarkStart w:id="17" w:name="_Toc3747"/>
      <w:r>
        <w:rPr>
          <w:rFonts w:hint="eastAsia" w:ascii="黑体" w:hAnsi="黑体" w:eastAsia="黑体" w:cs="黑体"/>
          <w:b/>
          <w:bCs/>
          <w:sz w:val="30"/>
          <w:szCs w:val="30"/>
        </w:rPr>
        <w:t>1.3 技术支撑</w:t>
      </w:r>
      <w:bookmarkEnd w:id="17"/>
    </w:p>
    <w:p w14:paraId="039A33CB">
      <w:pPr>
        <w:ind w:firstLine="560" w:firstLineChars="200"/>
        <w:rPr>
          <w:rFonts w:hint="eastAsia"/>
          <w:sz w:val="28"/>
          <w:szCs w:val="28"/>
        </w:rPr>
      </w:pPr>
      <w:r>
        <w:rPr>
          <w:rFonts w:ascii="宋体" w:hAnsi="宋体" w:eastAsia="宋体" w:cs="宋体"/>
          <w:sz w:val="28"/>
          <w:szCs w:val="28"/>
        </w:rPr>
        <w:t>在明确的政策导向与迫切的市场需求下，本项目突破传统化学试剂检测的局限，将光学硬件采集、人工智能算法与云端SaaS架构深度融合，构建了一套快速、无损、精准的色素检测新范式，核心技术支撑由以下四大模块构成。</w:t>
      </w:r>
    </w:p>
    <w:p w14:paraId="4CD54D4D">
      <w:pPr>
        <w:pStyle w:val="6"/>
        <w:widowControl/>
        <w:spacing w:line="279" w:lineRule="auto"/>
        <w:ind w:firstLine="562" w:firstLineChars="200"/>
        <w:outlineLvl w:val="1"/>
        <w:rPr>
          <w:rFonts w:hint="eastAsia"/>
        </w:rPr>
      </w:pPr>
      <w:bookmarkStart w:id="18" w:name="_Toc6023"/>
      <w:bookmarkStart w:id="19" w:name="_Toc11571"/>
      <w:r>
        <w:rPr>
          <w:b/>
          <w:bCs/>
          <w:sz w:val="28"/>
          <w:szCs w:val="28"/>
        </w:rPr>
        <w:t>1.3.1 高光谱成像技术</w:t>
      </w:r>
      <w:bookmarkEnd w:id="18"/>
      <w:bookmarkEnd w:id="19"/>
      <w:r>
        <w:t xml:space="preserve"> </w:t>
      </w:r>
    </w:p>
    <w:p w14:paraId="43BA86ED">
      <w:pPr>
        <w:pStyle w:val="6"/>
        <w:widowControl/>
        <w:spacing w:line="279" w:lineRule="auto"/>
        <w:ind w:firstLine="560" w:firstLineChars="200"/>
        <w:rPr>
          <w:rFonts w:hint="eastAsia"/>
        </w:rPr>
      </w:pPr>
      <w:r>
        <w:rPr>
          <w:rFonts w:hint="eastAsia" w:ascii="宋体" w:hAnsi="宋体" w:eastAsia="宋体" w:cs="宋体"/>
          <w:sz w:val="28"/>
          <w:szCs w:val="28"/>
        </w:rPr>
        <w:t>传统检测方法需破坏样品，且难以兼顾外观图像与内部化学成分的同步获取。本项目采用400~1000nm可见-近红外高光谱成像系统作为数据采集底座。</w:t>
      </w:r>
    </w:p>
    <w:p w14:paraId="2CDB4C9C">
      <w:pPr>
        <w:pStyle w:val="6"/>
        <w:widowControl/>
        <w:spacing w:line="279" w:lineRule="auto"/>
        <w:ind w:firstLine="422" w:firstLineChars="200"/>
        <w:jc w:val="center"/>
        <w:rPr>
          <w:rFonts w:hint="eastAsia" w:ascii="黑体" w:hAnsi="黑体" w:eastAsia="黑体" w:cs="黑体"/>
          <w:sz w:val="21"/>
          <w:szCs w:val="21"/>
        </w:rPr>
      </w:pPr>
      <w:r>
        <w:rPr>
          <w:rFonts w:hint="eastAsia" w:ascii="黑体" w:hAnsi="黑体" w:eastAsia="黑体" w:cs="黑体"/>
          <w:b/>
          <w:bCs/>
          <w:sz w:val="21"/>
          <w:szCs w:val="21"/>
        </w:rPr>
        <w:t>图1-14 高光谱成像可以捕获250nm至15000nm以及热红外波长的光</w:t>
      </w:r>
    </w:p>
    <w:p w14:paraId="5BC4D9CB">
      <w:pPr>
        <w:pStyle w:val="6"/>
        <w:widowControl/>
        <w:spacing w:line="279" w:lineRule="auto"/>
        <w:ind w:left="720" w:firstLine="562" w:firstLineChars="200"/>
        <w:rPr>
          <w:rFonts w:hint="eastAsia" w:ascii="宋体" w:hAnsi="宋体" w:eastAsia="宋体" w:cs="宋体"/>
          <w:sz w:val="28"/>
          <w:szCs w:val="28"/>
        </w:rPr>
      </w:pPr>
      <w:r>
        <w:rPr>
          <w:rFonts w:hint="eastAsia" w:ascii="宋体" w:hAnsi="宋体" w:eastAsia="宋体" w:cs="宋体"/>
          <w:b/>
          <w:bCs/>
          <w:sz w:val="28"/>
          <w:szCs w:val="28"/>
        </w:rPr>
        <w:t>（1）图谱合一</w:t>
      </w:r>
      <w:r>
        <w:rPr>
          <w:rFonts w:hint="eastAsia" w:ascii="宋体" w:hAnsi="宋体" w:eastAsia="宋体" w:cs="宋体"/>
          <w:sz w:val="28"/>
          <w:szCs w:val="28"/>
        </w:rPr>
        <w:t>：在获取饮料样品空间图像的同时，精准捕捉柠檬黄、胭脂红等色素分子的特异性</w:t>
      </w:r>
      <w:r>
        <w:rPr>
          <w:rFonts w:hint="eastAsia" w:ascii="宋体" w:hAnsi="宋体" w:eastAsia="宋体" w:cs="宋体"/>
          <w:sz w:val="28"/>
          <w:szCs w:val="28"/>
          <w:lang w:eastAsia="zh-CN"/>
        </w:rPr>
        <w:t>“</w:t>
      </w:r>
      <w:r>
        <w:rPr>
          <w:rFonts w:hint="eastAsia" w:ascii="宋体" w:hAnsi="宋体" w:eastAsia="宋体" w:cs="宋体"/>
          <w:sz w:val="28"/>
          <w:szCs w:val="28"/>
        </w:rPr>
        <w:t>光谱指纹</w:t>
      </w:r>
      <w:r>
        <w:rPr>
          <w:rFonts w:hint="eastAsia" w:ascii="宋体" w:hAnsi="宋体" w:eastAsia="宋体" w:cs="宋体"/>
          <w:sz w:val="28"/>
          <w:szCs w:val="28"/>
          <w:lang w:eastAsia="zh-CN"/>
        </w:rPr>
        <w:t>”</w:t>
      </w:r>
      <w:r>
        <w:rPr>
          <w:rFonts w:hint="eastAsia" w:ascii="宋体" w:hAnsi="宋体" w:eastAsia="宋体" w:cs="宋体"/>
          <w:sz w:val="28"/>
          <w:szCs w:val="28"/>
        </w:rPr>
        <w:t>，实现外观与成分的一体化感知。</w:t>
      </w:r>
    </w:p>
    <w:p w14:paraId="50658A8B">
      <w:pPr>
        <w:pStyle w:val="6"/>
        <w:widowControl/>
        <w:spacing w:line="279" w:lineRule="auto"/>
        <w:ind w:left="720" w:firstLine="562" w:firstLineChars="200"/>
        <w:rPr>
          <w:rFonts w:hint="eastAsia" w:ascii="宋体" w:hAnsi="宋体" w:eastAsia="宋体" w:cs="宋体"/>
          <w:sz w:val="28"/>
          <w:szCs w:val="28"/>
        </w:rPr>
      </w:pPr>
      <w:r>
        <w:rPr>
          <w:rFonts w:hint="eastAsia" w:ascii="宋体" w:hAnsi="宋体" w:eastAsia="宋体" w:cs="宋体"/>
          <w:b/>
          <w:bCs/>
          <w:sz w:val="28"/>
          <w:szCs w:val="28"/>
        </w:rPr>
        <w:t>（2）全程无损</w:t>
      </w:r>
      <w:r>
        <w:rPr>
          <w:rFonts w:hint="eastAsia" w:ascii="宋体" w:hAnsi="宋体" w:eastAsia="宋体" w:cs="宋体"/>
          <w:sz w:val="28"/>
          <w:szCs w:val="28"/>
        </w:rPr>
        <w:t>：采用纯物理光学扫描，无需萃取、离心等化学前处理，从源头消除有机试剂使用，真正做到零破坏、零污染。</w:t>
      </w:r>
    </w:p>
    <w:p w14:paraId="54473589">
      <w:pPr>
        <w:pStyle w:val="6"/>
        <w:widowControl/>
        <w:spacing w:line="279" w:lineRule="auto"/>
        <w:ind w:firstLine="562" w:firstLineChars="200"/>
        <w:outlineLvl w:val="1"/>
        <w:rPr>
          <w:rFonts w:hint="eastAsia"/>
          <w:sz w:val="28"/>
          <w:szCs w:val="28"/>
        </w:rPr>
      </w:pPr>
      <w:bookmarkStart w:id="20" w:name="_Toc15480"/>
      <w:bookmarkStart w:id="21" w:name="_Toc12541"/>
      <w:r>
        <w:rPr>
          <w:rFonts w:hint="eastAsia" w:ascii="黑体" w:hAnsi="黑体" w:eastAsia="黑体" w:cs="黑体"/>
          <w:b/>
          <w:bCs/>
          <w:sz w:val="28"/>
          <w:szCs w:val="28"/>
        </w:rPr>
        <w:t xml:space="preserve">1.3.2 </w:t>
      </w:r>
      <w:bookmarkEnd w:id="20"/>
      <w:r>
        <w:rPr>
          <w:rFonts w:hint="eastAsia" w:ascii="黑体" w:hAnsi="黑体" w:eastAsia="黑体" w:cs="黑体"/>
          <w:b/>
          <w:bCs/>
          <w:sz w:val="28"/>
          <w:szCs w:val="28"/>
        </w:rPr>
        <w:t>智能预处理算法</w:t>
      </w:r>
      <w:bookmarkEnd w:id="21"/>
    </w:p>
    <w:p w14:paraId="29F052DD">
      <w:pPr>
        <w:pStyle w:val="6"/>
        <w:widowControl/>
        <w:spacing w:line="279" w:lineRule="auto"/>
        <w:ind w:firstLine="560" w:firstLineChars="200"/>
        <w:rPr>
          <w:rFonts w:hint="eastAsia" w:ascii="宋体" w:hAnsi="宋体" w:eastAsia="宋体" w:cs="宋体"/>
        </w:rPr>
      </w:pPr>
      <w:r>
        <w:rPr>
          <w:rFonts w:ascii="宋体" w:hAnsi="宋体" w:eastAsia="宋体" w:cs="宋体"/>
          <w:sz w:val="28"/>
          <w:szCs w:val="28"/>
        </w:rPr>
        <w:t>针对茶饮、果汁等复杂饮品悬浮物多、检测环境温湿度易干扰光谱数据的问题，项目研发了DFA-MSC-Lasso的组合预处理技术 。</w:t>
      </w:r>
    </w:p>
    <w:p w14:paraId="39673729">
      <w:pPr>
        <w:pStyle w:val="6"/>
        <w:widowControl/>
        <w:spacing w:line="279" w:lineRule="auto"/>
        <w:ind w:firstLine="482" w:firstLineChars="200"/>
        <w:jc w:val="center"/>
        <w:rPr>
          <w:rFonts w:hint="eastAsia" w:ascii="黑体" w:hAnsi="黑体" w:eastAsia="黑体" w:cs="黑体"/>
          <w:b/>
          <w:bCs/>
        </w:rPr>
      </w:pPr>
      <w:r>
        <w:rPr>
          <w:rFonts w:hint="eastAsia" w:ascii="黑体" w:hAnsi="黑体" w:eastAsia="黑体" w:cs="黑体"/>
          <w:b/>
          <w:bCs/>
        </w:rPr>
        <w:t>图1-15 采用Savitzky-Golay 滤波对原始光谱数据进行平滑处理</w:t>
      </w:r>
    </w:p>
    <w:p w14:paraId="3EA2B9EF">
      <w:pPr>
        <w:pStyle w:val="6"/>
        <w:widowControl/>
        <w:spacing w:line="279" w:lineRule="auto"/>
        <w:ind w:left="720" w:firstLine="562" w:firstLineChars="200"/>
        <w:rPr>
          <w:rFonts w:hint="eastAsia" w:ascii="宋体" w:hAnsi="宋体" w:eastAsia="宋体" w:cs="宋体"/>
          <w:sz w:val="28"/>
          <w:szCs w:val="28"/>
        </w:rPr>
      </w:pPr>
      <w:r>
        <w:rPr>
          <w:rFonts w:hint="eastAsia" w:ascii="宋体" w:hAnsi="宋体" w:eastAsia="宋体" w:cs="宋体"/>
          <w:b/>
          <w:bCs/>
          <w:sz w:val="28"/>
          <w:szCs w:val="28"/>
        </w:rPr>
        <w:t>（1）抗干扰校正（MSC &amp; DFA）</w:t>
      </w:r>
      <w:r>
        <w:rPr>
          <w:rFonts w:hint="eastAsia" w:ascii="宋体" w:hAnsi="宋体" w:eastAsia="宋体" w:cs="宋体"/>
          <w:b/>
          <w:bCs/>
          <w:sz w:val="24"/>
          <w:szCs w:val="24"/>
        </w:rPr>
        <w:t>：</w:t>
      </w:r>
      <w:r>
        <w:rPr>
          <w:rFonts w:ascii="宋体" w:hAnsi="宋体" w:eastAsia="宋体" w:cs="宋体"/>
          <w:sz w:val="28"/>
          <w:szCs w:val="28"/>
        </w:rPr>
        <w:t>有效消除果肉悬浮物引起的光散射干扰，自动修正环境背景漂移，提升数据信噪比</w:t>
      </w:r>
      <w:r>
        <w:rPr>
          <w:rFonts w:hint="eastAsia" w:ascii="宋体" w:hAnsi="宋体" w:eastAsia="宋体" w:cs="宋体"/>
          <w:sz w:val="28"/>
          <w:szCs w:val="28"/>
          <w:lang w:eastAsia="zh"/>
        </w:rPr>
        <w:t>，</w:t>
      </w:r>
      <w:r>
        <w:rPr>
          <w:rFonts w:hint="eastAsia" w:ascii="宋体" w:hAnsi="宋体" w:eastAsia="宋体" w:cs="宋体"/>
          <w:sz w:val="28"/>
          <w:szCs w:val="28"/>
        </w:rPr>
        <w:t>还原真实光谱数据。</w:t>
      </w:r>
    </w:p>
    <w:p w14:paraId="2B4F792D">
      <w:pPr>
        <w:pStyle w:val="6"/>
        <w:widowControl/>
        <w:spacing w:line="279" w:lineRule="auto"/>
        <w:ind w:left="720" w:firstLine="562" w:firstLineChars="200"/>
        <w:rPr>
          <w:rFonts w:hint="eastAsia" w:ascii="宋体" w:hAnsi="宋体" w:eastAsia="宋体" w:cs="宋体"/>
          <w:sz w:val="28"/>
          <w:szCs w:val="28"/>
        </w:rPr>
      </w:pPr>
      <w:r>
        <w:rPr>
          <w:rFonts w:hint="eastAsia" w:ascii="宋体" w:hAnsi="宋体" w:eastAsia="宋体" w:cs="宋体"/>
          <w:b/>
          <w:bCs/>
          <w:sz w:val="28"/>
          <w:szCs w:val="28"/>
        </w:rPr>
        <w:t>（2）高效数据降维（Lasso）：</w:t>
      </w:r>
      <w:r>
        <w:rPr>
          <w:rFonts w:hint="eastAsia" w:ascii="宋体" w:hAnsi="宋体" w:eastAsia="宋体" w:cs="宋体"/>
          <w:sz w:val="28"/>
          <w:szCs w:val="28"/>
        </w:rPr>
        <w:t xml:space="preserve"> 从高光谱海量数据中精准筛选与合成色素强相关的核心波段，大幅降低算力消耗，为</w:t>
      </w:r>
      <w:r>
        <w:rPr>
          <w:rFonts w:hint="eastAsia" w:ascii="宋体" w:hAnsi="宋体" w:eastAsia="宋体" w:cs="宋体"/>
          <w:sz w:val="28"/>
          <w:szCs w:val="28"/>
          <w:lang w:eastAsia="zh"/>
        </w:rPr>
        <w:t>“</w:t>
      </w:r>
      <w:r>
        <w:rPr>
          <w:rFonts w:hint="eastAsia" w:ascii="宋体" w:hAnsi="宋体" w:eastAsia="宋体" w:cs="宋体"/>
          <w:sz w:val="28"/>
          <w:szCs w:val="28"/>
        </w:rPr>
        <w:t>20秒极速出结果</w:t>
      </w:r>
      <w:r>
        <w:rPr>
          <w:rFonts w:hint="eastAsia" w:ascii="宋体" w:hAnsi="宋体" w:eastAsia="宋体" w:cs="宋体"/>
          <w:sz w:val="28"/>
          <w:szCs w:val="28"/>
          <w:lang w:eastAsia="zh"/>
        </w:rPr>
        <w:t>”</w:t>
      </w:r>
      <w:r>
        <w:rPr>
          <w:rFonts w:hint="eastAsia" w:ascii="宋体" w:hAnsi="宋体" w:eastAsia="宋体" w:cs="宋体"/>
          <w:sz w:val="28"/>
          <w:szCs w:val="28"/>
        </w:rPr>
        <w:t>奠定基础。</w:t>
      </w:r>
    </w:p>
    <w:p w14:paraId="3331017F">
      <w:pPr>
        <w:pStyle w:val="6"/>
        <w:widowControl/>
        <w:spacing w:line="279" w:lineRule="auto"/>
        <w:ind w:firstLine="562" w:firstLineChars="200"/>
        <w:outlineLvl w:val="1"/>
        <w:rPr>
          <w:rFonts w:hint="eastAsia" w:ascii="黑体" w:hAnsi="黑体" w:eastAsia="黑体" w:cs="黑体"/>
          <w:sz w:val="28"/>
          <w:szCs w:val="28"/>
        </w:rPr>
      </w:pPr>
      <w:bookmarkStart w:id="22" w:name="_Toc13819"/>
      <w:bookmarkStart w:id="23" w:name="_Toc11851"/>
      <w:r>
        <w:rPr>
          <w:rFonts w:hint="eastAsia" w:ascii="黑体" w:hAnsi="黑体" w:eastAsia="黑体" w:cs="黑体"/>
          <w:b/>
          <w:bCs/>
          <w:sz w:val="28"/>
          <w:szCs w:val="28"/>
        </w:rPr>
        <w:t xml:space="preserve">1.3.3 </w:t>
      </w:r>
      <w:bookmarkEnd w:id="22"/>
      <w:r>
        <w:rPr>
          <w:rFonts w:hint="eastAsia" w:ascii="黑体" w:hAnsi="黑体" w:eastAsia="黑体" w:cs="黑体"/>
          <w:b/>
          <w:bCs/>
          <w:sz w:val="28"/>
          <w:szCs w:val="28"/>
        </w:rPr>
        <w:t>双路径AI预测模型</w:t>
      </w:r>
      <w:bookmarkEnd w:id="23"/>
      <w:r>
        <w:rPr>
          <w:rFonts w:hint="eastAsia" w:ascii="黑体" w:hAnsi="黑体" w:eastAsia="黑体" w:cs="黑体"/>
          <w:sz w:val="28"/>
          <w:szCs w:val="28"/>
        </w:rPr>
        <w:t xml:space="preserve"> </w:t>
      </w:r>
    </w:p>
    <w:p w14:paraId="357B14EE">
      <w:pPr>
        <w:widowControl/>
        <w:spacing w:beforeAutospacing="1" w:after="100" w:afterAutospacing="1" w:line="279" w:lineRule="auto"/>
        <w:ind w:firstLine="560" w:firstLineChars="200"/>
        <w:rPr>
          <w:rFonts w:hint="eastAsia" w:ascii="宋体" w:hAnsi="宋体" w:eastAsia="宋体" w:cs="宋体"/>
          <w:kern w:val="0"/>
          <w:sz w:val="24"/>
        </w:rPr>
      </w:pPr>
      <w:r>
        <w:rPr>
          <w:rFonts w:ascii="宋体" w:hAnsi="宋体" w:eastAsia="宋体" w:cs="宋体"/>
          <w:kern w:val="0"/>
          <w:sz w:val="28"/>
          <w:szCs w:val="28"/>
        </w:rPr>
        <w:t>针对实际检测中</w:t>
      </w:r>
      <w:r>
        <w:rPr>
          <w:rFonts w:hint="eastAsia" w:ascii="宋体" w:hAnsi="宋体" w:eastAsia="宋体" w:cs="宋体"/>
          <w:kern w:val="0"/>
          <w:sz w:val="28"/>
          <w:szCs w:val="28"/>
        </w:rPr>
        <w:t>“</w:t>
      </w:r>
      <w:r>
        <w:rPr>
          <w:rFonts w:ascii="宋体" w:hAnsi="宋体" w:eastAsia="宋体" w:cs="宋体"/>
          <w:kern w:val="0"/>
          <w:sz w:val="28"/>
          <w:szCs w:val="28"/>
        </w:rPr>
        <w:t>判定是否违规添加</w:t>
      </w:r>
      <w:r>
        <w:rPr>
          <w:rFonts w:hint="eastAsia" w:ascii="宋体" w:hAnsi="宋体" w:eastAsia="宋体" w:cs="宋体"/>
          <w:kern w:val="0"/>
          <w:sz w:val="28"/>
          <w:szCs w:val="28"/>
        </w:rPr>
        <w:t>”</w:t>
      </w:r>
      <w:r>
        <w:rPr>
          <w:rFonts w:ascii="宋体" w:hAnsi="宋体" w:eastAsia="宋体" w:cs="宋体"/>
          <w:kern w:val="0"/>
          <w:sz w:val="28"/>
          <w:szCs w:val="28"/>
        </w:rPr>
        <w:t>与</w:t>
      </w:r>
      <w:r>
        <w:rPr>
          <w:rFonts w:hint="eastAsia" w:ascii="宋体" w:hAnsi="宋体" w:eastAsia="宋体" w:cs="宋体"/>
          <w:kern w:val="0"/>
          <w:sz w:val="28"/>
          <w:szCs w:val="28"/>
        </w:rPr>
        <w:t>“</w:t>
      </w:r>
      <w:r>
        <w:rPr>
          <w:rFonts w:ascii="宋体" w:hAnsi="宋体" w:eastAsia="宋体" w:cs="宋体"/>
          <w:kern w:val="0"/>
          <w:sz w:val="28"/>
          <w:szCs w:val="28"/>
        </w:rPr>
        <w:t>判定具体超标浓度</w:t>
      </w:r>
      <w:r>
        <w:rPr>
          <w:rFonts w:hint="eastAsia" w:ascii="宋体" w:hAnsi="宋体" w:eastAsia="宋体" w:cs="宋体"/>
          <w:kern w:val="0"/>
          <w:sz w:val="28"/>
          <w:szCs w:val="28"/>
        </w:rPr>
        <w:t>”</w:t>
      </w:r>
      <w:r>
        <w:rPr>
          <w:rFonts w:ascii="宋体" w:hAnsi="宋体" w:eastAsia="宋体" w:cs="宋体"/>
          <w:kern w:val="0"/>
          <w:sz w:val="28"/>
          <w:szCs w:val="28"/>
        </w:rPr>
        <w:t>的双重需求，项目基于机器学习构建了双路径AI预测模型。</w:t>
      </w:r>
    </w:p>
    <w:p w14:paraId="399D7409">
      <w:pPr>
        <w:pStyle w:val="6"/>
        <w:widowControl/>
        <w:spacing w:line="279" w:lineRule="auto"/>
        <w:ind w:left="720" w:firstLine="562" w:firstLineChars="200"/>
        <w:rPr>
          <w:rFonts w:hint="eastAsia" w:ascii="宋体" w:hAnsi="宋体" w:eastAsia="宋体" w:cs="宋体"/>
          <w:sz w:val="28"/>
          <w:szCs w:val="28"/>
        </w:rPr>
      </w:pPr>
      <w:r>
        <w:rPr>
          <w:rFonts w:hint="eastAsia" w:ascii="宋体" w:hAnsi="宋体" w:eastAsia="宋体" w:cs="宋体"/>
          <w:b/>
          <w:bCs/>
          <w:sz w:val="28"/>
          <w:szCs w:val="28"/>
        </w:rPr>
        <w:t>（1）定性识别路径（测种类）：</w:t>
      </w:r>
      <w:r>
        <w:rPr>
          <w:rFonts w:hint="eastAsia" w:ascii="宋体" w:hAnsi="宋体" w:eastAsia="宋体" w:cs="宋体"/>
          <w:sz w:val="28"/>
          <w:szCs w:val="28"/>
        </w:rPr>
        <w:t xml:space="preserve"> 采用多分类算法快速判定样品中是否含有目标色素及其类别。经武夷工夫红茶等复杂基质验证，定性准确率达98.7%。</w:t>
      </w:r>
    </w:p>
    <w:p w14:paraId="608ECCC7">
      <w:pPr>
        <w:pStyle w:val="6"/>
        <w:widowControl/>
        <w:spacing w:line="279" w:lineRule="auto"/>
        <w:ind w:left="720" w:firstLine="562" w:firstLineChars="200"/>
        <w:rPr>
          <w:rFonts w:hint="eastAsia" w:ascii="宋体" w:hAnsi="宋体" w:eastAsia="宋体" w:cs="宋体"/>
          <w:sz w:val="28"/>
          <w:szCs w:val="28"/>
        </w:rPr>
      </w:pPr>
      <w:r>
        <w:rPr>
          <w:rFonts w:hint="eastAsia" w:ascii="宋体" w:hAnsi="宋体" w:eastAsia="宋体" w:cs="宋体"/>
          <w:b/>
          <w:bCs/>
          <w:sz w:val="28"/>
          <w:szCs w:val="28"/>
        </w:rPr>
        <w:t>（2）定量预测路径（测浓度）：</w:t>
      </w:r>
      <w:r>
        <w:rPr>
          <w:rFonts w:hint="eastAsia" w:ascii="宋体" w:hAnsi="宋体" w:eastAsia="宋体" w:cs="宋体"/>
          <w:sz w:val="28"/>
          <w:szCs w:val="28"/>
        </w:rPr>
        <w:t xml:space="preserve"> 采用回归算法建立特征光谱与色素浓度的非线性映射关系，预测相关系数R²≥0.95，精度达±0.01mg/kg，与传统实验室金标准（HPLC）高度一致。</w:t>
      </w:r>
    </w:p>
    <w:p w14:paraId="6EF398C7">
      <w:pPr>
        <w:pStyle w:val="6"/>
        <w:widowControl/>
        <w:spacing w:line="279" w:lineRule="auto"/>
        <w:ind w:firstLine="562" w:firstLineChars="200"/>
        <w:outlineLvl w:val="1"/>
        <w:rPr>
          <w:rFonts w:hint="eastAsia"/>
          <w:sz w:val="28"/>
          <w:szCs w:val="28"/>
        </w:rPr>
      </w:pPr>
      <w:bookmarkStart w:id="24" w:name="_Toc24516"/>
      <w:bookmarkStart w:id="25" w:name="_Toc7023"/>
      <w:r>
        <w:rPr>
          <w:b/>
          <w:bCs/>
          <w:sz w:val="28"/>
          <w:szCs w:val="28"/>
        </w:rPr>
        <w:t>1.3.4 商业落地引擎：云端 SaaS 智能检测平台</w:t>
      </w:r>
      <w:bookmarkEnd w:id="24"/>
      <w:bookmarkEnd w:id="25"/>
      <w:r>
        <w:rPr>
          <w:sz w:val="28"/>
          <w:szCs w:val="28"/>
        </w:rPr>
        <w:t xml:space="preserve"> </w:t>
      </w:r>
    </w:p>
    <w:p w14:paraId="68BCD580">
      <w:pPr>
        <w:widowControl/>
        <w:spacing w:beforeAutospacing="1" w:after="100" w:afterAutospacing="1" w:line="279" w:lineRule="auto"/>
        <w:ind w:firstLine="560" w:firstLineChars="200"/>
        <w:rPr>
          <w:rFonts w:hint="eastAsia" w:ascii="宋体" w:hAnsi="宋体" w:eastAsia="宋体" w:cs="宋体"/>
          <w:kern w:val="0"/>
          <w:sz w:val="28"/>
          <w:szCs w:val="28"/>
        </w:rPr>
      </w:pPr>
      <w:r>
        <w:rPr>
          <w:rFonts w:hint="eastAsia" w:ascii="宋体" w:hAnsi="宋体" w:eastAsia="宋体" w:cs="宋体"/>
          <w:kern w:val="0"/>
          <w:sz w:val="28"/>
          <w:szCs w:val="28"/>
        </w:rPr>
        <w:t>为跨越实验室到生产线的技术壁垒，项目自主开发了轻量化SaaS云端服务平台，打通商业闭环。</w:t>
      </w:r>
    </w:p>
    <w:p w14:paraId="65086E84">
      <w:pPr>
        <w:pStyle w:val="6"/>
        <w:widowControl/>
        <w:spacing w:line="279" w:lineRule="auto"/>
        <w:ind w:left="720" w:firstLine="562" w:firstLineChars="200"/>
        <w:rPr>
          <w:rFonts w:hint="eastAsia" w:ascii="宋体" w:hAnsi="宋体" w:eastAsia="宋体" w:cs="宋体"/>
          <w:sz w:val="28"/>
          <w:szCs w:val="28"/>
        </w:rPr>
      </w:pPr>
      <w:r>
        <w:rPr>
          <w:rFonts w:hint="eastAsia" w:ascii="宋体" w:hAnsi="宋体" w:eastAsia="宋体" w:cs="宋体"/>
          <w:b/>
          <w:bCs/>
          <w:sz w:val="28"/>
          <w:szCs w:val="28"/>
        </w:rPr>
        <w:t>（1）云端算力赋能：</w:t>
      </w:r>
      <w:r>
        <w:rPr>
          <w:rFonts w:hint="eastAsia" w:ascii="宋体" w:hAnsi="宋体" w:eastAsia="宋体" w:cs="宋体"/>
          <w:sz w:val="28"/>
          <w:szCs w:val="28"/>
        </w:rPr>
        <w:t xml:space="preserve"> 企业无需配置本地高性能服务器，检测终端上传光谱数据后，云端平台即可完成毫秒级处理并实时下发可视化报告。</w:t>
      </w:r>
    </w:p>
    <w:p w14:paraId="398DC3A3">
      <w:pPr>
        <w:pStyle w:val="6"/>
        <w:widowControl/>
        <w:spacing w:line="279" w:lineRule="auto"/>
        <w:ind w:left="720" w:firstLine="562" w:firstLineChars="200"/>
        <w:rPr>
          <w:rFonts w:hint="eastAsia" w:ascii="宋体" w:hAnsi="宋体" w:eastAsia="宋体" w:cs="宋体"/>
          <w:sz w:val="28"/>
          <w:szCs w:val="28"/>
        </w:rPr>
      </w:pPr>
      <w:r>
        <w:rPr>
          <w:rFonts w:hint="eastAsia" w:ascii="宋体" w:hAnsi="宋体" w:eastAsia="宋体" w:cs="宋体"/>
          <w:b/>
          <w:bCs/>
          <w:sz w:val="28"/>
          <w:szCs w:val="28"/>
        </w:rPr>
        <w:t>（2）多租户与数据追溯：</w:t>
      </w:r>
      <w:r>
        <w:rPr>
          <w:rFonts w:hint="eastAsia" w:ascii="宋体" w:hAnsi="宋体" w:eastAsia="宋体" w:cs="宋体"/>
          <w:sz w:val="28"/>
          <w:szCs w:val="28"/>
        </w:rPr>
        <w:t xml:space="preserve"> 平台支持多企业独立账号管理，提供生产线质控历史数据看板、批次追溯及合规预警功能，帮助企业以低成本实现质控流程数字化升级。</w:t>
      </w:r>
    </w:p>
    <w:p w14:paraId="5C746D58">
      <w:pPr>
        <w:widowControl/>
        <w:spacing w:beforeAutospacing="1" w:after="100" w:afterAutospacing="1"/>
        <w:rPr>
          <w:rFonts w:hint="eastAsia"/>
        </w:rPr>
      </w:pPr>
    </w:p>
    <w:p w14:paraId="59EAB8E8">
      <w:pPr>
        <w:ind w:firstLine="560" w:firstLineChars="200"/>
        <w:rPr>
          <w:rFonts w:hint="eastAsia" w:ascii="宋体" w:hAnsi="宋体" w:eastAsia="宋体" w:cs="宋体"/>
          <w:sz w:val="28"/>
          <w:szCs w:val="28"/>
        </w:rPr>
      </w:pPr>
    </w:p>
    <w:p w14:paraId="09741CD0">
      <w:pPr>
        <w:rPr>
          <w:rFonts w:hint="eastAsia" w:ascii="宋体" w:hAnsi="宋体" w:eastAsia="宋体" w:cs="宋体"/>
          <w:sz w:val="32"/>
          <w:szCs w:val="32"/>
        </w:rPr>
      </w:pPr>
    </w:p>
    <w:p w14:paraId="45AA8A79">
      <w:pPr>
        <w:jc w:val="center"/>
        <w:rPr>
          <w:rFonts w:hint="eastAsia" w:ascii="黑体" w:hAnsi="黑体" w:eastAsia="黑体" w:cs="黑体"/>
          <w:b/>
          <w:bCs/>
          <w:sz w:val="21"/>
          <w:szCs w:val="21"/>
        </w:rPr>
      </w:pPr>
      <w:r>
        <w:rPr>
          <w:rFonts w:hint="eastAsia" w:ascii="黑体" w:hAnsi="黑体" w:eastAsia="黑体" w:cs="黑体"/>
          <w:b/>
          <w:bCs/>
          <w:sz w:val="21"/>
          <w:szCs w:val="21"/>
        </w:rPr>
        <w:t>图1-16 “硬件 - 算法 - 平台” 一体化解决方案图</w:t>
      </w:r>
    </w:p>
    <w:p w14:paraId="1A7A4ACF">
      <w:pPr>
        <w:jc w:val="center"/>
        <w:rPr>
          <w:rFonts w:hint="eastAsia" w:ascii="黑体" w:hAnsi="黑体" w:eastAsia="黑体" w:cs="黑体"/>
          <w:b/>
          <w:bCs/>
          <w:sz w:val="21"/>
          <w:szCs w:val="21"/>
        </w:rPr>
      </w:pPr>
    </w:p>
    <w:p w14:paraId="4D1CF2D0">
      <w:pPr>
        <w:spacing w:before="240" w:after="240" w:line="240" w:lineRule="auto"/>
        <w:jc w:val="both"/>
        <w:outlineLvl w:val="0"/>
        <w:rPr>
          <w:rFonts w:hint="eastAsia" w:eastAsia="黑体"/>
          <w:b/>
          <w:bCs/>
          <w:sz w:val="32"/>
        </w:rPr>
      </w:pPr>
      <w:bookmarkStart w:id="26" w:name="_Toc13554"/>
      <w:r>
        <w:rPr>
          <w:rFonts w:hint="eastAsia" w:eastAsia="黑体"/>
          <w:b/>
          <w:bCs/>
          <w:sz w:val="32"/>
        </w:rPr>
        <w:t>第二章：产品效益</w:t>
      </w:r>
      <w:bookmarkEnd w:id="26"/>
    </w:p>
    <w:p w14:paraId="18557D7D">
      <w:pPr>
        <w:widowControl/>
        <w:spacing w:beforeAutospacing="1" w:after="100" w:afterAutospacing="1" w:line="279" w:lineRule="auto"/>
        <w:ind w:firstLine="602" w:firstLineChars="200"/>
        <w:outlineLvl w:val="0"/>
        <w:rPr>
          <w:rFonts w:hint="eastAsia" w:ascii="黑体" w:hAnsi="黑体" w:eastAsia="黑体" w:cs="黑体"/>
          <w:b/>
          <w:bCs/>
          <w:kern w:val="0"/>
          <w:sz w:val="30"/>
          <w:szCs w:val="30"/>
          <w:lang w:bidi="ar"/>
        </w:rPr>
      </w:pPr>
      <w:bookmarkStart w:id="27" w:name="_Toc353"/>
      <w:r>
        <w:rPr>
          <w:rFonts w:hint="eastAsia" w:ascii="黑体" w:hAnsi="黑体" w:eastAsia="黑体" w:cs="黑体"/>
          <w:b/>
          <w:bCs/>
          <w:kern w:val="0"/>
          <w:sz w:val="30"/>
          <w:szCs w:val="30"/>
          <w:lang w:bidi="ar"/>
        </w:rPr>
        <w:t>2.1社会效益</w:t>
      </w:r>
      <w:bookmarkEnd w:id="27"/>
      <w:r>
        <w:rPr>
          <w:rFonts w:hint="eastAsia" w:ascii="黑体" w:hAnsi="黑体" w:eastAsia="黑体" w:cs="黑体"/>
          <w:b/>
          <w:bCs/>
          <w:kern w:val="0"/>
          <w:sz w:val="30"/>
          <w:szCs w:val="30"/>
          <w:lang w:bidi="ar"/>
        </w:rPr>
        <w:t xml:space="preserve"> </w:t>
      </w:r>
    </w:p>
    <w:p w14:paraId="31BA3421">
      <w:pPr>
        <w:widowControl/>
        <w:spacing w:beforeAutospacing="1" w:after="100" w:afterAutospacing="1" w:line="279" w:lineRule="auto"/>
        <w:ind w:firstLine="560" w:firstLineChars="200"/>
        <w:rPr>
          <w:rFonts w:hint="eastAsia" w:ascii="黑体" w:hAnsi="黑体" w:eastAsia="黑体" w:cs="黑体"/>
          <w:b/>
          <w:bCs/>
          <w:kern w:val="0"/>
          <w:sz w:val="28"/>
          <w:szCs w:val="28"/>
          <w:lang w:bidi="ar"/>
        </w:rPr>
      </w:pPr>
      <w:bookmarkStart w:id="28" w:name="_Toc18387"/>
      <w:bookmarkStart w:id="29" w:name="_Toc336"/>
      <w:r>
        <w:rPr>
          <w:rFonts w:ascii="宋体" w:hAnsi="宋体" w:eastAsia="宋体" w:cs="宋体"/>
          <w:sz w:val="28"/>
          <w:szCs w:val="28"/>
        </w:rPr>
        <w:t>本项目的社会效益覆盖环境保护、行业变革、食品安全、就业促进、企业责任五个维度。高光谱智能检测技术以</w:t>
      </w:r>
      <w:r>
        <w:rPr>
          <w:rFonts w:hint="eastAsia" w:ascii="宋体" w:hAnsi="宋体" w:eastAsia="宋体" w:cs="宋体"/>
          <w:sz w:val="28"/>
          <w:szCs w:val="28"/>
        </w:rPr>
        <w:t>“</w:t>
      </w:r>
      <w:r>
        <w:rPr>
          <w:rFonts w:ascii="宋体" w:hAnsi="宋体" w:eastAsia="宋体" w:cs="宋体"/>
          <w:sz w:val="28"/>
          <w:szCs w:val="28"/>
        </w:rPr>
        <w:t>无损、无试剂、高精度</w:t>
      </w:r>
      <w:r>
        <w:rPr>
          <w:rFonts w:hint="eastAsia" w:ascii="宋体" w:hAnsi="宋体" w:eastAsia="宋体" w:cs="宋体"/>
          <w:sz w:val="28"/>
          <w:szCs w:val="28"/>
        </w:rPr>
        <w:t>”</w:t>
      </w:r>
      <w:r>
        <w:rPr>
          <w:rFonts w:ascii="宋体" w:hAnsi="宋体" w:eastAsia="宋体" w:cs="宋体"/>
          <w:sz w:val="28"/>
          <w:szCs w:val="28"/>
        </w:rPr>
        <w:t>为核心优势，从根本上改变了传统食品检测对化学试剂的高度依赖，在助力国家</w:t>
      </w:r>
      <w:r>
        <w:rPr>
          <w:rFonts w:hint="eastAsia" w:ascii="宋体" w:hAnsi="宋体" w:eastAsia="宋体" w:cs="宋体"/>
          <w:sz w:val="28"/>
          <w:szCs w:val="28"/>
        </w:rPr>
        <w:t>“</w:t>
      </w:r>
      <w:r>
        <w:rPr>
          <w:rFonts w:ascii="宋体" w:hAnsi="宋体" w:eastAsia="宋体" w:cs="宋体"/>
          <w:sz w:val="28"/>
          <w:szCs w:val="28"/>
        </w:rPr>
        <w:t>双碳</w:t>
      </w:r>
      <w:r>
        <w:rPr>
          <w:rFonts w:hint="eastAsia" w:ascii="宋体" w:hAnsi="宋体" w:eastAsia="宋体" w:cs="宋体"/>
          <w:sz w:val="28"/>
          <w:szCs w:val="28"/>
        </w:rPr>
        <w:t>”</w:t>
      </w:r>
      <w:r>
        <w:rPr>
          <w:rFonts w:ascii="宋体" w:hAnsi="宋体" w:eastAsia="宋体" w:cs="宋体"/>
          <w:sz w:val="28"/>
          <w:szCs w:val="28"/>
        </w:rPr>
        <w:t>目标与</w:t>
      </w:r>
      <w:r>
        <w:rPr>
          <w:rFonts w:hint="eastAsia" w:ascii="宋体" w:hAnsi="宋体" w:eastAsia="宋体" w:cs="宋体"/>
          <w:sz w:val="28"/>
          <w:szCs w:val="28"/>
        </w:rPr>
        <w:t>“</w:t>
      </w:r>
      <w:r>
        <w:rPr>
          <w:rFonts w:ascii="宋体" w:hAnsi="宋体" w:eastAsia="宋体" w:cs="宋体"/>
          <w:sz w:val="28"/>
          <w:szCs w:val="28"/>
        </w:rPr>
        <w:t>健康中国</w:t>
      </w:r>
      <w:r>
        <w:rPr>
          <w:rFonts w:hint="eastAsia" w:ascii="宋体" w:hAnsi="宋体" w:eastAsia="宋体" w:cs="宋体"/>
          <w:sz w:val="28"/>
          <w:szCs w:val="28"/>
        </w:rPr>
        <w:t>”</w:t>
      </w:r>
      <w:r>
        <w:rPr>
          <w:rFonts w:ascii="宋体" w:hAnsi="宋体" w:eastAsia="宋体" w:cs="宋体"/>
          <w:sz w:val="28"/>
          <w:szCs w:val="28"/>
        </w:rPr>
        <w:t>战略落地的同时，也为饮料行业的品控体系升级提供了全新的技术路径。以下从各子维度逐一阐述。</w:t>
      </w:r>
      <w:bookmarkEnd w:id="28"/>
      <w:bookmarkEnd w:id="29"/>
    </w:p>
    <w:p w14:paraId="669037B4">
      <w:pPr>
        <w:widowControl/>
        <w:spacing w:beforeAutospacing="1" w:after="100" w:afterAutospacing="1" w:line="279" w:lineRule="auto"/>
        <w:ind w:firstLine="602" w:firstLineChars="200"/>
        <w:outlineLvl w:val="1"/>
        <w:rPr>
          <w:rFonts w:hint="eastAsia" w:ascii="黑体" w:hAnsi="黑体" w:eastAsia="黑体" w:cs="黑体"/>
          <w:b/>
          <w:bCs/>
          <w:kern w:val="0"/>
          <w:sz w:val="30"/>
          <w:szCs w:val="30"/>
          <w:lang w:bidi="ar"/>
        </w:rPr>
      </w:pPr>
      <w:bookmarkStart w:id="30" w:name="_Toc7813"/>
      <w:r>
        <w:rPr>
          <w:rFonts w:hint="eastAsia" w:ascii="黑体" w:hAnsi="黑体" w:eastAsia="黑体" w:cs="黑体"/>
          <w:b/>
          <w:bCs/>
          <w:kern w:val="0"/>
          <w:sz w:val="30"/>
          <w:szCs w:val="30"/>
          <w:lang w:bidi="ar"/>
        </w:rPr>
        <w:t>2.1.1</w:t>
      </w:r>
      <w:r>
        <w:rPr>
          <w:rFonts w:ascii="黑体" w:hAnsi="黑体" w:eastAsia="黑体" w:cs="黑体"/>
          <w:b/>
          <w:bCs/>
          <w:kern w:val="0"/>
          <w:sz w:val="30"/>
          <w:szCs w:val="30"/>
          <w:lang w:bidi="ar"/>
        </w:rPr>
        <w:t>能源与环境效益</w:t>
      </w:r>
      <w:bookmarkEnd w:id="30"/>
    </w:p>
    <w:p w14:paraId="476E7D74">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在传统食品与饮料检测领域，以高效液相色谱法（HPLC）为代表的金标准虽精度较高，但高度依赖有机溶剂，且单次检测耗时2~4小时，仪器长时间运行带来大量能耗与有毒废液，危废处理负担沉重。在国家加快推进生态文明建设的背景下，向绿色检测转型已是必然趋势。</w:t>
      </w:r>
    </w:p>
    <w:p w14:paraId="430CFBE7">
      <w:pPr>
        <w:widowControl/>
        <w:spacing w:beforeAutospacing="1" w:after="100" w:afterAutospacing="1" w:line="279" w:lineRule="auto"/>
        <w:ind w:firstLine="560" w:firstLineChars="200"/>
        <w:rPr>
          <w:rFonts w:hint="eastAsia" w:ascii="宋体" w:hAnsi="宋体" w:eastAsia="宋体" w:cs="宋体"/>
          <w:sz w:val="24"/>
        </w:rPr>
      </w:pPr>
      <w:r>
        <w:rPr>
          <w:rFonts w:hint="eastAsia" w:ascii="宋体" w:hAnsi="宋体" w:eastAsia="宋体" w:cs="宋体"/>
          <w:sz w:val="28"/>
          <w:szCs w:val="28"/>
        </w:rPr>
        <w:t>本项目采用高光谱成像与机器学习组合技术，全程无需化学前处理，零有机试剂添加，从源头切断化学污染物排放，有效保护水体与大气环境，高度契合国家“双碳”目标。与此同时，单次检测时间从数小时大幅压缩至20秒，效率提升60倍以上，极大降低了单次检测的碳足迹与电力消耗。</w:t>
      </w:r>
      <w:r>
        <w:rPr>
          <w:rFonts w:hint="eastAsia" w:ascii="宋体" w:hAnsi="宋体" w:eastAsia="宋体" w:cs="宋体"/>
          <w:sz w:val="24"/>
        </w:rPr>
        <w:t xml:space="preserve">       </w:t>
      </w:r>
    </w:p>
    <w:p w14:paraId="220CFB7C">
      <w:pPr>
        <w:widowControl/>
        <w:spacing w:beforeAutospacing="1" w:after="100" w:afterAutospacing="1" w:line="279" w:lineRule="auto"/>
        <w:ind w:firstLine="480" w:firstLineChars="200"/>
        <w:rPr>
          <w:rFonts w:hint="eastAsia" w:ascii="宋体" w:hAnsi="宋体" w:eastAsia="宋体" w:cs="宋体"/>
          <w:sz w:val="24"/>
        </w:rPr>
      </w:pPr>
      <w:r>
        <w:rPr>
          <w:rFonts w:hint="eastAsia" w:ascii="宋体" w:hAnsi="宋体" w:eastAsia="宋体" w:cs="宋体"/>
          <w:sz w:val="24"/>
        </w:rPr>
        <w:t xml:space="preserve">       </w:t>
      </w:r>
    </w:p>
    <w:p w14:paraId="3EF0A28C">
      <w:pPr>
        <w:widowControl/>
        <w:spacing w:beforeAutospacing="1" w:after="100" w:afterAutospacing="1"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图2-1 HPLC检测废液污染实景</w:t>
      </w:r>
    </w:p>
    <w:p w14:paraId="36619A71">
      <w:pPr>
        <w:widowControl/>
        <w:spacing w:beforeAutospacing="1" w:after="100" w:afterAutospacing="1" w:line="279" w:lineRule="auto"/>
        <w:ind w:firstLine="560" w:firstLineChars="200"/>
        <w:rPr>
          <w:rFonts w:hint="eastAsia" w:ascii="宋体" w:hAnsi="宋体" w:eastAsia="宋体" w:cs="宋体"/>
          <w:sz w:val="24"/>
        </w:rPr>
      </w:pPr>
      <w:r>
        <w:rPr>
          <w:rFonts w:hint="eastAsia" w:ascii="宋体" w:hAnsi="宋体" w:eastAsia="宋体" w:cs="宋体"/>
          <w:sz w:val="28"/>
          <w:szCs w:val="28"/>
        </w:rPr>
        <w:t>高光谱智能检测技术的推广应用，不仅从源头根除了传统色谱检测中的化学试剂污染，大幅降低了实验室与生产线的综合能耗，更为推动我国食品检测行业向低碳、环保、零污染方向转型提供了切实可行的技术支撑。</w:t>
      </w:r>
    </w:p>
    <w:p w14:paraId="5399EB42">
      <w:pPr>
        <w:widowControl/>
        <w:spacing w:beforeAutospacing="1" w:after="100" w:afterAutospacing="1" w:line="279" w:lineRule="auto"/>
        <w:ind w:firstLine="602" w:firstLineChars="200"/>
        <w:outlineLvl w:val="1"/>
        <w:rPr>
          <w:rFonts w:hint="eastAsia" w:ascii="黑体" w:hAnsi="黑体" w:eastAsia="黑体" w:cs="黑体"/>
          <w:b/>
          <w:bCs/>
          <w:kern w:val="0"/>
          <w:sz w:val="30"/>
          <w:szCs w:val="30"/>
          <w:lang w:bidi="ar"/>
        </w:rPr>
      </w:pPr>
      <w:bookmarkStart w:id="31" w:name="_Toc6355"/>
      <w:r>
        <w:rPr>
          <w:rFonts w:hint="eastAsia" w:ascii="黑体" w:hAnsi="黑体" w:eastAsia="黑体" w:cs="黑体"/>
          <w:b/>
          <w:bCs/>
          <w:kern w:val="0"/>
          <w:sz w:val="30"/>
          <w:szCs w:val="30"/>
          <w:lang w:bidi="ar"/>
        </w:rPr>
        <w:t>2.1.2</w:t>
      </w:r>
      <w:r>
        <w:rPr>
          <w:rFonts w:ascii="黑体" w:hAnsi="黑体" w:eastAsia="黑体" w:cs="黑体"/>
          <w:b/>
          <w:bCs/>
          <w:kern w:val="0"/>
          <w:sz w:val="30"/>
          <w:szCs w:val="30"/>
          <w:lang w:bidi="ar"/>
        </w:rPr>
        <w:t>推动行业变革</w:t>
      </w:r>
      <w:bookmarkEnd w:id="31"/>
    </w:p>
    <w:p w14:paraId="1D22C4F3">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近年来，随着现制茶饮、功能性饮料等细分领域的快速崛起，行业</w:t>
      </w:r>
      <w:r>
        <w:rPr>
          <w:rFonts w:hint="eastAsia" w:ascii="宋体" w:hAnsi="宋体" w:eastAsia="宋体" w:cs="宋体"/>
          <w:kern w:val="0"/>
          <w:sz w:val="28"/>
          <w:szCs w:val="28"/>
          <w:lang w:eastAsia="zh" w:bidi="ar"/>
        </w:rPr>
        <w:t>急</w:t>
      </w:r>
      <w:r>
        <w:rPr>
          <w:rFonts w:hint="eastAsia" w:ascii="宋体" w:hAnsi="宋体" w:eastAsia="宋体" w:cs="宋体"/>
          <w:kern w:val="0"/>
          <w:sz w:val="28"/>
          <w:szCs w:val="28"/>
          <w:lang w:bidi="ar"/>
        </w:rPr>
        <w:t>需与之匹配的高效检测手段。本项目将高光谱成像的物理特征提取与DFA-MSC-Lasso组合预处理策略深度融合，打破了传统检测在时空上的局限。</w:t>
      </w:r>
    </w:p>
    <w:p w14:paraId="06E03943">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该检测体系具备对温度、湿度等环境因素的自适应校正能力，不再受限于高标准实验室环境，可灵活部署于生产流水线与市场监管前线。在“健康中国”战略引领下，食品监管正向“严标准、全覆盖”转型，本技术填补了新兴饮料品类缺乏高效通用筛查手段的技术空白。其模块化体系实现了检测方法的“可复用”，不仅能以高精度完成复杂基质饮料中的色素定性与定量分析，更为果汁、植物蛋白饮品等整个大食品行业的检测技术革新提供了全新的智能化路径。</w:t>
      </w:r>
    </w:p>
    <w:p w14:paraId="26B63CA6">
      <w:pPr>
        <w:widowControl/>
        <w:spacing w:beforeAutospacing="1" w:after="100" w:afterAutospacing="1" w:line="279" w:lineRule="auto"/>
        <w:ind w:firstLine="562" w:firstLineChars="200"/>
        <w:outlineLvl w:val="1"/>
        <w:rPr>
          <w:rFonts w:hint="eastAsia" w:ascii="黑体" w:hAnsi="黑体" w:eastAsia="黑体" w:cs="黑体"/>
          <w:b/>
          <w:bCs/>
          <w:kern w:val="0"/>
          <w:sz w:val="28"/>
          <w:szCs w:val="28"/>
          <w:lang w:bidi="ar"/>
        </w:rPr>
      </w:pPr>
      <w:bookmarkStart w:id="32" w:name="_Toc11099"/>
      <w:r>
        <w:rPr>
          <w:rFonts w:hint="eastAsia" w:ascii="黑体" w:hAnsi="黑体" w:eastAsia="黑体" w:cs="黑体"/>
          <w:b/>
          <w:bCs/>
          <w:kern w:val="0"/>
          <w:sz w:val="28"/>
          <w:szCs w:val="28"/>
          <w:lang w:bidi="ar"/>
        </w:rPr>
        <w:t>2.1.3保障食品安全与行业增效</w:t>
      </w:r>
      <w:bookmarkEnd w:id="32"/>
    </w:p>
    <w:p w14:paraId="4F7A9A81">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传统HPLC检测单样成本高达500~800元，加之破坏性取样方式，导致许多饮料企业在品控上“心有余而力不足”，也给不法商贩超范围、超限量使用柠檬黄、胭脂红、日落黄等人工合成色素留下了可乘之机。</w:t>
      </w:r>
    </w:p>
    <w:p w14:paraId="17790B5C">
      <w:pPr>
        <w:widowControl/>
        <w:spacing w:beforeAutospacing="1" w:after="100" w:afterAutospacing="1" w:line="279" w:lineRule="auto"/>
        <w:rPr>
          <w:rFonts w:hint="eastAsia"/>
        </w:rPr>
      </w:pPr>
    </w:p>
    <w:p w14:paraId="4C330954">
      <w:pPr>
        <w:widowControl/>
        <w:spacing w:beforeAutospacing="1" w:after="100" w:afterAutospacing="1" w:line="279" w:lineRule="auto"/>
        <w:rPr>
          <w:rFonts w:hint="eastAsia" w:ascii="宋体" w:hAnsi="宋体" w:eastAsia="宋体" w:cs="宋体"/>
          <w:sz w:val="24"/>
        </w:rPr>
      </w:pPr>
    </w:p>
    <w:p w14:paraId="50128B0F">
      <w:pPr>
        <w:widowControl/>
        <w:spacing w:beforeAutospacing="1" w:after="100" w:afterAutospacing="1" w:line="279" w:lineRule="auto"/>
        <w:jc w:val="center"/>
        <w:rPr>
          <w:rFonts w:hint="eastAsia" w:ascii="黑体" w:hAnsi="黑体" w:eastAsia="黑体" w:cs="黑体"/>
          <w:b/>
          <w:bCs/>
          <w:sz w:val="21"/>
          <w:szCs w:val="21"/>
        </w:rPr>
      </w:pPr>
      <w:r>
        <w:rPr>
          <w:rFonts w:hint="eastAsia" w:ascii="黑体" w:hAnsi="黑体" w:eastAsia="黑体" w:cs="黑体"/>
          <w:b/>
          <w:bCs/>
          <w:sz w:val="21"/>
          <w:szCs w:val="21"/>
        </w:rPr>
        <w:t>图2-2 深圳抽检：网红饮品色素超标现场</w:t>
      </w:r>
    </w:p>
    <w:p w14:paraId="7FF90F56">
      <w:pPr>
        <w:widowControl/>
        <w:spacing w:beforeAutospacing="1" w:after="100" w:afterAutospacing="1" w:line="279" w:lineRule="auto"/>
        <w:ind w:firstLine="560" w:firstLineChars="200"/>
        <w:rPr>
          <w:rFonts w:hint="eastAsia" w:ascii="宋体" w:hAnsi="宋体" w:eastAsia="宋体" w:cs="宋体"/>
          <w:sz w:val="28"/>
          <w:szCs w:val="28"/>
        </w:rPr>
      </w:pPr>
      <w:bookmarkStart w:id="33" w:name="_Toc18904"/>
      <w:r>
        <w:rPr>
          <w:rFonts w:hint="eastAsia" w:ascii="宋体" w:hAnsi="宋体" w:eastAsia="宋体" w:cs="宋体"/>
          <w:sz w:val="28"/>
          <w:szCs w:val="28"/>
        </w:rPr>
        <w:t>本项目技术的落地，直接为保障消费者健康安全筑牢了防线。高通量快速筛查使违规添加无处遁形，有效维护了食品的合规性与市场诚信。在经济效益层面，检测成本降至传统方法的1/10以下，全程无损避免了高附加值样品的浪费。企业由此节约的合规与质控成本，可进一步投入产品研发与品质提升，在千亿级饮料市场竞争中获得更高的品牌溢价与消费者信任。</w:t>
      </w:r>
    </w:p>
    <w:p w14:paraId="516329F2">
      <w:pPr>
        <w:widowControl/>
        <w:spacing w:beforeAutospacing="1" w:after="100" w:afterAutospacing="1" w:line="279" w:lineRule="auto"/>
        <w:ind w:firstLine="562" w:firstLineChars="200"/>
        <w:outlineLvl w:val="1"/>
        <w:rPr>
          <w:rFonts w:hint="eastAsia" w:ascii="黑体" w:hAnsi="黑体" w:eastAsia="黑体" w:cs="黑体"/>
          <w:b/>
          <w:bCs/>
          <w:kern w:val="0"/>
          <w:sz w:val="28"/>
          <w:szCs w:val="28"/>
          <w:lang w:bidi="ar"/>
        </w:rPr>
      </w:pPr>
      <w:r>
        <w:rPr>
          <w:rFonts w:hint="eastAsia" w:ascii="黑体" w:hAnsi="黑体" w:eastAsia="黑体" w:cs="黑体"/>
          <w:b/>
          <w:bCs/>
          <w:kern w:val="0"/>
          <w:sz w:val="28"/>
          <w:szCs w:val="28"/>
          <w:lang w:bidi="ar"/>
        </w:rPr>
        <w:t>2.1.4</w:t>
      </w:r>
      <w:r>
        <w:rPr>
          <w:rFonts w:ascii="黑体" w:hAnsi="黑体" w:eastAsia="黑体" w:cs="黑体"/>
          <w:b/>
          <w:bCs/>
          <w:kern w:val="0"/>
          <w:sz w:val="28"/>
          <w:szCs w:val="28"/>
          <w:lang w:bidi="ar"/>
        </w:rPr>
        <w:t xml:space="preserve"> 增加就业机会</w:t>
      </w:r>
      <w:bookmarkEnd w:id="33"/>
    </w:p>
    <w:p w14:paraId="162381F8">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本项目的研发与推广，在提升食品安全保障能力的同时，也为社会创造了多层次的高质量就业岗位。随着高光谱色素检测系统的产业化落地，将系统性带动软硬件工程师、算法分析师、光学专家及一线生产制造与售后维护人员等岗位需求。为持续扩充各类饮料基质的特征库，项目还将建立专项数据采集与标注团队，有效缓解高端制造业与交叉学科人才的就业压力，并通过系统岗前培训，促进从业人员在“人工智能+食品检测”前沿领域的技能提升与职业发展。</w:t>
      </w:r>
    </w:p>
    <w:p w14:paraId="1C867610">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sz w:val="28"/>
          <w:szCs w:val="28"/>
        </w:rPr>
        <w:t>在核心技术成熟并形成产业化规模后，团队制定了清晰的“五年计划”。</w:t>
      </w:r>
    </w:p>
    <w:p w14:paraId="04E11A8E">
      <w:pPr>
        <w:widowControl/>
        <w:spacing w:beforeAutospacing="1" w:after="100" w:afterAutospacing="1" w:line="279" w:lineRule="auto"/>
        <w:ind w:firstLine="422" w:firstLineChars="200"/>
        <w:jc w:val="center"/>
        <w:rPr>
          <w:rFonts w:hint="eastAsia" w:ascii="黑体" w:hAnsi="黑体" w:eastAsia="黑体" w:cs="黑体"/>
          <w:b/>
          <w:bCs/>
          <w:kern w:val="0"/>
          <w:sz w:val="21"/>
          <w:szCs w:val="21"/>
          <w:lang w:bidi="ar"/>
        </w:rPr>
      </w:pPr>
      <w:r>
        <w:rPr>
          <w:rFonts w:hint="eastAsia" w:ascii="黑体" w:hAnsi="黑体" w:eastAsia="黑体" w:cs="黑体"/>
          <w:b/>
          <w:bCs/>
          <w:sz w:val="21"/>
          <w:szCs w:val="21"/>
        </w:rPr>
        <w:t>图 2-3 项目产业化带动就业岗位预测</w:t>
      </w:r>
    </w:p>
    <w:p w14:paraId="2CE91AB8">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sz w:val="28"/>
          <w:szCs w:val="28"/>
        </w:rPr>
        <w:t>基于深度市场调研，团队已锁定武夷工夫红茶、果汁、植物蛋白等高潜饮料细分市场。预计投入市场第一年，可部署十套高光谱智能检测终端，覆盖至少5个大型饮料生产基地，实现在线质控。随着特征库持续扩充与算法迭代，未来五年内检测服务与设备销售将成倍增长，有望占据国内饮料色素快检领域的主要市场份额。</w:t>
      </w:r>
    </w:p>
    <w:p w14:paraId="0C9124FC">
      <w:pPr>
        <w:widowControl/>
        <w:spacing w:beforeAutospacing="1" w:after="100" w:afterAutospacing="1" w:line="360" w:lineRule="auto"/>
        <w:ind w:firstLine="562" w:firstLineChars="200"/>
        <w:jc w:val="both"/>
        <w:outlineLvl w:val="1"/>
        <w:rPr>
          <w:rFonts w:hint="eastAsia" w:ascii="黑体" w:hAnsi="黑体" w:eastAsia="黑体" w:cs="黑体"/>
          <w:b/>
          <w:bCs/>
          <w:sz w:val="28"/>
          <w:szCs w:val="28"/>
        </w:rPr>
      </w:pPr>
      <w:bookmarkStart w:id="34" w:name="_Toc7379"/>
      <w:r>
        <w:rPr>
          <w:rFonts w:hint="eastAsia" w:ascii="黑体" w:hAnsi="黑体" w:eastAsia="黑体" w:cs="黑体"/>
          <w:b/>
          <w:bCs/>
          <w:sz w:val="28"/>
          <w:szCs w:val="28"/>
        </w:rPr>
        <w:t>2.1.5. 企业社会责任</w:t>
      </w:r>
      <w:bookmarkEnd w:id="34"/>
    </w:p>
    <w:p w14:paraId="7F9C8C27">
      <w:pPr>
        <w:widowControl/>
        <w:spacing w:beforeAutospacing="1" w:after="100" w:afterAutospacing="1" w:line="279" w:lineRule="auto"/>
        <w:ind w:firstLine="562" w:firstLineChars="200"/>
        <w:outlineLvl w:val="2"/>
        <w:rPr>
          <w:rFonts w:hint="eastAsia" w:ascii="宋体" w:hAnsi="宋体" w:eastAsia="宋体" w:cs="宋体"/>
          <w:kern w:val="0"/>
          <w:sz w:val="28"/>
          <w:szCs w:val="28"/>
          <w:lang w:bidi="ar"/>
        </w:rPr>
      </w:pPr>
      <w:bookmarkStart w:id="35" w:name="_Toc18041"/>
      <w:r>
        <w:rPr>
          <w:rFonts w:hint="eastAsia" w:ascii="宋体" w:hAnsi="宋体" w:eastAsia="宋体" w:cs="宋体"/>
          <w:b/>
          <w:bCs/>
          <w:kern w:val="0"/>
          <w:sz w:val="28"/>
          <w:szCs w:val="28"/>
          <w:lang w:bidi="ar"/>
        </w:rPr>
        <w:t>（1）</w:t>
      </w:r>
      <w:bookmarkEnd w:id="35"/>
      <w:r>
        <w:rPr>
          <w:rFonts w:hint="eastAsia" w:ascii="宋体" w:hAnsi="宋体" w:eastAsia="宋体" w:cs="宋体"/>
          <w:b/>
          <w:bCs/>
          <w:kern w:val="0"/>
          <w:sz w:val="28"/>
          <w:szCs w:val="28"/>
          <w:lang w:bidi="ar"/>
        </w:rPr>
        <w:t>明礼诚信，捍卫食品安全</w:t>
      </w:r>
      <w:r>
        <w:rPr>
          <w:rFonts w:hint="eastAsia" w:ascii="宋体" w:hAnsi="宋体" w:eastAsia="宋体" w:cs="宋体"/>
          <w:kern w:val="0"/>
          <w:sz w:val="28"/>
          <w:szCs w:val="28"/>
          <w:lang w:bidi="ar"/>
        </w:rPr>
        <w:t xml:space="preserve"> </w:t>
      </w:r>
    </w:p>
    <w:p w14:paraId="7FDA19F9">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sz w:val="28"/>
          <w:szCs w:val="28"/>
        </w:rPr>
        <w:t>食品安全关乎国计民生，合成色素滥用是破坏市场诚信体系的顽疾。本项目恪守商业道德，确保设备技术参数真实有效，致力于为监管部门和良心企业提供精准可靠的检测工具，打击伪劣产品，维护饮料市场的公平秩序与人民群众的生命健康。</w:t>
      </w:r>
    </w:p>
    <w:p w14:paraId="4206F8C1">
      <w:pPr>
        <w:widowControl/>
        <w:spacing w:beforeAutospacing="1" w:after="100" w:afterAutospacing="1" w:line="279" w:lineRule="auto"/>
        <w:ind w:firstLine="562" w:firstLineChars="200"/>
        <w:outlineLvl w:val="2"/>
        <w:rPr>
          <w:rFonts w:hint="eastAsia" w:ascii="宋体" w:hAnsi="宋体" w:eastAsia="宋体" w:cs="宋体"/>
          <w:kern w:val="0"/>
          <w:sz w:val="28"/>
          <w:szCs w:val="28"/>
          <w:lang w:bidi="ar"/>
        </w:rPr>
      </w:pPr>
      <w:bookmarkStart w:id="36" w:name="_Toc6128"/>
      <w:r>
        <w:rPr>
          <w:rFonts w:hint="eastAsia" w:ascii="宋体" w:hAnsi="宋体" w:eastAsia="宋体" w:cs="宋体"/>
          <w:b/>
          <w:bCs/>
          <w:kern w:val="0"/>
          <w:sz w:val="28"/>
          <w:szCs w:val="28"/>
          <w:lang w:bidi="ar"/>
        </w:rPr>
        <w:t>（2）</w:t>
      </w:r>
      <w:bookmarkEnd w:id="36"/>
      <w:r>
        <w:rPr>
          <w:rFonts w:hint="eastAsia" w:ascii="宋体" w:hAnsi="宋体" w:eastAsia="宋体" w:cs="宋体"/>
          <w:b/>
          <w:bCs/>
          <w:kern w:val="0"/>
          <w:sz w:val="28"/>
          <w:szCs w:val="28"/>
          <w:lang w:bidi="ar"/>
        </w:rPr>
        <w:t>科学发展，依法纳税</w:t>
      </w:r>
      <w:r>
        <w:rPr>
          <w:rFonts w:hint="eastAsia" w:ascii="宋体" w:hAnsi="宋体" w:eastAsia="宋体" w:cs="宋体"/>
          <w:kern w:val="0"/>
          <w:sz w:val="28"/>
          <w:szCs w:val="28"/>
          <w:lang w:bidi="ar"/>
        </w:rPr>
        <w:t xml:space="preserve"> </w:t>
      </w:r>
    </w:p>
    <w:p w14:paraId="16BC497C">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sz w:val="28"/>
          <w:szCs w:val="28"/>
        </w:rPr>
        <w:t>本项目以科研成果的高效转化与商业盈利为目标，肩负带动地方经济、增加国家税收的社会使命。团队将坚持科学发展理念，持续扩大市场覆盖面，从单品类检测向全品类食品添加剂检测拓展，在实现企业高速增长的同时，兼顾产业链上下游的协同发展。</w:t>
      </w:r>
    </w:p>
    <w:p w14:paraId="78791C7B">
      <w:pPr>
        <w:widowControl/>
        <w:spacing w:beforeAutospacing="1" w:after="100" w:afterAutospacing="1" w:line="279" w:lineRule="auto"/>
        <w:ind w:firstLine="562" w:firstLineChars="200"/>
        <w:outlineLvl w:val="2"/>
        <w:rPr>
          <w:rFonts w:hint="eastAsia" w:ascii="宋体" w:hAnsi="宋体" w:eastAsia="宋体" w:cs="宋体"/>
          <w:kern w:val="0"/>
          <w:sz w:val="28"/>
          <w:szCs w:val="28"/>
          <w:lang w:bidi="ar"/>
        </w:rPr>
      </w:pPr>
      <w:bookmarkStart w:id="37" w:name="_Toc21954"/>
      <w:r>
        <w:rPr>
          <w:rFonts w:hint="eastAsia" w:ascii="宋体" w:hAnsi="宋体" w:eastAsia="宋体" w:cs="宋体"/>
          <w:b/>
          <w:bCs/>
          <w:kern w:val="0"/>
          <w:sz w:val="28"/>
          <w:szCs w:val="28"/>
          <w:lang w:bidi="ar"/>
        </w:rPr>
        <w:t>（3）</w:t>
      </w:r>
      <w:bookmarkEnd w:id="37"/>
      <w:r>
        <w:rPr>
          <w:rFonts w:hint="eastAsia" w:ascii="宋体" w:hAnsi="宋体" w:eastAsia="宋体" w:cs="宋体"/>
          <w:b/>
          <w:bCs/>
          <w:kern w:val="0"/>
          <w:sz w:val="28"/>
          <w:szCs w:val="28"/>
          <w:lang w:bidi="ar"/>
        </w:rPr>
        <w:t>绿色检测，节约资源</w:t>
      </w:r>
    </w:p>
    <w:p w14:paraId="3E295580">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sz w:val="28"/>
          <w:szCs w:val="28"/>
        </w:rPr>
        <w:t>我国食品工业体量庞大，传统破坏性检测每天消耗大量试剂并损毁大量优质饮品。本项目秉持“无损、零耗材”理念，每年可为行业节约大量检测耗材与电力资源，完全契合国家发展循环经济与建设节约型社会的战略导向。</w:t>
      </w:r>
    </w:p>
    <w:p w14:paraId="3FD26D18">
      <w:pPr>
        <w:widowControl/>
        <w:spacing w:beforeAutospacing="1" w:after="100" w:afterAutospacing="1" w:line="279" w:lineRule="auto"/>
        <w:ind w:firstLine="562" w:firstLineChars="200"/>
        <w:outlineLvl w:val="2"/>
        <w:rPr>
          <w:rFonts w:hint="eastAsia" w:ascii="宋体" w:hAnsi="宋体" w:eastAsia="宋体" w:cs="宋体"/>
          <w:b/>
          <w:bCs/>
          <w:kern w:val="0"/>
          <w:sz w:val="28"/>
          <w:szCs w:val="28"/>
          <w:lang w:bidi="ar"/>
        </w:rPr>
      </w:pPr>
      <w:bookmarkStart w:id="38" w:name="_Toc27995"/>
      <w:r>
        <w:rPr>
          <w:rFonts w:hint="eastAsia" w:ascii="宋体" w:hAnsi="宋体" w:eastAsia="宋体" w:cs="宋体"/>
          <w:b/>
          <w:bCs/>
          <w:kern w:val="0"/>
          <w:sz w:val="28"/>
          <w:szCs w:val="28"/>
          <w:lang w:bidi="ar"/>
        </w:rPr>
        <w:t>（4）</w:t>
      </w:r>
      <w:bookmarkEnd w:id="38"/>
      <w:r>
        <w:rPr>
          <w:rFonts w:hint="eastAsia" w:ascii="宋体" w:hAnsi="宋体" w:eastAsia="宋体" w:cs="宋体"/>
          <w:b/>
          <w:bCs/>
          <w:kern w:val="0"/>
          <w:sz w:val="28"/>
          <w:szCs w:val="28"/>
          <w:lang w:bidi="ar"/>
        </w:rPr>
        <w:t>科技助农，反哺社会</w:t>
      </w:r>
    </w:p>
    <w:p w14:paraId="767E525D">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sz w:val="28"/>
          <w:szCs w:val="28"/>
        </w:rPr>
        <w:t>饮料产业的源头是广大茶农与果农。通过技术手段保障终端饮品的高品质与安全性，能够反向增强市场对优质茶叶、水果等农产品的需求，间接发挥“科技助农、产业扶贫”的积极作用。企业盈利后，团队也将积极参与社会慈善，设立专项食品安全科普基金，回馈社会。</w:t>
      </w:r>
    </w:p>
    <w:p w14:paraId="7136DA51">
      <w:pPr>
        <w:widowControl/>
        <w:spacing w:beforeAutospacing="1" w:after="100" w:afterAutospacing="1" w:line="279" w:lineRule="auto"/>
        <w:ind w:firstLine="562" w:firstLineChars="200"/>
        <w:outlineLvl w:val="2"/>
        <w:rPr>
          <w:rFonts w:hint="eastAsia" w:ascii="宋体" w:hAnsi="宋体" w:eastAsia="宋体" w:cs="宋体"/>
          <w:kern w:val="0"/>
          <w:sz w:val="28"/>
          <w:szCs w:val="28"/>
          <w:lang w:bidi="ar"/>
        </w:rPr>
      </w:pPr>
      <w:bookmarkStart w:id="39" w:name="_Toc15448"/>
      <w:r>
        <w:rPr>
          <w:rFonts w:hint="eastAsia" w:ascii="宋体" w:hAnsi="宋体" w:eastAsia="宋体" w:cs="宋体"/>
          <w:b/>
          <w:bCs/>
          <w:kern w:val="0"/>
          <w:sz w:val="28"/>
          <w:szCs w:val="28"/>
          <w:lang w:bidi="ar"/>
        </w:rPr>
        <w:t>（5）</w:t>
      </w:r>
      <w:bookmarkEnd w:id="39"/>
      <w:r>
        <w:rPr>
          <w:rFonts w:hint="eastAsia" w:ascii="宋体" w:hAnsi="宋体" w:eastAsia="宋体" w:cs="宋体"/>
          <w:b/>
          <w:bCs/>
          <w:kern w:val="0"/>
          <w:sz w:val="28"/>
          <w:szCs w:val="28"/>
          <w:lang w:bidi="ar"/>
        </w:rPr>
        <w:t>保护环境，守护自然</w:t>
      </w:r>
      <w:r>
        <w:rPr>
          <w:rFonts w:hint="eastAsia" w:ascii="宋体" w:hAnsi="宋体" w:eastAsia="宋体" w:cs="宋体"/>
          <w:kern w:val="0"/>
          <w:sz w:val="28"/>
          <w:szCs w:val="28"/>
          <w:lang w:bidi="ar"/>
        </w:rPr>
        <w:t xml:space="preserve"> </w:t>
      </w:r>
    </w:p>
    <w:p w14:paraId="2D3F5DDD">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sz w:val="28"/>
          <w:szCs w:val="28"/>
        </w:rPr>
        <w:t>面对日益严峻的全球环境挑战，消除化学检测废液排放是检测行业不可推卸的责任。本项目坚决摒弃对环境不友好的传统检测耗材，以“光与算法”的清洁方式完成质控，从根本上杜绝有毒有机溶剂对土壤与水质的二次污染。</w:t>
      </w:r>
    </w:p>
    <w:p w14:paraId="4924286B">
      <w:pPr>
        <w:widowControl/>
        <w:spacing w:beforeAutospacing="1" w:after="100" w:afterAutospacing="1" w:line="279" w:lineRule="auto"/>
        <w:ind w:firstLine="562" w:firstLineChars="200"/>
        <w:outlineLvl w:val="2"/>
        <w:rPr>
          <w:rFonts w:hint="eastAsia" w:ascii="宋体" w:hAnsi="宋体" w:eastAsia="宋体" w:cs="宋体"/>
          <w:b/>
          <w:bCs/>
          <w:kern w:val="0"/>
          <w:sz w:val="28"/>
          <w:szCs w:val="28"/>
          <w:lang w:bidi="ar"/>
        </w:rPr>
      </w:pPr>
      <w:bookmarkStart w:id="40" w:name="_Toc13114"/>
      <w:r>
        <w:rPr>
          <w:rFonts w:hint="eastAsia" w:ascii="宋体" w:hAnsi="宋体" w:eastAsia="宋体" w:cs="宋体"/>
          <w:b/>
          <w:bCs/>
          <w:kern w:val="0"/>
          <w:sz w:val="28"/>
          <w:szCs w:val="28"/>
          <w:lang w:bidi="ar"/>
        </w:rPr>
        <w:t>（6）</w:t>
      </w:r>
      <w:bookmarkEnd w:id="40"/>
      <w:r>
        <w:rPr>
          <w:rFonts w:hint="eastAsia" w:ascii="宋体" w:hAnsi="宋体" w:eastAsia="宋体" w:cs="宋体"/>
          <w:b/>
          <w:bCs/>
          <w:kern w:val="0"/>
          <w:sz w:val="28"/>
          <w:szCs w:val="28"/>
          <w:lang w:bidi="ar"/>
        </w:rPr>
        <w:t>自主创新，掌握核心技术</w:t>
      </w:r>
    </w:p>
    <w:p w14:paraId="7BC1E009">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sz w:val="28"/>
          <w:szCs w:val="28"/>
        </w:rPr>
        <w:t>长期以来，我国高端分析检测仪器高度依赖进口，容易受制于人。本项目通过自主构建参数可调的双路径模型与模块化检测体系，牢牢掌握了高光谱结合机器学习在食品检测领域的核心技术。团队将持续加大研发投入，深化产学研合作，努力将企业打造为民族检测仪器装备创新的中坚力量。</w:t>
      </w:r>
    </w:p>
    <w:p w14:paraId="3641B6B6">
      <w:pPr>
        <w:widowControl/>
        <w:spacing w:beforeAutospacing="1" w:after="100" w:afterAutospacing="1" w:line="279" w:lineRule="auto"/>
        <w:ind w:firstLine="602" w:firstLineChars="200"/>
        <w:outlineLvl w:val="0"/>
        <w:rPr>
          <w:rFonts w:hint="eastAsia" w:ascii="黑体" w:hAnsi="黑体" w:eastAsia="黑体" w:cs="黑体"/>
          <w:b/>
          <w:bCs/>
          <w:kern w:val="0"/>
          <w:sz w:val="30"/>
          <w:szCs w:val="30"/>
          <w:lang w:bidi="ar"/>
        </w:rPr>
      </w:pPr>
      <w:bookmarkStart w:id="41" w:name="_Toc14636"/>
      <w:r>
        <w:rPr>
          <w:rFonts w:hint="eastAsia" w:ascii="黑体" w:hAnsi="黑体" w:eastAsia="黑体" w:cs="黑体"/>
          <w:b/>
          <w:bCs/>
          <w:kern w:val="0"/>
          <w:sz w:val="30"/>
          <w:szCs w:val="30"/>
          <w:lang w:bidi="ar"/>
        </w:rPr>
        <w:t>2.2 经济效益</w:t>
      </w:r>
      <w:bookmarkEnd w:id="41"/>
      <w:r>
        <w:rPr>
          <w:rFonts w:hint="eastAsia" w:ascii="黑体" w:hAnsi="黑体" w:eastAsia="黑体" w:cs="黑体"/>
          <w:b/>
          <w:bCs/>
          <w:kern w:val="0"/>
          <w:sz w:val="30"/>
          <w:szCs w:val="30"/>
          <w:lang w:bidi="ar"/>
        </w:rPr>
        <w:t xml:space="preserve"> </w:t>
      </w:r>
    </w:p>
    <w:p w14:paraId="3C7FED76">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团队于2025年初完成系统性市场调研，深入梳理了饮料行业色素检测的需求分布与市场体量，覆盖现制茶饮、果汁饮品、植物蛋白饮料、功能性饮料等主要细分品类，并与多家饮料生产企业、第三方检测机构及市场监管部门建立了初步合作意向，形成了较为成熟的商业化落地路径。</w:t>
      </w:r>
    </w:p>
    <w:p w14:paraId="3DB083DC">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本项目技术产品的市场化应用主要面向企业端品控服务与监管端快速筛查两大场景，计划2027年起正式进入市场。在企业端，以现制茶饮、果汁及植物蛋白饮品为重点切入方向，初期目标服务客户7家，单客户年均检测服务收入约40万元；在监管端，面向地方市场监管局提供快速筛查设备及数据服务，初期目标合作单位3家，单合同金额约40万元。综合预测，2027年市场毛收入可达420万元，毛利润约315.0万元。</w:t>
      </w:r>
    </w:p>
    <w:p w14:paraId="68FC70A2">
      <w:pPr>
        <w:widowControl/>
        <w:spacing w:beforeAutospacing="1" w:after="100" w:afterAutospacing="1" w:line="279" w:lineRule="auto"/>
        <w:ind w:firstLine="422" w:firstLineChars="200"/>
        <w:jc w:val="center"/>
        <w:rPr>
          <w:rFonts w:hint="eastAsia" w:ascii="黑体" w:hAnsi="黑体" w:eastAsia="黑体" w:cs="黑体"/>
          <w:b/>
          <w:bCs/>
          <w:kern w:val="0"/>
          <w:sz w:val="21"/>
          <w:szCs w:val="21"/>
          <w:lang w:bidi="ar"/>
        </w:rPr>
      </w:pPr>
      <w:r>
        <w:rPr>
          <w:rFonts w:hint="eastAsia" w:ascii="黑体" w:hAnsi="黑体" w:eastAsia="黑体" w:cs="黑体"/>
          <w:b/>
          <w:bCs/>
          <w:kern w:val="0"/>
          <w:sz w:val="21"/>
          <w:szCs w:val="21"/>
          <w:lang w:bidi="ar"/>
        </w:rPr>
        <w:t xml:space="preserve">表2-2 </w:t>
      </w:r>
      <w:r>
        <w:rPr>
          <w:rFonts w:hint="eastAsia" w:ascii="黑体" w:hAnsi="黑体" w:eastAsia="黑体" w:cs="黑体"/>
          <w:b/>
          <w:bCs/>
          <w:sz w:val="21"/>
          <w:szCs w:val="21"/>
        </w:rPr>
        <w:t>未来五年发展测算表</w:t>
      </w:r>
    </w:p>
    <w:p w14:paraId="6F12BE21">
      <w:pPr>
        <w:widowControl/>
        <w:spacing w:beforeAutospacing="1" w:after="100" w:afterAutospacing="1" w:line="279" w:lineRule="auto"/>
      </w:pPr>
    </w:p>
    <w:p w14:paraId="54EA8ADA">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未来五年内，随着技术迭代升级与特征库的持续扩充，本系统将快速适配更多饮料基质与色素类型，服务客户数量与覆盖场景逐年扩大，年毛收入与毛利润均呈显著增长态势。与此同时，相较于传统HPLC检测单样500~800元的高昂成本，本技术将检测成本压缩至传统方法的1/10以下，可为合作企业每年节约品控支出数十万元，极大释放企业研发与品质提升的资金空间，推动饮料行业检测体系向智能化、绿色化升级。</w:t>
      </w:r>
    </w:p>
    <w:p w14:paraId="73096A33">
      <w:pPr>
        <w:widowControl/>
        <w:spacing w:beforeAutospacing="1" w:after="100" w:afterAutospacing="1" w:line="279" w:lineRule="auto"/>
        <w:rPr>
          <w:rFonts w:hint="eastAsia"/>
        </w:rPr>
      </w:pPr>
    </w:p>
    <w:p w14:paraId="37B66B06">
      <w:pPr>
        <w:widowControl/>
        <w:spacing w:beforeAutospacing="1" w:after="100" w:afterAutospacing="1" w:line="279" w:lineRule="auto"/>
        <w:ind w:firstLine="602" w:firstLineChars="200"/>
        <w:outlineLvl w:val="0"/>
        <w:rPr>
          <w:rFonts w:hint="eastAsia" w:ascii="黑体" w:hAnsi="黑体" w:eastAsia="黑体" w:cs="黑体"/>
          <w:b/>
          <w:bCs/>
          <w:kern w:val="0"/>
          <w:sz w:val="30"/>
          <w:szCs w:val="30"/>
          <w:lang w:bidi="ar"/>
        </w:rPr>
      </w:pPr>
      <w:bookmarkStart w:id="42" w:name="_Toc26865"/>
      <w:r>
        <w:rPr>
          <w:rFonts w:hint="eastAsia" w:ascii="黑体" w:hAnsi="黑体" w:eastAsia="黑体" w:cs="黑体"/>
          <w:b/>
          <w:bCs/>
          <w:kern w:val="0"/>
          <w:sz w:val="30"/>
          <w:szCs w:val="30"/>
          <w:lang w:bidi="ar"/>
        </w:rPr>
        <w:t>2.3 教育引领</w:t>
      </w:r>
      <w:bookmarkEnd w:id="42"/>
    </w:p>
    <w:p w14:paraId="42CDFB43">
      <w:pPr>
        <w:widowControl/>
        <w:spacing w:beforeAutospacing="1" w:after="100" w:afterAutospacing="1" w:line="360" w:lineRule="auto"/>
        <w:ind w:firstLine="562" w:firstLineChars="200"/>
        <w:jc w:val="both"/>
        <w:outlineLvl w:val="1"/>
        <w:rPr>
          <w:rFonts w:hint="eastAsia" w:ascii="黑体" w:hAnsi="黑体" w:eastAsia="黑体" w:cs="黑体"/>
          <w:b/>
          <w:bCs/>
          <w:sz w:val="28"/>
          <w:szCs w:val="28"/>
        </w:rPr>
      </w:pPr>
      <w:bookmarkStart w:id="43" w:name="_Toc26818"/>
      <w:r>
        <w:rPr>
          <w:rFonts w:hint="eastAsia" w:ascii="黑体" w:hAnsi="黑体" w:eastAsia="黑体" w:cs="黑体"/>
          <w:b/>
          <w:bCs/>
          <w:sz w:val="28"/>
          <w:szCs w:val="28"/>
        </w:rPr>
        <w:t>2.3.1促进科技成果转化</w:t>
      </w:r>
      <w:bookmarkEnd w:id="43"/>
    </w:p>
    <w:p w14:paraId="0369FD30">
      <w:pPr>
        <w:widowControl/>
        <w:spacing w:beforeAutospacing="1" w:after="100" w:afterAutospacing="1" w:line="279" w:lineRule="auto"/>
        <w:ind w:firstLine="560" w:firstLineChars="200"/>
        <w:rPr>
          <w:rFonts w:hint="eastAsia" w:ascii="宋体" w:hAnsi="宋体" w:eastAsia="宋体" w:cs="宋体"/>
          <w:color w:val="1F2329"/>
          <w:kern w:val="0"/>
          <w:sz w:val="28"/>
          <w:szCs w:val="28"/>
          <w:lang w:val="en-US" w:eastAsia="zh-CN" w:bidi="ar"/>
        </w:rPr>
      </w:pPr>
      <w:r>
        <w:rPr>
          <w:rFonts w:hint="eastAsia" w:ascii="宋体" w:hAnsi="宋体" w:eastAsia="宋体" w:cs="宋体"/>
          <w:color w:val="1F2329"/>
          <w:kern w:val="0"/>
          <w:sz w:val="28"/>
          <w:szCs w:val="28"/>
          <w:lang w:val="en-US" w:eastAsia="zh-CN" w:bidi="ar"/>
        </w:rPr>
        <w:t>针对食品安全检测领域对智能化、绿色化升级的实际需求，团队研发了 “高光谱成像 + 机器学习” 的饮料合成色素智能检测系统，核心是把前沿的光谱分析技术和人工智能算法结合起来，让这些前沿技术真正用到实际检测工作中。​</w:t>
      </w:r>
    </w:p>
    <w:p w14:paraId="0ED8E2AC">
      <w:pPr>
        <w:widowControl/>
        <w:spacing w:beforeAutospacing="1" w:after="100" w:afterAutospacing="1" w:line="279" w:lineRule="auto"/>
        <w:ind w:leftChars="0" w:firstLine="560" w:firstLineChars="200"/>
        <w:rPr>
          <w:rFonts w:hint="eastAsia" w:ascii="宋体" w:hAnsi="宋体" w:eastAsia="宋体" w:cs="宋体"/>
          <w:color w:val="1F2329"/>
          <w:kern w:val="0"/>
          <w:sz w:val="28"/>
          <w:szCs w:val="28"/>
          <w:lang w:val="en-US" w:eastAsia="zh-CN" w:bidi="ar"/>
        </w:rPr>
      </w:pPr>
      <w:r>
        <w:rPr>
          <w:rFonts w:hint="eastAsia" w:ascii="宋体" w:hAnsi="宋体" w:eastAsia="宋体" w:cs="宋体"/>
          <w:color w:val="1F2329"/>
          <w:kern w:val="0"/>
          <w:sz w:val="28"/>
          <w:szCs w:val="28"/>
          <w:lang w:val="en-US" w:eastAsia="zh-CN" w:bidi="ar"/>
        </w:rPr>
        <w:t>项目先以武夷工夫红茶茶饮为示范，先解决了茶饮检测中的技术难题，再顺着 “以点带面” 的思路慢慢拓展 —— 后续会逐步覆盖果汁、植物蛋白饮品、功能性饮料等多个品类，最终能满足饮料从生产、流通到监管的全链条检测需求。​</w:t>
      </w:r>
    </w:p>
    <w:p w14:paraId="0B0FA6BA">
      <w:pPr>
        <w:widowControl/>
        <w:spacing w:beforeAutospacing="1" w:after="100" w:afterAutospacing="1" w:line="279" w:lineRule="auto"/>
        <w:ind w:leftChars="0" w:firstLine="560" w:firstLineChars="200"/>
        <w:rPr>
          <w:rFonts w:hint="eastAsia" w:ascii="宋体" w:hAnsi="宋体" w:eastAsia="宋体" w:cs="宋体"/>
          <w:kern w:val="0"/>
          <w:sz w:val="28"/>
          <w:szCs w:val="28"/>
          <w:lang w:bidi="ar"/>
        </w:rPr>
      </w:pPr>
      <w:r>
        <w:rPr>
          <w:rFonts w:hint="eastAsia" w:ascii="宋体" w:hAnsi="宋体" w:eastAsia="宋体" w:cs="宋体"/>
          <w:color w:val="1F2329"/>
          <w:kern w:val="0"/>
          <w:sz w:val="28"/>
          <w:szCs w:val="28"/>
          <w:lang w:val="en-US" w:eastAsia="zh-CN" w:bidi="ar"/>
        </w:rPr>
        <w:t>技术层面，我们</w:t>
      </w:r>
      <w:r>
        <w:rPr>
          <w:rFonts w:hint="eastAsia" w:ascii="宋体" w:hAnsi="宋体" w:eastAsia="宋体" w:cs="宋体"/>
          <w:color w:val="1F2329"/>
          <w:kern w:val="0"/>
          <w:sz w:val="28"/>
          <w:szCs w:val="28"/>
          <w:lang w:val="en-US" w:eastAsia="zh" w:bidi="ar"/>
        </w:rPr>
        <w:t>使用</w:t>
      </w:r>
      <w:r>
        <w:rPr>
          <w:rFonts w:hint="eastAsia" w:ascii="宋体" w:hAnsi="宋体" w:eastAsia="宋体" w:cs="宋体"/>
          <w:color w:val="1F2329"/>
          <w:kern w:val="0"/>
          <w:sz w:val="28"/>
          <w:szCs w:val="28"/>
          <w:lang w:val="en-US" w:eastAsia="zh-CN" w:bidi="ar"/>
        </w:rPr>
        <w:t xml:space="preserve"> DFA-MSC-Lasso 组合预处理策略和双路径智能检测模型，形成精准又高效的核心技术优势。等这项成果真正转化落地，预计检测服务加上智能检测设备的销售额，合计产值能超过千万元。这不仅能给饮料产业链的质量管控升级提供有力支持，还能带动上下游技术服务、设备制造等相关产业一起发展，带来明显的经济拉动作用。</w:t>
      </w:r>
    </w:p>
    <w:p w14:paraId="647115E2">
      <w:pPr>
        <w:widowControl/>
        <w:spacing w:beforeAutospacing="1" w:after="100" w:afterAutospacing="1" w:line="360" w:lineRule="auto"/>
        <w:ind w:firstLine="562" w:firstLineChars="200"/>
        <w:jc w:val="both"/>
        <w:outlineLvl w:val="1"/>
        <w:rPr>
          <w:rFonts w:hint="eastAsia" w:ascii="黑体" w:hAnsi="黑体" w:eastAsia="黑体" w:cs="黑体"/>
          <w:b/>
          <w:bCs/>
          <w:sz w:val="28"/>
          <w:szCs w:val="28"/>
        </w:rPr>
      </w:pPr>
      <w:bookmarkStart w:id="44" w:name="_Toc3916"/>
      <w:r>
        <w:rPr>
          <w:rFonts w:hint="eastAsia" w:ascii="黑体" w:hAnsi="黑体" w:eastAsia="黑体" w:cs="黑体"/>
          <w:b/>
          <w:bCs/>
          <w:sz w:val="28"/>
          <w:szCs w:val="28"/>
        </w:rPr>
        <w:t>2.3.2推动协同育人与科研立项</w:t>
      </w:r>
      <w:bookmarkEnd w:id="44"/>
    </w:p>
    <w:p w14:paraId="458D01B7">
      <w:pPr>
        <w:widowControl/>
        <w:spacing w:beforeAutospacing="1" w:after="100" w:afterAutospacing="1" w:line="279" w:lineRule="auto"/>
        <w:ind w:firstLine="560" w:firstLineChars="200"/>
        <w:rPr>
          <w:rFonts w:hint="eastAsia"/>
        </w:rPr>
      </w:pPr>
      <w:r>
        <w:rPr>
          <w:rFonts w:hint="eastAsia" w:ascii="宋体" w:hAnsi="宋体" w:eastAsia="宋体" w:cs="宋体"/>
          <w:color w:val="1F2329"/>
          <w:kern w:val="0"/>
          <w:sz w:val="28"/>
          <w:szCs w:val="28"/>
          <w:lang w:val="en-US" w:eastAsia="zh-CN" w:bidi="ar"/>
        </w:rPr>
        <w:t>项目还有效推动了校企合作、产教融合与协同育人的深入实践。我们为学校师生，还有食品检测企业、市场监管部门的专家技术人员，搭建了一起研发、交流技术的平台，形成了校企导师共同指导、联合培育项目的新协同育人方式。从项目</w:t>
      </w:r>
      <w:r>
        <w:rPr>
          <w:rFonts w:hint="eastAsia" w:ascii="宋体" w:hAnsi="宋体" w:eastAsia="宋体" w:cs="宋体"/>
          <w:color w:val="1F2329"/>
          <w:kern w:val="0"/>
          <w:sz w:val="28"/>
          <w:szCs w:val="28"/>
          <w:lang w:val="en-US" w:eastAsia="zh" w:bidi="ar"/>
        </w:rPr>
        <w:t>立项</w:t>
      </w:r>
      <w:r>
        <w:rPr>
          <w:rFonts w:hint="eastAsia" w:ascii="宋体" w:hAnsi="宋体" w:eastAsia="宋体" w:cs="宋体"/>
          <w:color w:val="1F2329"/>
          <w:kern w:val="0"/>
          <w:sz w:val="28"/>
          <w:szCs w:val="28"/>
          <w:lang w:val="en-US" w:eastAsia="zh-CN" w:bidi="ar"/>
        </w:rPr>
        <w:t>到慢慢成长，校企双方通过深度合作，互相补充资源、实现产业和教育共同发展</w:t>
      </w:r>
      <w:r>
        <w:rPr>
          <w:rFonts w:hint="eastAsia" w:ascii="宋体" w:hAnsi="宋体" w:eastAsia="宋体" w:cs="宋体"/>
          <w:color w:val="1F2329"/>
          <w:kern w:val="0"/>
          <w:sz w:val="28"/>
          <w:szCs w:val="28"/>
          <w:lang w:val="en-US" w:eastAsia="zh" w:bidi="ar"/>
        </w:rPr>
        <w:t>。</w:t>
      </w:r>
      <w:r>
        <w:rPr>
          <w:rFonts w:hint="eastAsia" w:ascii="宋体" w:hAnsi="宋体" w:eastAsia="宋体" w:cs="宋体"/>
          <w:color w:val="1F2329"/>
          <w:kern w:val="0"/>
          <w:sz w:val="28"/>
          <w:szCs w:val="28"/>
          <w:lang w:val="en-US" w:eastAsia="zh-CN" w:bidi="ar"/>
        </w:rPr>
        <w:t>还切实培养了学生在机器学习建模、系统开发、数据分析以及市场推广等方面的实际动手能力和创新思维。目前，团队已经围绕核心算法和检测方法积累了一定的技术经验，正在积极准备相关发明专利和软件著作权的申请工作，为项目筑牢知识产权保护和学术支撑的基础。</w:t>
      </w:r>
      <w:r>
        <w:rPr>
          <w:rFonts w:hint="eastAsia" w:ascii="宋体" w:hAnsi="宋体" w:eastAsia="宋体" w:cs="宋体"/>
          <w:kern w:val="0"/>
          <w:sz w:val="28"/>
          <w:szCs w:val="28"/>
          <w:lang w:bidi="ar"/>
        </w:rPr>
        <w:t xml:space="preserve">   </w:t>
      </w:r>
    </w:p>
    <w:p w14:paraId="3360BFEF">
      <w:pPr>
        <w:widowControl/>
        <w:spacing w:beforeAutospacing="1" w:after="100" w:afterAutospacing="1" w:line="360" w:lineRule="auto"/>
        <w:ind w:firstLine="562" w:firstLineChars="200"/>
        <w:jc w:val="both"/>
        <w:outlineLvl w:val="1"/>
        <w:rPr>
          <w:rFonts w:hint="eastAsia" w:ascii="黑体" w:hAnsi="黑体" w:eastAsia="黑体" w:cs="黑体"/>
          <w:b/>
          <w:bCs/>
          <w:sz w:val="28"/>
          <w:szCs w:val="28"/>
        </w:rPr>
      </w:pPr>
      <w:bookmarkStart w:id="45" w:name="_Toc5517"/>
      <w:r>
        <w:rPr>
          <w:rFonts w:hint="eastAsia" w:ascii="黑体" w:hAnsi="黑体" w:eastAsia="黑体" w:cs="黑体"/>
          <w:b/>
          <w:bCs/>
          <w:sz w:val="28"/>
          <w:szCs w:val="28"/>
        </w:rPr>
        <w:t>2.3.3 促进人才培养与专业能力发挥</w:t>
      </w:r>
      <w:bookmarkEnd w:id="45"/>
    </w:p>
    <w:p w14:paraId="0510FF6E">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通过项目全周期的深度参与，团队成员充分发挥软件工程、信息科学与技术、电子商务等专业特长，将系统开发、算法优化、数据处理与商业推广等能力有机融入各环节：软件工程专业成员主导检测系统的架构设计与算法工程化实现，信息科学与技术专业成员负责高光谱数据的采集、处理与模型训练，电子商务专业成员则聚焦市场调研、商业模式设计与推广路径规划，三者协同互补，形成了完整的“技术研发—系统实现—市场落地</w:t>
      </w:r>
      <w:r>
        <w:rPr>
          <w:rFonts w:ascii="宋体" w:hAnsi="宋体" w:eastAsia="宋体" w:cs="宋体"/>
          <w:kern w:val="0"/>
          <w:sz w:val="28"/>
          <w:szCs w:val="28"/>
          <w:lang w:bidi="ar"/>
        </w:rPr>
        <w:t>”</w:t>
      </w:r>
      <w:r>
        <w:rPr>
          <w:rFonts w:hint="eastAsia" w:ascii="宋体" w:hAnsi="宋体" w:eastAsia="宋体" w:cs="宋体"/>
          <w:kern w:val="0"/>
          <w:sz w:val="28"/>
          <w:szCs w:val="28"/>
          <w:lang w:bidi="ar"/>
        </w:rPr>
        <w:t>闭环。</w:t>
      </w:r>
    </w:p>
    <w:p w14:paraId="5D33EFA5">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这一实践过程大幅提升了师生的科技创新与工程实践能力，有效促进了复合型科技创新创业人才的培养，同时培育了团队成员守护食品安全、服务社会民生的责任意识。项目成果落地推广后，还将面向饮料生产企业质控人员与基层市场监管执法人员开展智能检测技术应用培训，推动行业检测范式从高成本、低效率的传统模式向智能化、绿色化方向全面升级，发挥良好的行业示范带动作用。</w:t>
      </w:r>
    </w:p>
    <w:p w14:paraId="37AD7C98">
      <w:pPr>
        <w:widowControl/>
        <w:spacing w:beforeAutospacing="1" w:after="100" w:afterAutospacing="1" w:line="279" w:lineRule="auto"/>
        <w:outlineLvl w:val="0"/>
        <w:rPr>
          <w:rFonts w:hint="eastAsia" w:ascii="黑体" w:hAnsi="黑体" w:eastAsia="黑体" w:cs="黑体"/>
          <w:b/>
          <w:bCs/>
          <w:kern w:val="0"/>
          <w:sz w:val="32"/>
          <w:szCs w:val="32"/>
          <w:lang w:bidi="ar"/>
        </w:rPr>
      </w:pPr>
      <w:bookmarkStart w:id="46" w:name="_Toc2274"/>
      <w:r>
        <w:rPr>
          <w:rFonts w:hint="eastAsia" w:ascii="黑体" w:hAnsi="黑体" w:eastAsia="黑体" w:cs="黑体"/>
          <w:b/>
          <w:bCs/>
          <w:kern w:val="0"/>
          <w:sz w:val="32"/>
          <w:szCs w:val="32"/>
          <w:lang w:bidi="ar"/>
        </w:rPr>
        <w:t>第三章：可行性分析</w:t>
      </w:r>
      <w:bookmarkEnd w:id="46"/>
    </w:p>
    <w:p w14:paraId="08C68001">
      <w:pPr>
        <w:widowControl/>
        <w:spacing w:beforeAutospacing="1" w:after="100" w:afterAutospacing="1" w:line="279" w:lineRule="auto"/>
        <w:ind w:firstLine="560" w:firstLineChars="200"/>
        <w:rPr>
          <w:rFonts w:hint="eastAsia" w:ascii="黑体" w:hAnsi="黑体" w:eastAsia="黑体" w:cs="黑体"/>
          <w:b/>
          <w:bCs/>
          <w:kern w:val="0"/>
          <w:sz w:val="32"/>
          <w:szCs w:val="32"/>
          <w:lang w:bidi="ar"/>
        </w:rPr>
      </w:pPr>
      <w:r>
        <w:rPr>
          <w:rFonts w:hint="eastAsia" w:ascii="宋体" w:hAnsi="宋体" w:eastAsia="宋体" w:cs="宋体"/>
          <w:kern w:val="0"/>
          <w:sz w:val="28"/>
          <w:szCs w:val="28"/>
          <w:lang w:bidi="ar"/>
        </w:rPr>
        <w:t>本章从市场、技术、经济和运营四个层面，对项目落地实施的现实基础进行系统分析，重点回答三个问题：有没有市场、技术能不能做成、商业上是否跑得通。</w:t>
      </w:r>
    </w:p>
    <w:p w14:paraId="77290727">
      <w:pPr>
        <w:ind w:firstLine="602" w:firstLineChars="200"/>
        <w:outlineLvl w:val="0"/>
        <w:rPr>
          <w:rFonts w:hint="eastAsia" w:ascii="黑体" w:hAnsi="黑体" w:eastAsia="黑体" w:cs="黑体"/>
          <w:b/>
          <w:bCs/>
          <w:sz w:val="30"/>
          <w:szCs w:val="30"/>
        </w:rPr>
      </w:pPr>
      <w:bookmarkStart w:id="47" w:name="_Toc15680"/>
      <w:r>
        <w:rPr>
          <w:rFonts w:hint="eastAsia" w:ascii="黑体" w:hAnsi="黑体" w:eastAsia="黑体" w:cs="黑体"/>
          <w:b/>
          <w:bCs/>
          <w:sz w:val="30"/>
          <w:szCs w:val="30"/>
        </w:rPr>
        <w:t>3.1 市场可行性</w:t>
      </w:r>
      <w:bookmarkEnd w:id="47"/>
    </w:p>
    <w:p w14:paraId="35FC74EB">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食品安全检测并非可选需求，而是饮料产业持续发展的“刚需基础设施”。在消费升级与监管趋严的双重背景下，市场对快速、低成本、可规模化检测技术的需求正在集中释放。本节将从市场规模、行业痛点、目标客户与竞争优势四个方面，论证本项目进入市场的现实可行性。</w:t>
      </w:r>
    </w:p>
    <w:p w14:paraId="5B80574B">
      <w:pPr>
        <w:ind w:firstLine="562" w:firstLineChars="200"/>
        <w:outlineLvl w:val="1"/>
        <w:rPr>
          <w:rFonts w:hint="eastAsia" w:ascii="黑体" w:hAnsi="黑体" w:eastAsia="黑体" w:cs="黑体"/>
          <w:b/>
          <w:bCs/>
          <w:sz w:val="28"/>
          <w:szCs w:val="28"/>
        </w:rPr>
      </w:pPr>
      <w:bookmarkStart w:id="48" w:name="_Toc11446"/>
      <w:r>
        <w:rPr>
          <w:rFonts w:hint="eastAsia" w:ascii="黑体" w:hAnsi="黑体" w:eastAsia="黑体" w:cs="黑体"/>
          <w:b/>
          <w:bCs/>
          <w:sz w:val="28"/>
          <w:szCs w:val="28"/>
        </w:rPr>
        <w:t>3.1.1 市场规模与增量空间广阔</w:t>
      </w:r>
      <w:bookmarkEnd w:id="48"/>
    </w:p>
    <w:p w14:paraId="0D2BCCA2">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近年来，我国饮料市场规模持续扩张，2024年整体规模已突破1.21万亿元。伴随“健康中国”战略的深入推进以及消费者健康意识的持续提升，“零添加”“天然成分”逐渐成为饮料消费的核心关键词。</w:t>
      </w:r>
    </w:p>
    <w:p w14:paraId="7265D86B">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庞大的产业体量意味着庞大的检测需求。无论是原料进厂、生产过程控制，还是成品出厂与市场抽检，饮料行业对食品安全检测的依赖程度持续提升，为快速检测设备提供了稳定而广阔的市场基础。</w:t>
      </w:r>
    </w:p>
    <w:p w14:paraId="3BAFE244">
      <w:pPr>
        <w:widowControl/>
        <w:spacing w:beforeAutospacing="1" w:after="100" w:afterAutospacing="1" w:line="279" w:lineRule="auto"/>
        <w:ind w:firstLine="440" w:firstLineChars="200"/>
        <w:rPr>
          <w:rFonts w:hint="eastAsia"/>
        </w:rPr>
      </w:pPr>
    </w:p>
    <w:p w14:paraId="20060A85">
      <w:pPr>
        <w:widowControl/>
        <w:spacing w:beforeAutospacing="1" w:after="100" w:afterAutospacing="1"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图3-1 中国饮料市场规模以及增速预测（2020-2026E）</w:t>
      </w:r>
    </w:p>
    <w:p w14:paraId="3C24F353">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其中，现制茶饮、功能性饮料等新兴细分领域增长尤为显著，年增长率超过15%。这类产品更新快、批次多、配方复杂，对“快检”“全检”的依赖程度更高，正在成为检测技术升级的主要驱动力。</w:t>
      </w:r>
    </w:p>
    <w:p w14:paraId="6EF80A0A">
      <w:pPr>
        <w:ind w:firstLine="562" w:firstLineChars="200"/>
        <w:outlineLvl w:val="1"/>
        <w:rPr>
          <w:rFonts w:hint="eastAsia" w:ascii="黑体" w:hAnsi="黑体" w:eastAsia="黑体" w:cs="黑体"/>
          <w:b/>
          <w:bCs/>
          <w:sz w:val="28"/>
          <w:szCs w:val="28"/>
        </w:rPr>
      </w:pPr>
      <w:bookmarkStart w:id="49" w:name="_Toc9249"/>
      <w:r>
        <w:rPr>
          <w:rFonts w:hint="eastAsia" w:ascii="黑体" w:hAnsi="黑体" w:eastAsia="黑体" w:cs="黑体"/>
          <w:b/>
          <w:bCs/>
          <w:sz w:val="28"/>
          <w:szCs w:val="28"/>
        </w:rPr>
        <w:t xml:space="preserve">3.1.2 </w:t>
      </w:r>
      <w:bookmarkEnd w:id="49"/>
      <w:r>
        <w:rPr>
          <w:rFonts w:hint="eastAsia" w:ascii="黑体" w:hAnsi="黑体" w:eastAsia="黑体" w:cs="黑体"/>
          <w:b/>
          <w:bCs/>
          <w:sz w:val="28"/>
          <w:szCs w:val="28"/>
        </w:rPr>
        <w:t>传统检测跟不上行业节奏</w:t>
      </w:r>
    </w:p>
    <w:p w14:paraId="2AA3BA51">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市场高速扩张的同时，行业内部的检测能力却明显滞后。为降低成本、改善外观，一些企业超范围或超限量使用柠檬黄、胭脂红、日落黄等人工合成色素的问题日益突出。</w:t>
      </w:r>
    </w:p>
    <w:p w14:paraId="5AD14346">
      <w:pPr>
        <w:widowControl/>
        <w:spacing w:beforeAutospacing="1" w:after="100" w:afterAutospacing="1" w:line="279" w:lineRule="auto"/>
        <w:ind w:firstLine="440" w:firstLineChars="200"/>
        <w:rPr>
          <w:rFonts w:hint="eastAsia"/>
        </w:rPr>
      </w:pPr>
    </w:p>
    <w:p w14:paraId="3ECE99D1">
      <w:pPr>
        <w:widowControl/>
        <w:spacing w:beforeAutospacing="1" w:after="100" w:afterAutospacing="1"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图3-2 传统HPLC检测技术痛点</w:t>
      </w:r>
    </w:p>
    <w:p w14:paraId="65168AC8">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目前，行业色素检测仍高度依赖高效液相色谱法（HPLC）。该方法虽然准确，但存在明显短板：</w:t>
      </w:r>
    </w:p>
    <w:p w14:paraId="15BAB4B5">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(1)检测一次需要2—4小时，单样成本高达500—800元，同时依赖有毒有机试剂并采用破坏性取样方式。</w:t>
      </w:r>
    </w:p>
    <w:p w14:paraId="45C4EA56">
      <w:pPr>
        <w:widowControl/>
        <w:spacing w:beforeAutospacing="1" w:after="100" w:afterAutospacing="1" w:line="279" w:lineRule="auto"/>
        <w:ind w:firstLine="560" w:firstLineChars="200"/>
        <w:rPr>
          <w:rFonts w:hint="eastAsia" w:ascii="黑体" w:hAnsi="黑体" w:eastAsia="黑体" w:cs="黑体"/>
          <w:b/>
          <w:bCs/>
          <w:sz w:val="21"/>
          <w:szCs w:val="21"/>
        </w:rPr>
      </w:pPr>
      <w:r>
        <w:rPr>
          <w:rFonts w:hint="eastAsia" w:ascii="宋体" w:hAnsi="宋体" w:eastAsia="宋体" w:cs="宋体"/>
          <w:kern w:val="0"/>
          <w:sz w:val="28"/>
          <w:szCs w:val="28"/>
          <w:lang w:bidi="ar"/>
        </w:rPr>
        <w:t>(2)这种慢、贵、重实验室依赖的检测模式，无法适配现代饮料生产线“高频次、快节奏、多基质”的现实需求，</w:t>
      </w:r>
      <w:r>
        <w:rPr>
          <w:rFonts w:hint="eastAsia" w:ascii="宋体" w:hAnsi="宋体" w:eastAsia="宋体" w:cs="宋体"/>
          <w:kern w:val="0"/>
          <w:sz w:val="28"/>
          <w:szCs w:val="28"/>
          <w:lang w:eastAsia="zh" w:bidi="ar"/>
        </w:rPr>
        <w:t>造成</w:t>
      </w:r>
      <w:r>
        <w:rPr>
          <w:rFonts w:hint="eastAsia" w:ascii="宋体" w:hAnsi="宋体" w:eastAsia="宋体" w:cs="宋体"/>
          <w:kern w:val="0"/>
          <w:sz w:val="28"/>
          <w:szCs w:val="28"/>
          <w:lang w:bidi="ar"/>
        </w:rPr>
        <w:t>生产端和监管端在实时风险防控上长期存在技术空白。</w:t>
      </w:r>
    </w:p>
    <w:p w14:paraId="7541467D">
      <w:pPr>
        <w:widowControl/>
        <w:spacing w:beforeAutospacing="1" w:after="100" w:afterAutospacing="1" w:line="279" w:lineRule="auto"/>
        <w:ind w:firstLine="562" w:firstLineChars="200"/>
        <w:outlineLvl w:val="1"/>
        <w:rPr>
          <w:rFonts w:hint="eastAsia" w:ascii="黑体" w:hAnsi="黑体" w:eastAsia="黑体" w:cs="黑体"/>
          <w:b/>
          <w:bCs/>
          <w:sz w:val="28"/>
          <w:szCs w:val="28"/>
        </w:rPr>
      </w:pPr>
      <w:bookmarkStart w:id="50" w:name="_Toc28646"/>
      <w:r>
        <w:rPr>
          <w:rFonts w:hint="eastAsia" w:ascii="黑体" w:hAnsi="黑体" w:eastAsia="黑体" w:cs="黑体"/>
          <w:b/>
          <w:bCs/>
          <w:sz w:val="28"/>
          <w:szCs w:val="28"/>
        </w:rPr>
        <w:t xml:space="preserve">3.1.3 </w:t>
      </w:r>
      <w:bookmarkEnd w:id="50"/>
      <w:r>
        <w:rPr>
          <w:rFonts w:hint="eastAsia" w:ascii="黑体" w:hAnsi="黑体" w:eastAsia="黑体" w:cs="黑体"/>
          <w:b/>
          <w:bCs/>
          <w:sz w:val="28"/>
          <w:szCs w:val="28"/>
        </w:rPr>
        <w:t>客户明确，需求真实</w:t>
      </w:r>
    </w:p>
    <w:p w14:paraId="50A5D9E4">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本项目面向的客户群体清晰，且具备明确的购买动机。</w:t>
      </w:r>
    </w:p>
    <w:p w14:paraId="302C3D64">
      <w:pPr>
        <w:widowControl/>
        <w:spacing w:beforeAutospacing="1" w:after="100" w:afterAutospacing="1" w:line="279" w:lineRule="auto"/>
        <w:rPr>
          <w:rFonts w:hint="eastAsia"/>
        </w:rPr>
      </w:pPr>
    </w:p>
    <w:p w14:paraId="08D79BFA">
      <w:pPr>
        <w:widowControl/>
        <w:spacing w:beforeAutospacing="1" w:after="100" w:afterAutospacing="1"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图3-4 目标市场应用场景双轮矩阵</w:t>
      </w:r>
    </w:p>
    <w:p w14:paraId="67F4EB8B">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在企业端（B端），中小型饮料生产企业与现制茶饮头部品牌面临着巨大的食品安全舆情风险。一旦发生问题，品牌损失远高于检测成本。因此，引入快速、低成本、无损检测手段，实现从“抽检”向“批次全检”的转变，已成为行业共识。</w:t>
      </w:r>
    </w:p>
    <w:p w14:paraId="48DE9125">
      <w:pPr>
        <w:widowControl/>
        <w:spacing w:beforeAutospacing="1" w:after="100" w:afterAutospacing="1" w:line="279" w:lineRule="auto"/>
        <w:ind w:firstLine="560" w:firstLineChars="200"/>
        <w:rPr>
          <w:rFonts w:hint="eastAsia" w:ascii="黑体" w:hAnsi="黑体" w:eastAsia="黑体" w:cs="黑体"/>
          <w:b/>
          <w:bCs/>
          <w:sz w:val="21"/>
          <w:szCs w:val="21"/>
        </w:rPr>
      </w:pPr>
      <w:r>
        <w:rPr>
          <w:rFonts w:hint="eastAsia" w:ascii="宋体" w:hAnsi="宋体" w:eastAsia="宋体" w:cs="宋体"/>
          <w:kern w:val="0"/>
          <w:sz w:val="28"/>
          <w:szCs w:val="28"/>
          <w:lang w:bidi="ar"/>
        </w:rPr>
        <w:t>在监管端（G端），市场监督管理局、海关等执法部门日常面临大量样品的现场筛查任务。本项目无需复杂前处理、可快速出结果的特性，非常适合移动执法和现场快检场景，市场应用路径清晰可行。</w:t>
      </w:r>
    </w:p>
    <w:p w14:paraId="38BE209C">
      <w:pPr>
        <w:widowControl/>
        <w:spacing w:beforeAutospacing="1" w:after="100" w:afterAutospacing="1" w:line="279" w:lineRule="auto"/>
        <w:ind w:firstLine="562" w:firstLineChars="200"/>
        <w:outlineLvl w:val="1"/>
        <w:rPr>
          <w:rFonts w:hint="eastAsia" w:ascii="黑体" w:hAnsi="黑体" w:eastAsia="黑体" w:cs="黑体"/>
          <w:b/>
          <w:bCs/>
          <w:sz w:val="28"/>
          <w:szCs w:val="28"/>
        </w:rPr>
      </w:pPr>
      <w:bookmarkStart w:id="51" w:name="_Toc12406"/>
      <w:r>
        <w:rPr>
          <w:rFonts w:hint="eastAsia" w:ascii="黑体" w:hAnsi="黑体" w:eastAsia="黑体" w:cs="黑体"/>
          <w:b/>
          <w:bCs/>
          <w:sz w:val="28"/>
          <w:szCs w:val="28"/>
        </w:rPr>
        <w:t xml:space="preserve">3.1.4 </w:t>
      </w:r>
      <w:bookmarkEnd w:id="51"/>
      <w:r>
        <w:rPr>
          <w:rFonts w:hint="eastAsia" w:ascii="黑体" w:hAnsi="黑体" w:eastAsia="黑体" w:cs="黑体"/>
          <w:b/>
          <w:bCs/>
          <w:sz w:val="28"/>
          <w:szCs w:val="28"/>
        </w:rPr>
        <w:t>技术优势形成市场护城河</w:t>
      </w:r>
    </w:p>
    <w:p w14:paraId="1FAA4418">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针对现有检测供给与现实需求之间的明显错配，本项目创新性融合了高光谱成像“图谱合一”的特征提取能力与深度学习算法的高效分析能力。</w:t>
      </w:r>
    </w:p>
    <w:p w14:paraId="6540B0CF">
      <w:pPr>
        <w:widowControl/>
        <w:spacing w:beforeAutospacing="1" w:after="100" w:afterAutospacing="1" w:line="279" w:lineRule="auto"/>
        <w:ind w:firstLine="560" w:firstLineChars="200"/>
        <w:rPr>
          <w:rFonts w:hint="eastAsia" w:ascii="宋体" w:hAnsi="宋体" w:eastAsia="宋体" w:cs="宋体"/>
          <w:sz w:val="28"/>
          <w:szCs w:val="28"/>
        </w:rPr>
      </w:pPr>
    </w:p>
    <w:p w14:paraId="03831A04">
      <w:pPr>
        <w:widowControl/>
        <w:spacing w:beforeAutospacing="1" w:after="100" w:afterAutospacing="1" w:line="279" w:lineRule="auto"/>
        <w:jc w:val="center"/>
        <w:rPr>
          <w:rFonts w:hint="eastAsia" w:ascii="黑体" w:hAnsi="黑体" w:eastAsia="黑体" w:cs="黑体"/>
          <w:b/>
          <w:bCs/>
          <w:sz w:val="24"/>
        </w:rPr>
      </w:pPr>
      <w:r>
        <w:rPr>
          <w:rFonts w:hint="eastAsia" w:ascii="黑体" w:hAnsi="黑体" w:eastAsia="黑体" w:cs="黑体"/>
          <w:b/>
          <w:bCs/>
          <w:sz w:val="24"/>
        </w:rPr>
        <w:t>图3-5 核心优势指标对比图</w:t>
      </w:r>
    </w:p>
    <w:p w14:paraId="2AD92742">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相比传统HPLC检测，本项目可在20秒内完成色素定性与定量分析，检测精度达±0.01mg/kg，效率提升60倍以上，单次运行成本降至传统方法的十分之一以下。</w:t>
      </w:r>
    </w:p>
    <w:p w14:paraId="0FA0392C">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在“严标准、全覆盖”的监管趋势下，这种快、准、低成本、环保的综合优势，使产品具备极强的替代潜力和规模化推广基础。</w:t>
      </w:r>
    </w:p>
    <w:p w14:paraId="53C8430D">
      <w:pPr>
        <w:ind w:firstLine="602" w:firstLineChars="200"/>
        <w:outlineLvl w:val="0"/>
        <w:rPr>
          <w:rFonts w:hint="eastAsia" w:ascii="黑体" w:hAnsi="黑体" w:eastAsia="黑体" w:cs="黑体"/>
          <w:b/>
          <w:bCs/>
          <w:sz w:val="30"/>
          <w:szCs w:val="30"/>
        </w:rPr>
      </w:pPr>
      <w:bookmarkStart w:id="52" w:name="_Toc15811"/>
      <w:r>
        <w:rPr>
          <w:rFonts w:hint="eastAsia" w:ascii="黑体" w:hAnsi="黑体" w:eastAsia="黑体" w:cs="黑体"/>
          <w:b/>
          <w:bCs/>
          <w:sz w:val="30"/>
          <w:szCs w:val="30"/>
        </w:rPr>
        <w:t>3.2 技术可行性</w:t>
      </w:r>
      <w:bookmarkEnd w:id="52"/>
    </w:p>
    <w:p w14:paraId="7AF047E1">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本项目的技术可行性，核心在于能否稳定、低成本地将实验室技术转化为可量产的商业设备。项目技术体系由高光谱成像、深度学习算法、绿色检测工艺、模块化硬件集成四个部分构成，各环节均有成熟的技术基础支撑，整体路径清晰可落地。</w:t>
      </w:r>
    </w:p>
    <w:p w14:paraId="5968BB3A">
      <w:pPr>
        <w:ind w:firstLine="602" w:firstLineChars="200"/>
        <w:outlineLvl w:val="1"/>
        <w:rPr>
          <w:rFonts w:hint="eastAsia" w:ascii="黑体" w:hAnsi="黑体" w:eastAsia="黑体" w:cs="黑体"/>
          <w:b/>
          <w:bCs/>
          <w:sz w:val="30"/>
          <w:szCs w:val="30"/>
        </w:rPr>
      </w:pPr>
      <w:bookmarkStart w:id="53" w:name="_Toc31844"/>
      <w:r>
        <w:rPr>
          <w:rFonts w:hint="eastAsia" w:ascii="黑体" w:hAnsi="黑体" w:eastAsia="黑体" w:cs="黑体"/>
          <w:b/>
          <w:bCs/>
          <w:sz w:val="30"/>
          <w:szCs w:val="30"/>
        </w:rPr>
        <w:t>3.2.1 高光谱成像</w:t>
      </w:r>
      <w:bookmarkEnd w:id="53"/>
    </w:p>
    <w:p w14:paraId="4C4528E1">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传统饮料色素检测依赖化学试剂萃取，本项目在技术路线上实现了从“化学分析”向“光电物理扫描”的根本性转变。</w:t>
      </w:r>
    </w:p>
    <w:p w14:paraId="69B94F2A">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高光谱成像技术（HSI）突破了传统RGB相机仅能采集红、绿、蓝三个色彩通道的局限，能够在可见光至近红外波段内，将饮料样品分割为数百个连续的窄波段进行扫描。设备在获取样品空间图像的同时，还能提取每个像素点的分子振动与光吸收特征，生成三维</w:t>
      </w:r>
      <w:r>
        <w:rPr>
          <w:rFonts w:hint="eastAsia" w:ascii="宋体" w:hAnsi="宋体" w:eastAsia="宋体" w:cs="宋体"/>
          <w:kern w:val="0"/>
          <w:sz w:val="28"/>
          <w:szCs w:val="28"/>
          <w:lang w:eastAsia="zh" w:bidi="ar"/>
        </w:rPr>
        <w:t>“</w:t>
      </w:r>
      <w:r>
        <w:rPr>
          <w:rFonts w:hint="eastAsia" w:ascii="宋体" w:hAnsi="宋体" w:eastAsia="宋体" w:cs="宋体"/>
          <w:kern w:val="0"/>
          <w:sz w:val="28"/>
          <w:szCs w:val="28"/>
          <w:lang w:bidi="ar"/>
        </w:rPr>
        <w:t>高光谱数据立方体</w:t>
      </w:r>
      <w:r>
        <w:rPr>
          <w:rFonts w:hint="eastAsia" w:ascii="宋体" w:hAnsi="宋体" w:eastAsia="宋体" w:cs="宋体"/>
          <w:kern w:val="0"/>
          <w:sz w:val="28"/>
          <w:szCs w:val="28"/>
          <w:lang w:eastAsia="zh" w:bidi="ar"/>
        </w:rPr>
        <w:t>”</w:t>
      </w:r>
      <w:r>
        <w:rPr>
          <w:rFonts w:hint="eastAsia" w:ascii="宋体" w:hAnsi="宋体" w:eastAsia="宋体" w:cs="宋体"/>
          <w:kern w:val="0"/>
          <w:sz w:val="28"/>
          <w:szCs w:val="28"/>
          <w:lang w:bidi="ar"/>
        </w:rPr>
        <w:t>。</w:t>
      </w:r>
    </w:p>
    <w:p w14:paraId="32A3DAC2">
      <w:pPr>
        <w:spacing w:line="279" w:lineRule="auto"/>
        <w:ind w:firstLine="480" w:firstLineChars="200"/>
        <w:rPr>
          <w:rFonts w:hint="eastAsia" w:ascii="宋体" w:hAnsi="宋体" w:eastAsia="宋体" w:cs="宋体"/>
          <w:sz w:val="24"/>
        </w:rPr>
      </w:pPr>
    </w:p>
    <w:p w14:paraId="60D6A67E">
      <w:pPr>
        <w:spacing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图3-6 光吸收特征提取示意图</w:t>
      </w:r>
    </w:p>
    <w:p w14:paraId="7DBC9050">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由于柠檬黄、胭脂红等不同人工合成色素各自具有唯一的光谱吸收曲线，这种</w:t>
      </w:r>
      <w:r>
        <w:rPr>
          <w:rFonts w:hint="eastAsia" w:ascii="宋体" w:hAnsi="宋体" w:eastAsia="宋体" w:cs="宋体"/>
          <w:sz w:val="28"/>
          <w:szCs w:val="28"/>
        </w:rPr>
        <w:t>“</w:t>
      </w:r>
      <w:r>
        <w:rPr>
          <w:rFonts w:ascii="宋体" w:hAnsi="宋体" w:eastAsia="宋体" w:cs="宋体"/>
          <w:sz w:val="28"/>
          <w:szCs w:val="28"/>
        </w:rPr>
        <w:t>图谱合一</w:t>
      </w:r>
      <w:r>
        <w:rPr>
          <w:rFonts w:hint="eastAsia" w:ascii="宋体" w:hAnsi="宋体" w:eastAsia="宋体" w:cs="宋体"/>
          <w:sz w:val="28"/>
          <w:szCs w:val="28"/>
        </w:rPr>
        <w:t>”</w:t>
      </w:r>
      <w:r>
        <w:rPr>
          <w:rFonts w:ascii="宋体" w:hAnsi="宋体" w:eastAsia="宋体" w:cs="宋体"/>
          <w:sz w:val="28"/>
          <w:szCs w:val="28"/>
        </w:rPr>
        <w:t>的特性，使设备具备类似</w:t>
      </w:r>
      <w:r>
        <w:rPr>
          <w:rFonts w:hint="eastAsia" w:ascii="宋体" w:hAnsi="宋体" w:eastAsia="宋体" w:cs="宋体"/>
          <w:sz w:val="28"/>
          <w:szCs w:val="28"/>
        </w:rPr>
        <w:t>“</w:t>
      </w:r>
      <w:r>
        <w:rPr>
          <w:rFonts w:ascii="宋体" w:hAnsi="宋体" w:eastAsia="宋体" w:cs="宋体"/>
          <w:sz w:val="28"/>
          <w:szCs w:val="28"/>
        </w:rPr>
        <w:t>分子指纹扫描仪</w:t>
      </w:r>
      <w:r>
        <w:rPr>
          <w:rFonts w:hint="eastAsia" w:ascii="宋体" w:hAnsi="宋体" w:eastAsia="宋体" w:cs="宋体"/>
          <w:sz w:val="28"/>
          <w:szCs w:val="28"/>
        </w:rPr>
        <w:t>”</w:t>
      </w:r>
      <w:r>
        <w:rPr>
          <w:rFonts w:ascii="宋体" w:hAnsi="宋体" w:eastAsia="宋体" w:cs="宋体"/>
          <w:sz w:val="28"/>
          <w:szCs w:val="28"/>
        </w:rPr>
        <w:t>的识别能力，从物理原理层面确保了色素成分定性识别的可行性。</w:t>
      </w:r>
    </w:p>
    <w:p w14:paraId="11BD8078">
      <w:pPr>
        <w:ind w:firstLine="602" w:firstLineChars="200"/>
        <w:outlineLvl w:val="1"/>
        <w:rPr>
          <w:rFonts w:hint="eastAsia" w:ascii="黑体" w:hAnsi="黑体" w:eastAsia="黑体" w:cs="黑体"/>
          <w:b/>
          <w:bCs/>
          <w:sz w:val="30"/>
          <w:szCs w:val="30"/>
        </w:rPr>
      </w:pPr>
      <w:bookmarkStart w:id="54" w:name="_Toc10710"/>
      <w:r>
        <w:rPr>
          <w:rFonts w:hint="eastAsia" w:ascii="黑体" w:hAnsi="黑体" w:eastAsia="黑体" w:cs="黑体"/>
          <w:b/>
          <w:bCs/>
          <w:sz w:val="30"/>
          <w:szCs w:val="30"/>
        </w:rPr>
        <w:t>3.2.2 深度学习</w:t>
      </w:r>
      <w:bookmarkEnd w:id="54"/>
    </w:p>
    <w:p w14:paraId="7BDEA230">
      <w:pPr>
        <w:widowControl/>
        <w:spacing w:beforeAutospacing="1" w:after="100" w:afterAutospacing="1" w:line="279" w:lineRule="auto"/>
        <w:ind w:firstLine="560" w:firstLineChars="200"/>
        <w:rPr>
          <w:rFonts w:hint="eastAsia" w:ascii="宋体" w:hAnsi="宋体" w:eastAsia="宋体" w:cs="宋体"/>
          <w:kern w:val="0"/>
          <w:sz w:val="28"/>
          <w:szCs w:val="28"/>
          <w:lang w:bidi="ar"/>
        </w:rPr>
      </w:pPr>
      <w:bookmarkStart w:id="55" w:name="_Toc20158"/>
      <w:r>
        <w:rPr>
          <w:rFonts w:hint="eastAsia" w:ascii="宋体" w:hAnsi="宋体" w:eastAsia="宋体" w:cs="宋体"/>
          <w:kern w:val="0"/>
          <w:sz w:val="28"/>
          <w:szCs w:val="28"/>
          <w:lang w:bidi="ar"/>
        </w:rPr>
        <w:t>高光谱成像解决了“采集什么数据”的问题，而深度学习则解决了“如何从复杂数据中准确提取有效信息”的问题。两者的结合，是本项目实现高精度检测的核心所在。</w:t>
      </w:r>
    </w:p>
    <w:p w14:paraId="2F7783A3">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现制茶饮、果肉果汁、植物蛋白饮品等新兴饮料的基质极为复杂，富含茶多酚、果胶、蛋白质等干扰成分。传统HPLC检测必须先通过离心、过滤等物理前处理步骤消除干扰，这也是单次检测耗时2~4小时的主要原因。</w:t>
      </w:r>
    </w:p>
    <w:p w14:paraId="68E4D101">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本项目引入卷积神经网络等深度学习算法，以“算法前处理”替代“物理前处理”。依托前期构建的大规模饮料光谱数据库，模型能够自动学习并滤除复杂基质带来的光谱噪声，精准提取微弱的色素特征信号。在此基础上，系统可实现 ±0.01 mg/kg 的定量分析精度，达到实验室级检测水准。</w:t>
      </w:r>
    </w:p>
    <w:p w14:paraId="147383FF">
      <w:pPr>
        <w:ind w:firstLine="562" w:firstLineChars="200"/>
        <w:outlineLvl w:val="1"/>
        <w:rPr>
          <w:rFonts w:hint="eastAsia" w:ascii="黑体" w:hAnsi="黑体" w:eastAsia="黑体" w:cs="黑体"/>
          <w:b/>
          <w:bCs/>
          <w:sz w:val="28"/>
          <w:szCs w:val="28"/>
        </w:rPr>
      </w:pPr>
      <w:r>
        <w:rPr>
          <w:rFonts w:hint="eastAsia" w:ascii="黑体" w:hAnsi="黑体" w:eastAsia="黑体" w:cs="黑体"/>
          <w:b/>
          <w:bCs/>
          <w:sz w:val="28"/>
          <w:szCs w:val="28"/>
        </w:rPr>
        <w:t xml:space="preserve">3.2.3 </w:t>
      </w:r>
      <w:bookmarkEnd w:id="55"/>
      <w:r>
        <w:rPr>
          <w:rFonts w:hint="eastAsia" w:ascii="黑体" w:hAnsi="黑体" w:eastAsia="黑体" w:cs="黑体"/>
          <w:b/>
          <w:bCs/>
          <w:sz w:val="28"/>
          <w:szCs w:val="28"/>
        </w:rPr>
        <w:t>检测工艺</w:t>
      </w:r>
    </w:p>
    <w:p w14:paraId="14027344">
      <w:pPr>
        <w:widowControl/>
        <w:spacing w:beforeAutospacing="1" w:after="100" w:afterAutospacing="1" w:line="279" w:lineRule="auto"/>
        <w:ind w:firstLine="560" w:firstLineChars="200"/>
        <w:rPr>
          <w:rFonts w:hint="eastAsia" w:ascii="宋体" w:hAnsi="宋体" w:eastAsia="宋体" w:cs="宋体"/>
          <w:kern w:val="0"/>
          <w:sz w:val="28"/>
          <w:szCs w:val="28"/>
          <w:lang w:bidi="ar"/>
        </w:rPr>
      </w:pPr>
      <w:bookmarkStart w:id="56" w:name="_Toc6523"/>
      <w:r>
        <w:rPr>
          <w:rFonts w:hint="eastAsia" w:ascii="宋体" w:hAnsi="宋体" w:eastAsia="宋体" w:cs="宋体"/>
          <w:kern w:val="0"/>
          <w:sz w:val="28"/>
          <w:szCs w:val="28"/>
          <w:lang w:bidi="ar"/>
        </w:rPr>
        <w:t>在技术路线确立之后，检测工艺的实际操作体验同样是评估可行性的重要维度。</w:t>
      </w:r>
    </w:p>
    <w:p w14:paraId="583DF1C1">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传统HPLC法单次检测耗时2~4小时，且需大量使用甲醇、乙腈等有毒有机溶剂，对操作人员健康存在潜在风险，废液处理也带来额外的合规成本。本项目采用纯光学非接触式扫描，无需对样品进行任何破碎、萃取或衍生化处理。操作人员只需将饮料样品置于检测舱内或流水线上，设备即可在 20秒内 输出检测报告，全程零试剂、零耗材。</w:t>
      </w:r>
    </w:p>
    <w:p w14:paraId="6CDAC2A8">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这一特性完全符合国家“双碳”战略对制造业绿色转型的要求，也满足ESG评价体系中的环境指标，使技术路线兼具安全性与可持续性。</w:t>
      </w:r>
    </w:p>
    <w:p w14:paraId="4D6444E6">
      <w:pPr>
        <w:ind w:firstLine="562" w:firstLineChars="200"/>
        <w:outlineLvl w:val="1"/>
        <w:rPr>
          <w:rFonts w:hint="eastAsia" w:ascii="黑体" w:hAnsi="黑体" w:eastAsia="黑体" w:cs="黑体"/>
          <w:b/>
          <w:bCs/>
          <w:sz w:val="28"/>
          <w:szCs w:val="28"/>
        </w:rPr>
      </w:pPr>
      <w:r>
        <w:rPr>
          <w:rFonts w:hint="eastAsia" w:ascii="黑体" w:hAnsi="黑体" w:eastAsia="黑体" w:cs="黑体"/>
          <w:b/>
          <w:bCs/>
          <w:sz w:val="28"/>
          <w:szCs w:val="28"/>
        </w:rPr>
        <w:t>3.2.4 硬件集成</w:t>
      </w:r>
      <w:bookmarkEnd w:id="56"/>
    </w:p>
    <w:p w14:paraId="5AFB2031">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绿色高效的检测工艺，需要有成熟可靠的硬件平台作为载体。在工程落地层面，本项目同样具备充分条件。</w:t>
      </w:r>
    </w:p>
    <w:p w14:paraId="076848BF">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高光谱传感器、宽谱光源、边缘计算AI芯片等核心硬件，目前在国内均已形成完整的产业链配套，采购渠道稳定、成本透明。通过模块化设计，本技术方案可灵活适配多种应用场景：</w:t>
      </w:r>
    </w:p>
    <w:p w14:paraId="787AA5C7">
      <w:pPr>
        <w:widowControl/>
        <w:spacing w:beforeAutospacing="1" w:after="100" w:afterAutospacing="1" w:line="279" w:lineRule="auto"/>
        <w:ind w:left="560"/>
        <w:rPr>
          <w:rFonts w:hint="eastAsia" w:ascii="宋体" w:hAnsi="宋体" w:eastAsia="宋体" w:cs="宋体"/>
          <w:kern w:val="0"/>
          <w:sz w:val="28"/>
          <w:szCs w:val="28"/>
          <w:lang w:bidi="ar"/>
        </w:rPr>
      </w:pPr>
      <w:r>
        <w:rPr>
          <w:rFonts w:hint="eastAsia" w:cs="Times New Roman"/>
          <w:b/>
          <w:bCs/>
          <w:kern w:val="0"/>
          <w:sz w:val="28"/>
          <w:szCs w:val="28"/>
        </w:rPr>
        <w:t>（1）第三方实验室：</w:t>
      </w:r>
      <w:r>
        <w:rPr>
          <w:rFonts w:hint="eastAsia" w:ascii="宋体" w:hAnsi="宋体" w:eastAsia="宋体" w:cs="宋体"/>
          <w:kern w:val="0"/>
          <w:sz w:val="28"/>
          <w:szCs w:val="28"/>
          <w:lang w:bidi="ar"/>
        </w:rPr>
        <w:t>桌面级高通量分析仪，适用于批量样品检测；</w:t>
      </w:r>
    </w:p>
    <w:p w14:paraId="3EE4FA53">
      <w:pPr>
        <w:widowControl/>
        <w:numPr>
          <w:ilvl w:val="0"/>
          <w:numId w:val="1"/>
        </w:numPr>
        <w:spacing w:beforeAutospacing="1" w:after="100" w:afterAutospacing="1" w:line="279" w:lineRule="auto"/>
        <w:ind w:left="560" w:hanging="562" w:hangingChars="200"/>
        <w:rPr>
          <w:rFonts w:hint="eastAsia" w:ascii="宋体" w:hAnsi="宋体" w:eastAsia="宋体" w:cs="宋体"/>
          <w:kern w:val="0"/>
          <w:sz w:val="28"/>
          <w:szCs w:val="28"/>
          <w:lang w:bidi="ar"/>
        </w:rPr>
      </w:pPr>
      <w:r>
        <w:rPr>
          <w:rFonts w:hint="eastAsia" w:cs="Times New Roman"/>
          <w:b/>
          <w:bCs/>
          <w:kern w:val="0"/>
          <w:sz w:val="28"/>
          <w:szCs w:val="28"/>
        </w:rPr>
        <w:t>（2）市场监管局/海关现场执法：</w:t>
      </w:r>
      <w:r>
        <w:rPr>
          <w:rFonts w:hint="eastAsia" w:ascii="宋体" w:hAnsi="宋体" w:eastAsia="宋体" w:cs="宋体"/>
          <w:kern w:val="0"/>
          <w:sz w:val="28"/>
          <w:szCs w:val="28"/>
          <w:lang w:bidi="ar"/>
        </w:rPr>
        <w:t>便携式快检箱，支持现场即时出具结果；</w:t>
      </w:r>
    </w:p>
    <w:p w14:paraId="05AA6537">
      <w:pPr>
        <w:widowControl/>
        <w:numPr>
          <w:ilvl w:val="0"/>
          <w:numId w:val="1"/>
        </w:numPr>
        <w:spacing w:beforeAutospacing="1" w:after="100" w:afterAutospacing="1" w:line="279" w:lineRule="auto"/>
        <w:ind w:left="560" w:hanging="562" w:hangingChars="200"/>
        <w:rPr>
          <w:rFonts w:hint="eastAsia" w:ascii="宋体" w:hAnsi="宋体" w:eastAsia="宋体" w:cs="宋体"/>
          <w:kern w:val="0"/>
          <w:sz w:val="28"/>
          <w:szCs w:val="28"/>
          <w:lang w:bidi="ar"/>
        </w:rPr>
      </w:pPr>
      <w:r>
        <w:rPr>
          <w:rFonts w:hint="eastAsia" w:cs="Times New Roman"/>
          <w:b/>
          <w:bCs/>
          <w:kern w:val="0"/>
          <w:sz w:val="28"/>
          <w:szCs w:val="28"/>
        </w:rPr>
        <w:t>（3）大型饮料生产企业：</w:t>
      </w:r>
      <w:r>
        <w:rPr>
          <w:rFonts w:hint="eastAsia" w:ascii="宋体" w:hAnsi="宋体" w:eastAsia="宋体" w:cs="宋体"/>
          <w:kern w:val="0"/>
          <w:sz w:val="28"/>
          <w:szCs w:val="28"/>
          <w:lang w:bidi="ar"/>
        </w:rPr>
        <w:t>光学组件直接接入自动化灌装流水线，实现在线批次全检。</w:t>
      </w:r>
    </w:p>
    <w:p w14:paraId="7FDFDDE0">
      <w:pPr>
        <w:widowControl/>
        <w:spacing w:beforeAutospacing="1" w:after="100" w:afterAutospacing="1" w:line="279" w:lineRule="auto"/>
        <w:ind w:left="440" w:leftChars="200"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这种硬件的高度可塑性，证明该技术不仅能在实验室中稳定运行，在多样化的商业场景中同样具备实际落地能力。</w:t>
      </w:r>
    </w:p>
    <w:p w14:paraId="1B3060A3">
      <w:pPr>
        <w:ind w:firstLine="602" w:firstLineChars="200"/>
        <w:outlineLvl w:val="0"/>
        <w:rPr>
          <w:rFonts w:hint="eastAsia" w:ascii="黑体" w:hAnsi="黑体" w:eastAsia="黑体" w:cs="黑体"/>
          <w:b/>
          <w:bCs/>
          <w:sz w:val="30"/>
          <w:szCs w:val="30"/>
        </w:rPr>
      </w:pPr>
      <w:bookmarkStart w:id="57" w:name="_Toc5329"/>
      <w:r>
        <w:rPr>
          <w:rFonts w:hint="eastAsia" w:ascii="黑体" w:hAnsi="黑体" w:eastAsia="黑体" w:cs="黑体"/>
          <w:b/>
          <w:bCs/>
          <w:sz w:val="30"/>
          <w:szCs w:val="30"/>
        </w:rPr>
        <w:t>3.3 经济可行性</w:t>
      </w:r>
      <w:bookmarkEnd w:id="57"/>
    </w:p>
    <w:p w14:paraId="5F9E587F">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技术路线的可行性是基础，而项目能否持续运转，最终取决于其经济逻辑是否成立。以下从成本结构、用户回报与商业模式三个层面，逐一说明本项目的经济可行性。</w:t>
      </w:r>
    </w:p>
    <w:p w14:paraId="5B60E0E1">
      <w:pPr>
        <w:ind w:firstLine="562" w:firstLineChars="200"/>
        <w:outlineLvl w:val="1"/>
        <w:rPr>
          <w:rFonts w:hint="eastAsia" w:ascii="黑体" w:hAnsi="黑体" w:eastAsia="黑体" w:cs="黑体"/>
          <w:b/>
          <w:bCs/>
          <w:sz w:val="28"/>
          <w:szCs w:val="28"/>
        </w:rPr>
      </w:pPr>
      <w:bookmarkStart w:id="58" w:name="_Toc5180"/>
      <w:r>
        <w:rPr>
          <w:rFonts w:hint="eastAsia" w:ascii="黑体" w:hAnsi="黑体" w:eastAsia="黑体" w:cs="黑体"/>
          <w:b/>
          <w:bCs/>
          <w:sz w:val="28"/>
          <w:szCs w:val="28"/>
        </w:rPr>
        <w:t>3.3.1 成本结构与高毛利空间</w:t>
      </w:r>
      <w:bookmarkEnd w:id="58"/>
    </w:p>
    <w:p w14:paraId="47E34E07">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本项目的核心成本优势，来自</w:t>
      </w:r>
      <w:r>
        <w:rPr>
          <w:rFonts w:hint="eastAsia" w:ascii="宋体" w:hAnsi="宋体" w:eastAsia="宋体" w:cs="宋体"/>
          <w:kern w:val="0"/>
          <w:sz w:val="28"/>
          <w:szCs w:val="28"/>
          <w:lang w:eastAsia="zh-CN" w:bidi="ar"/>
        </w:rPr>
        <w:t>“</w:t>
      </w:r>
      <w:r>
        <w:rPr>
          <w:rFonts w:hint="eastAsia" w:ascii="宋体" w:hAnsi="宋体" w:eastAsia="宋体" w:cs="宋体"/>
          <w:kern w:val="0"/>
          <w:sz w:val="28"/>
          <w:szCs w:val="28"/>
          <w:lang w:bidi="ar"/>
        </w:rPr>
        <w:t>算法替代耗材</w:t>
      </w:r>
      <w:r>
        <w:rPr>
          <w:rFonts w:hint="eastAsia" w:ascii="宋体" w:hAnsi="宋体" w:eastAsia="宋体" w:cs="宋体"/>
          <w:kern w:val="0"/>
          <w:sz w:val="28"/>
          <w:szCs w:val="28"/>
          <w:lang w:eastAsia="zh-CN" w:bidi="ar"/>
        </w:rPr>
        <w:t>”</w:t>
      </w:r>
      <w:r>
        <w:rPr>
          <w:rFonts w:hint="eastAsia" w:ascii="宋体" w:hAnsi="宋体" w:eastAsia="宋体" w:cs="宋体"/>
          <w:kern w:val="0"/>
          <w:sz w:val="28"/>
          <w:szCs w:val="28"/>
          <w:lang w:bidi="ar"/>
        </w:rPr>
        <w:t>的产品架构。</w:t>
      </w:r>
    </w:p>
    <w:p w14:paraId="6CE763B2">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传统HPLC设备依赖精密色谱柱、高纯度有机溶剂及定期维护，属于典型的“重资产、高耗材”模式，运营成本持续累积。本项目的核心资产是AI算法与光谱数据库，二者具备“边际成本趋零”的软件属性——即无论服务多少台设备，算法的复制与分发成本几乎可以忽略不计。与此同时，随着国产高光谱传感器和边缘计算芯片的规模化量产，单台设备的硬件BOM（物料清单）成本也在持续下降。</w:t>
      </w:r>
    </w:p>
    <w:p w14:paraId="7D79B852">
      <w:pPr>
        <w:ind w:firstLine="440" w:firstLineChars="200"/>
        <w:rPr>
          <w:rFonts w:hint="eastAsia"/>
        </w:rPr>
      </w:pPr>
    </w:p>
    <w:p w14:paraId="4E20B73C">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图3-6 传统检测与智能检测单次综合成本拆解对比</w:t>
      </w:r>
    </w:p>
    <w:p w14:paraId="5F517F36">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这种“轻硬件、重算法”的产品结构，预计可使项目综合毛利率达到 60%以上，为后续渠道拓展、售后服务及研发迭代提供充足的利润空间。</w:t>
      </w:r>
    </w:p>
    <w:p w14:paraId="64E4E1B7">
      <w:pPr>
        <w:ind w:firstLine="562" w:firstLineChars="200"/>
        <w:outlineLvl w:val="1"/>
        <w:rPr>
          <w:rFonts w:hint="eastAsia" w:ascii="黑体" w:hAnsi="黑体" w:eastAsia="黑体" w:cs="黑体"/>
          <w:b/>
          <w:bCs/>
          <w:sz w:val="28"/>
          <w:szCs w:val="28"/>
        </w:rPr>
      </w:pPr>
      <w:bookmarkStart w:id="59" w:name="_Toc17431"/>
      <w:r>
        <w:rPr>
          <w:rFonts w:hint="eastAsia" w:ascii="黑体" w:hAnsi="黑体" w:eastAsia="黑体" w:cs="黑体"/>
          <w:b/>
          <w:bCs/>
          <w:sz w:val="28"/>
          <w:szCs w:val="28"/>
        </w:rPr>
        <w:t xml:space="preserve">3.3.2 </w:t>
      </w:r>
      <w:bookmarkEnd w:id="59"/>
      <w:r>
        <w:rPr>
          <w:rFonts w:hint="eastAsia" w:ascii="黑体" w:hAnsi="黑体" w:eastAsia="黑体" w:cs="黑体"/>
          <w:b/>
          <w:bCs/>
          <w:sz w:val="28"/>
          <w:szCs w:val="28"/>
        </w:rPr>
        <w:t>用户回报</w:t>
      </w:r>
    </w:p>
    <w:p w14:paraId="412D22E5">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高毛利的产品结构，只有在终端用户真正获得回报时，才能转化为持续的市场需求。</w:t>
      </w:r>
    </w:p>
    <w:p w14:paraId="14482E27">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以一条中大型现制茶饮或果汁生产线为例：若采用传统HPLC法，单次检测成本约为500~800元，按每日20批次抽检计算，全年直接检测费用将超过 140万元。本项目的智能检测系统日常运行无需试剂与耗材，单次检测的实际成本仅为少量电费与设备折旧分摊。</w:t>
      </w:r>
    </w:p>
    <w:p w14:paraId="7B8C7EBA">
      <w:pPr>
        <w:ind w:firstLine="440" w:firstLineChars="200"/>
        <w:rPr>
          <w:rFonts w:hint="eastAsia"/>
        </w:rPr>
      </w:pPr>
    </w:p>
    <w:p w14:paraId="451C11C0">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图3-7 商业化生命周期ROI及成本交叉分析（12个月）</w:t>
      </w:r>
    </w:p>
    <w:p w14:paraId="6650DCF7">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经初步测算，终端用户通过节省试剂费、专业人员人工费及危废处理费，可在设备投入使用后的 3~4个月内 全面收回初始采购成本。这一回报周期，在B端设备采购决策中具有较强的说服力。</w:t>
      </w:r>
    </w:p>
    <w:p w14:paraId="644B0A6C">
      <w:pPr>
        <w:ind w:firstLine="562" w:firstLineChars="200"/>
        <w:outlineLvl w:val="1"/>
        <w:rPr>
          <w:rFonts w:hint="eastAsia" w:ascii="黑体" w:hAnsi="黑体" w:eastAsia="黑体" w:cs="黑体"/>
          <w:b/>
          <w:bCs/>
          <w:sz w:val="28"/>
          <w:szCs w:val="28"/>
        </w:rPr>
      </w:pPr>
      <w:bookmarkStart w:id="60" w:name="_Toc25367"/>
      <w:r>
        <w:rPr>
          <w:rFonts w:hint="eastAsia" w:ascii="黑体" w:hAnsi="黑体" w:eastAsia="黑体" w:cs="黑体"/>
          <w:b/>
          <w:bCs/>
          <w:sz w:val="28"/>
          <w:szCs w:val="28"/>
        </w:rPr>
        <w:t xml:space="preserve">3.3.3 </w:t>
      </w:r>
      <w:bookmarkEnd w:id="60"/>
      <w:r>
        <w:rPr>
          <w:rFonts w:hint="eastAsia" w:ascii="黑体" w:hAnsi="黑体" w:eastAsia="黑体" w:cs="黑体"/>
          <w:b/>
          <w:bCs/>
          <w:sz w:val="28"/>
          <w:szCs w:val="28"/>
        </w:rPr>
        <w:t>变现模式</w:t>
      </w:r>
    </w:p>
    <w:p w14:paraId="7C869382">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清晰的用户回报路径，使本项目具备了可持续扩张的商业基础。在此基础上，项目设计了与团队发展阶段相匹配的阶梯式变现策略。</w:t>
      </w:r>
    </w:p>
    <w:p w14:paraId="61D5BAD8">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冷启动期，优先锁定成本敏感度较高的第三方检测机构（CMA/CNAS实验室）及地方中小型饮料企业，采用按次收费或设备租赁模式，降低客户试错门槛，同时积累真实场景下的光谱样本数据，为后续模型优化提供数据支撑。</w:t>
      </w:r>
    </w:p>
    <w:p w14:paraId="3E68BDE0">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成长期，随着设备稳定性在真实场景中得到验证，逐步向地方市场监管局基层执法所及腰部饮料品牌规模化销售标准化硬件产品，实现现金流的快速回正。</w:t>
      </w:r>
    </w:p>
    <w:p w14:paraId="458403E7">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成熟期，凭借行业口碑与数据壁垒，向头部饮料企业提供产线定制化集成方案，并将商业模式升级为</w:t>
      </w:r>
      <w:r>
        <w:rPr>
          <w:rFonts w:hint="eastAsia" w:ascii="宋体" w:hAnsi="宋体" w:eastAsia="宋体" w:cs="宋体"/>
          <w:kern w:val="0"/>
          <w:sz w:val="28"/>
          <w:szCs w:val="28"/>
          <w:lang w:eastAsia="zh" w:bidi="ar"/>
        </w:rPr>
        <w:t>“</w:t>
      </w:r>
      <w:r>
        <w:rPr>
          <w:rFonts w:hint="eastAsia" w:ascii="宋体" w:hAnsi="宋体" w:eastAsia="宋体" w:cs="宋体"/>
          <w:kern w:val="0"/>
          <w:sz w:val="28"/>
          <w:szCs w:val="28"/>
          <w:lang w:bidi="ar"/>
        </w:rPr>
        <w:t>硬件销售 + 算法订阅（SaaS）</w:t>
      </w:r>
      <w:r>
        <w:rPr>
          <w:rFonts w:hint="eastAsia" w:ascii="宋体" w:hAnsi="宋体" w:eastAsia="宋体" w:cs="宋体"/>
          <w:kern w:val="0"/>
          <w:sz w:val="28"/>
          <w:szCs w:val="28"/>
          <w:lang w:eastAsia="zh" w:bidi="ar"/>
        </w:rPr>
        <w:t>”</w:t>
      </w:r>
      <w:r>
        <w:rPr>
          <w:rFonts w:hint="eastAsia" w:ascii="宋体" w:hAnsi="宋体" w:eastAsia="宋体" w:cs="宋体"/>
          <w:kern w:val="0"/>
          <w:sz w:val="28"/>
          <w:szCs w:val="28"/>
          <w:lang w:bidi="ar"/>
        </w:rPr>
        <w:t>——例如，当国家出台新的食品添加剂标准时，客户按年支付OTA在线升级服务费，从而形成可持续的经常性收入来源。</w:t>
      </w:r>
    </w:p>
    <w:p w14:paraId="461A87DE">
      <w:pPr>
        <w:ind w:firstLine="440" w:firstLineChars="200"/>
        <w:rPr>
          <w:rFonts w:hint="eastAsia"/>
        </w:rPr>
      </w:pPr>
    </w:p>
    <w:p w14:paraId="0542394E">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图3-8 商业化三阶段演进路径以及核心变现方式</w:t>
      </w:r>
    </w:p>
    <w:p w14:paraId="5D97A8D9">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本图以时间轴为主线，展示项目从冷启动期到成长期再到成熟期的商业化推进节奏，标注各阶段的目标客户群体、核心产品形态与主要变现方式。</w:t>
      </w:r>
    </w:p>
    <w:p w14:paraId="13D3B51B">
      <w:pPr>
        <w:ind w:firstLine="562" w:firstLineChars="200"/>
        <w:outlineLvl w:val="1"/>
        <w:rPr>
          <w:rFonts w:hint="eastAsia" w:ascii="黑体" w:hAnsi="黑体" w:eastAsia="黑体" w:cs="黑体"/>
          <w:b/>
          <w:bCs/>
          <w:sz w:val="28"/>
          <w:szCs w:val="28"/>
        </w:rPr>
      </w:pPr>
      <w:bookmarkStart w:id="61" w:name="_Toc22994"/>
      <w:r>
        <w:rPr>
          <w:rFonts w:hint="eastAsia" w:ascii="黑体" w:hAnsi="黑体" w:eastAsia="黑体" w:cs="黑体"/>
          <w:b/>
          <w:bCs/>
          <w:sz w:val="28"/>
          <w:szCs w:val="28"/>
        </w:rPr>
        <w:t xml:space="preserve">3.3.4 </w:t>
      </w:r>
      <w:bookmarkEnd w:id="61"/>
      <w:r>
        <w:rPr>
          <w:rFonts w:hint="eastAsia" w:ascii="黑体" w:hAnsi="黑体" w:eastAsia="黑体" w:cs="黑体"/>
          <w:b/>
          <w:bCs/>
          <w:sz w:val="28"/>
          <w:szCs w:val="28"/>
        </w:rPr>
        <w:t>宏观环境</w:t>
      </w:r>
    </w:p>
    <w:p w14:paraId="0A0C726F">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除项目自身的经济逻辑外，外部宏观环境也为本项目提供了有利的发展条件。</w:t>
      </w:r>
    </w:p>
    <w:p w14:paraId="57B91667">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食品安全检测属于刚需市场，受经济周期波动影响较小。在当前企业普遍面临成本压力、寻求降本增效的背景下，一款能够显著削减合规检测成本的工具，在企业内部的采购优先级相对较高。</w:t>
      </w:r>
    </w:p>
    <w:p w14:paraId="69346ADC">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此外，本项目彻底摒弃了有毒有机溶剂的使用，符合国家“双碳”战略与绿色制造政策导向。采购本设备的企业，可在节省危废处理费用的同时，申请地方政府在“绿色工厂”、“数字化车间”及“环保技改”方面的专项补贴与税收减免，进一步降低实际采购成本，也间接提升了本项目的市场转化效率。</w:t>
      </w:r>
    </w:p>
    <w:p w14:paraId="448C1FB6">
      <w:pPr>
        <w:ind w:firstLine="602" w:firstLineChars="200"/>
        <w:outlineLvl w:val="0"/>
        <w:rPr>
          <w:rFonts w:hint="eastAsia" w:ascii="黑体" w:hAnsi="黑体" w:eastAsia="黑体" w:cs="黑体"/>
          <w:b/>
          <w:bCs/>
          <w:sz w:val="30"/>
          <w:szCs w:val="30"/>
        </w:rPr>
      </w:pPr>
      <w:bookmarkStart w:id="62" w:name="_Toc12689"/>
      <w:r>
        <w:rPr>
          <w:rFonts w:hint="eastAsia" w:ascii="黑体" w:hAnsi="黑体" w:eastAsia="黑体" w:cs="黑体"/>
          <w:b/>
          <w:bCs/>
          <w:sz w:val="30"/>
          <w:szCs w:val="30"/>
        </w:rPr>
        <w:t>3.4 运营可行性</w:t>
      </w:r>
      <w:bookmarkEnd w:id="62"/>
    </w:p>
    <w:p w14:paraId="1F675E6A">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经济逻辑的成立，最终需要落实到具体的运营执行层面。以下从供应链管理、研发迭代、渠道建设与团队组织四个维度，说明本项目的运营可行性。</w:t>
      </w:r>
    </w:p>
    <w:p w14:paraId="2A871984">
      <w:pPr>
        <w:ind w:firstLine="562" w:firstLineChars="200"/>
        <w:outlineLvl w:val="1"/>
        <w:rPr>
          <w:rFonts w:hint="eastAsia" w:ascii="黑体" w:hAnsi="黑体" w:eastAsia="黑体" w:cs="黑体"/>
          <w:b/>
          <w:bCs/>
          <w:sz w:val="28"/>
          <w:szCs w:val="28"/>
        </w:rPr>
      </w:pPr>
      <w:bookmarkStart w:id="63" w:name="_Toc15554"/>
      <w:r>
        <w:rPr>
          <w:rFonts w:hint="eastAsia" w:ascii="黑体" w:hAnsi="黑体" w:eastAsia="黑体" w:cs="黑体"/>
          <w:b/>
          <w:bCs/>
          <w:sz w:val="28"/>
          <w:szCs w:val="28"/>
        </w:rPr>
        <w:t xml:space="preserve">3.4.1 </w:t>
      </w:r>
      <w:bookmarkEnd w:id="63"/>
      <w:r>
        <w:rPr>
          <w:rFonts w:hint="eastAsia" w:ascii="黑体" w:hAnsi="黑体" w:eastAsia="黑体" w:cs="黑体"/>
          <w:b/>
          <w:bCs/>
          <w:sz w:val="28"/>
          <w:szCs w:val="28"/>
        </w:rPr>
        <w:t>供应链</w:t>
      </w:r>
    </w:p>
    <w:p w14:paraId="1C22D6BB">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本项目所涉及的核心硬件——微型高光谱传感器、宽谱光源、国产AI算力芯片——在国内均已形成完善的本土化供应链，采购渠道稳定，价格透明。</w:t>
      </w:r>
    </w:p>
    <w:p w14:paraId="28A9C152">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在早期运营阶段，团队将采取“核心技术自研 + 硬件代工组装”的轻资产策略，避免自建工厂带来的重资产压力。团队核心精力集中于高光谱系统标定、深度学习模型烧录与出厂质量管控，而外壳开模、基础电路焊接等非核心环节则交由长三角或珠三角成熟代工企业完成。这一模式不仅压缩了初期固定资产投入，也使产能可以随市场订单灵活调整。</w:t>
      </w:r>
    </w:p>
    <w:p w14:paraId="26B672A2">
      <w:pPr>
        <w:rPr>
          <w:rFonts w:hint="eastAsia"/>
        </w:rPr>
      </w:pPr>
    </w:p>
    <w:p w14:paraId="7731BA5E">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图3-9哑铃型价值链架构（微笑曲线模型）</w:t>
      </w:r>
    </w:p>
    <w:p w14:paraId="6A920150">
      <w:pPr>
        <w:widowControl/>
        <w:spacing w:beforeAutospacing="1" w:after="100" w:afterAutospacing="1" w:line="279" w:lineRule="auto"/>
        <w:ind w:firstLine="560" w:firstLineChars="200"/>
        <w:rPr>
          <w:rFonts w:hint="eastAsia" w:ascii="宋体" w:hAnsi="宋体" w:eastAsia="宋体" w:cs="宋体"/>
          <w:kern w:val="0"/>
          <w:sz w:val="28"/>
          <w:szCs w:val="28"/>
          <w:lang w:bidi="ar"/>
        </w:rPr>
      </w:pPr>
      <w:bookmarkStart w:id="64" w:name="_Toc21367"/>
      <w:r>
        <w:rPr>
          <w:rFonts w:hint="eastAsia" w:ascii="宋体" w:hAnsi="宋体" w:eastAsia="宋体" w:cs="宋体"/>
          <w:kern w:val="0"/>
          <w:sz w:val="28"/>
          <w:szCs w:val="28"/>
          <w:lang w:bidi="ar"/>
        </w:rPr>
        <w:t>本图以微笑曲线模型为框架，展示项目在价值链中的定位：将资源集中于附加值最高的研发设计端（左侧）与品牌服务端（右侧），中间的制造组装环节通过OEM外包实现，形成两端重、中间轻的“哑铃型”结构。</w:t>
      </w:r>
    </w:p>
    <w:p w14:paraId="1B109421">
      <w:pPr>
        <w:ind w:firstLine="562" w:firstLineChars="200"/>
        <w:outlineLvl w:val="1"/>
        <w:rPr>
          <w:rFonts w:hint="eastAsia" w:ascii="黑体" w:hAnsi="黑体" w:eastAsia="黑体" w:cs="黑体"/>
          <w:b/>
          <w:bCs/>
          <w:sz w:val="28"/>
          <w:szCs w:val="28"/>
        </w:rPr>
      </w:pPr>
      <w:r>
        <w:rPr>
          <w:rFonts w:hint="eastAsia" w:ascii="黑体" w:hAnsi="黑体" w:eastAsia="黑体" w:cs="黑体"/>
          <w:b/>
          <w:bCs/>
          <w:sz w:val="28"/>
          <w:szCs w:val="28"/>
        </w:rPr>
        <w:t xml:space="preserve">3.4.2 </w:t>
      </w:r>
      <w:bookmarkEnd w:id="64"/>
      <w:r>
        <w:rPr>
          <w:rFonts w:hint="eastAsia" w:ascii="黑体" w:hAnsi="黑体" w:eastAsia="黑体" w:cs="黑体"/>
          <w:b/>
          <w:bCs/>
          <w:sz w:val="28"/>
          <w:szCs w:val="28"/>
        </w:rPr>
        <w:t>研发迭代</w:t>
      </w:r>
    </w:p>
    <w:p w14:paraId="5395B45B">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轻资产的供应链模式解决了硬件生产问题，而软件层面的持续迭代，则是保障产品长期竞争力的关键。</w:t>
      </w:r>
    </w:p>
    <w:p w14:paraId="3F9782BA">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本项目将依托与第三方CMA/CNAS检测机构及中小饮料代工厂的合作，建立合规的数据回流与共享机制。客户在日常检测中产生的真实光谱数据，将持续用于训练和优化云端AI模型，形成“使用越多、数据越多、模型越准”的“数据飞轮”效应。</w:t>
      </w:r>
    </w:p>
    <w:p w14:paraId="64A43468">
      <w:pPr>
        <w:rPr>
          <w:rFonts w:hint="eastAsia" w:ascii="宋体" w:hAnsi="宋体" w:eastAsia="宋体" w:cs="宋体"/>
          <w:kern w:val="0"/>
          <w:sz w:val="24"/>
          <w:lang w:eastAsia="zh" w:bidi="ar"/>
        </w:rPr>
      </w:pPr>
      <w:r>
        <w:rPr>
          <w:rFonts w:hint="eastAsia" w:ascii="宋体" w:hAnsi="宋体" w:eastAsia="宋体" w:cs="宋体"/>
          <w:kern w:val="0"/>
          <w:sz w:val="24"/>
          <w:lang w:bidi="ar"/>
        </w:rPr>
        <w:t xml:space="preserve">           </w:t>
      </w:r>
    </w:p>
    <w:p w14:paraId="05792548">
      <w:pPr>
        <w:ind w:firstLine="422" w:firstLineChars="200"/>
        <w:jc w:val="center"/>
        <w:rPr>
          <w:rFonts w:hint="eastAsia" w:ascii="黑体" w:hAnsi="黑体" w:eastAsia="黑体" w:cs="黑体"/>
          <w:b/>
          <w:bCs/>
          <w:kern w:val="0"/>
          <w:sz w:val="21"/>
          <w:szCs w:val="21"/>
          <w:lang w:bidi="ar"/>
        </w:rPr>
      </w:pPr>
      <w:r>
        <w:rPr>
          <w:rFonts w:hint="eastAsia" w:ascii="黑体" w:hAnsi="黑体" w:eastAsia="黑体" w:cs="黑体"/>
          <w:b/>
          <w:bCs/>
          <w:kern w:val="0"/>
          <w:sz w:val="21"/>
          <w:szCs w:val="21"/>
          <w:lang w:bidi="ar"/>
        </w:rPr>
        <w:t>图3-10“数据飞轮”</w:t>
      </w:r>
      <w:r>
        <w:rPr>
          <w:rFonts w:hint="eastAsia" w:ascii="黑体" w:hAnsi="黑体" w:eastAsia="黑体" w:cs="黑体"/>
          <w:b/>
          <w:bCs/>
          <w:kern w:val="0"/>
          <w:sz w:val="21"/>
          <w:szCs w:val="21"/>
          <w:lang w:eastAsia="zh" w:bidi="ar"/>
        </w:rPr>
        <w:t>示意</w:t>
      </w:r>
      <w:r>
        <w:rPr>
          <w:rFonts w:hint="eastAsia" w:ascii="黑体" w:hAnsi="黑体" w:eastAsia="黑体" w:cs="黑体"/>
          <w:b/>
          <w:bCs/>
          <w:kern w:val="0"/>
          <w:sz w:val="21"/>
          <w:szCs w:val="21"/>
          <w:lang w:bidi="ar"/>
        </w:rPr>
        <w:t>图</w:t>
      </w:r>
    </w:p>
    <w:p w14:paraId="14656827">
      <w:pPr>
        <w:widowControl/>
        <w:spacing w:beforeAutospacing="1" w:after="100" w:afterAutospacing="1" w:line="279" w:lineRule="auto"/>
        <w:ind w:firstLine="560" w:firstLineChars="200"/>
        <w:rPr>
          <w:rFonts w:hint="eastAsia" w:ascii="宋体" w:hAnsi="宋体" w:eastAsia="宋体" w:cs="宋体"/>
          <w:kern w:val="0"/>
          <w:sz w:val="28"/>
          <w:szCs w:val="28"/>
          <w:lang w:bidi="ar"/>
        </w:rPr>
      </w:pPr>
      <w:bookmarkStart w:id="65" w:name="_Toc22475"/>
      <w:r>
        <w:rPr>
          <w:rFonts w:hint="eastAsia" w:ascii="宋体" w:hAnsi="宋体" w:eastAsia="宋体" w:cs="宋体"/>
          <w:kern w:val="0"/>
          <w:sz w:val="28"/>
          <w:szCs w:val="28"/>
          <w:lang w:bidi="ar"/>
        </w:rPr>
        <w:t>研发团队将保持敏捷开发节奏，通过OTA在线升级技术定期向终端设备推送优化后的算法版本。即使未来出现新型违规</w:t>
      </w:r>
      <w:r>
        <w:rPr>
          <w:rFonts w:hint="eastAsia" w:ascii="宋体" w:hAnsi="宋体" w:eastAsia="宋体" w:cs="宋体"/>
          <w:kern w:val="0"/>
          <w:sz w:val="28"/>
          <w:szCs w:val="28"/>
          <w:lang w:eastAsia="zh" w:bidi="ar"/>
        </w:rPr>
        <w:t>人工</w:t>
      </w:r>
      <w:r>
        <w:rPr>
          <w:rFonts w:hint="eastAsia" w:ascii="宋体" w:hAnsi="宋体" w:eastAsia="宋体" w:cs="宋体"/>
          <w:kern w:val="0"/>
          <w:sz w:val="28"/>
          <w:szCs w:val="28"/>
          <w:lang w:bidi="ar"/>
        </w:rPr>
        <w:t>合成色素，也能在采集样本后快速完成模型训练并下发更新，确保设备检测能力持续有效。</w:t>
      </w:r>
    </w:p>
    <w:p w14:paraId="20D58C02">
      <w:pPr>
        <w:ind w:firstLine="562" w:firstLineChars="200"/>
        <w:outlineLvl w:val="1"/>
        <w:rPr>
          <w:rFonts w:hint="eastAsia" w:ascii="黑体" w:hAnsi="黑体" w:eastAsia="黑体" w:cs="黑体"/>
          <w:b/>
          <w:bCs/>
          <w:sz w:val="28"/>
          <w:szCs w:val="28"/>
        </w:rPr>
      </w:pPr>
      <w:r>
        <w:rPr>
          <w:rFonts w:hint="eastAsia" w:ascii="黑体" w:hAnsi="黑体" w:eastAsia="黑体" w:cs="黑体"/>
          <w:b/>
          <w:bCs/>
          <w:sz w:val="28"/>
          <w:szCs w:val="28"/>
        </w:rPr>
        <w:t xml:space="preserve">3.4.3 </w:t>
      </w:r>
      <w:bookmarkEnd w:id="65"/>
      <w:r>
        <w:rPr>
          <w:rFonts w:hint="eastAsia" w:ascii="黑体" w:hAnsi="黑体" w:eastAsia="黑体" w:cs="黑体"/>
          <w:b/>
          <w:bCs/>
          <w:sz w:val="28"/>
          <w:szCs w:val="28"/>
        </w:rPr>
        <w:t>渠道与售后</w:t>
      </w:r>
    </w:p>
    <w:p w14:paraId="6056F763">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面对首批第三方检测实验室与中小饮料企业</w:t>
      </w:r>
      <w:r>
        <w:rPr>
          <w:rFonts w:hint="eastAsia" w:ascii="宋体" w:hAnsi="宋体" w:eastAsia="宋体" w:cs="宋体"/>
          <w:kern w:val="0"/>
          <w:sz w:val="28"/>
          <w:szCs w:val="28"/>
          <w:lang w:eastAsia="zh" w:bidi="ar"/>
        </w:rPr>
        <w:t>（B端）</w:t>
      </w:r>
      <w:r>
        <w:rPr>
          <w:rFonts w:hint="eastAsia" w:ascii="宋体" w:hAnsi="宋体" w:eastAsia="宋体" w:cs="宋体"/>
          <w:kern w:val="0"/>
          <w:sz w:val="28"/>
          <w:szCs w:val="28"/>
          <w:lang w:bidi="ar"/>
        </w:rPr>
        <w:t>，团队将采取“直销+免费试用”策略，提供样机进驻并现场出具“降本增效对比报告”，用实测数据消除客户对新技术的采购顾虑。</w:t>
      </w:r>
    </w:p>
    <w:p w14:paraId="1114D158">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面向市场监管局等政府端（G端）客户，考虑到政府采购的合规流程与地方资源壁垒，团队将招募具备招投标资质和本地政企资源的区域代理商，通过“让利换渠道”的方式将设备快速铺设至基层食安执法所。</w:t>
      </w:r>
    </w:p>
    <w:p w14:paraId="7C65DF99">
      <w:pPr>
        <w:spacing w:line="279" w:lineRule="auto"/>
        <w:rPr>
          <w:rFonts w:hint="eastAsia"/>
        </w:rPr>
      </w:pPr>
    </w:p>
    <w:p w14:paraId="38BAACCB">
      <w:pPr>
        <w:spacing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图3-11 商业化破局路线</w:t>
      </w:r>
    </w:p>
    <w:p w14:paraId="1643265E">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在售后服务上，建立线上远程诊断</w:t>
      </w:r>
      <w:r>
        <w:rPr>
          <w:rFonts w:hint="eastAsia" w:ascii="宋体" w:hAnsi="宋体" w:eastAsia="宋体" w:cs="宋体"/>
          <w:kern w:val="0"/>
          <w:sz w:val="28"/>
          <w:szCs w:val="28"/>
          <w:lang w:eastAsia="zh" w:bidi="ar"/>
        </w:rPr>
        <w:t>和</w:t>
      </w:r>
      <w:r>
        <w:rPr>
          <w:rFonts w:hint="eastAsia" w:ascii="宋体" w:hAnsi="宋体" w:eastAsia="宋体" w:cs="宋体"/>
          <w:kern w:val="0"/>
          <w:sz w:val="28"/>
          <w:szCs w:val="28"/>
          <w:lang w:bidi="ar"/>
        </w:rPr>
        <w:t>心部件寄修换新体系，避免传统仪器厂商依赖庞大线下售后团队的重运营模式，在保障服务质量的同时有效控制运营成本。</w:t>
      </w:r>
    </w:p>
    <w:p w14:paraId="0B1E6DBF">
      <w:pPr>
        <w:ind w:firstLine="562" w:firstLineChars="200"/>
        <w:outlineLvl w:val="1"/>
        <w:rPr>
          <w:rFonts w:hint="eastAsia" w:ascii="宋体" w:hAnsi="宋体" w:eastAsia="宋体" w:cs="宋体"/>
          <w:kern w:val="0"/>
          <w:sz w:val="28"/>
          <w:szCs w:val="28"/>
          <w:lang w:bidi="ar"/>
        </w:rPr>
      </w:pPr>
      <w:bookmarkStart w:id="66" w:name="_Toc6695"/>
      <w:r>
        <w:rPr>
          <w:rFonts w:hint="eastAsia" w:ascii="黑体" w:hAnsi="黑体" w:eastAsia="黑体" w:cs="黑体"/>
          <w:b/>
          <w:bCs/>
          <w:sz w:val="28"/>
          <w:szCs w:val="28"/>
        </w:rPr>
        <w:t xml:space="preserve">3.4.4 </w:t>
      </w:r>
      <w:bookmarkEnd w:id="66"/>
      <w:r>
        <w:rPr>
          <w:rFonts w:hint="eastAsia" w:ascii="黑体" w:hAnsi="黑体" w:eastAsia="黑体" w:cs="黑体"/>
          <w:b/>
          <w:bCs/>
          <w:sz w:val="28"/>
          <w:szCs w:val="28"/>
        </w:rPr>
        <w:t>团队架构</w:t>
      </w:r>
    </w:p>
    <w:p w14:paraId="47B31E72">
      <w:pPr>
        <w:widowControl/>
        <w:spacing w:beforeAutospacing="1" w:after="100" w:afterAutospacing="1" w:line="279" w:lineRule="auto"/>
        <w:ind w:firstLine="560" w:firstLineChars="200"/>
        <w:rPr>
          <w:rFonts w:hint="eastAsia" w:ascii="宋体" w:hAnsi="宋体" w:eastAsia="宋体" w:cs="宋体"/>
          <w:sz w:val="28"/>
          <w:szCs w:val="28"/>
        </w:rPr>
      </w:pPr>
      <w:r>
        <w:rPr>
          <w:rFonts w:hint="eastAsia" w:ascii="宋体" w:hAnsi="宋体" w:eastAsia="宋体" w:cs="宋体"/>
          <w:kern w:val="0"/>
          <w:sz w:val="28"/>
          <w:szCs w:val="28"/>
          <w:lang w:bidi="ar"/>
        </w:rPr>
        <w:t>在组织架构上，项目构建了以“光电工程 + 人工智能 + 食品科学”为核心的研发铁三角，确保从光学硬件选型、AI算法开发，到饮料基质化学特性分析，每个环节均有专业人员把关，避免技术与实际应用场景脱节。同时，早期团队已配置具备B端仪器销售与G端项目交付经验的商务成员，形成“研发—生产—销售—交付”的完整运营闭环。这一团队结构，为项目从实验室原型机走向规模化商业量产提供了必要的组织保障。</w:t>
      </w:r>
    </w:p>
    <w:p w14:paraId="0152D039">
      <w:pPr>
        <w:spacing w:before="240" w:after="240" w:line="240" w:lineRule="auto"/>
        <w:jc w:val="both"/>
        <w:outlineLvl w:val="0"/>
        <w:rPr>
          <w:rFonts w:hint="eastAsia" w:ascii="黑体" w:hAnsi="黑体" w:eastAsia="黑体" w:cs="黑体"/>
          <w:b/>
          <w:bCs/>
          <w:sz w:val="32"/>
        </w:rPr>
      </w:pPr>
      <w:bookmarkStart w:id="67" w:name="_Toc12930"/>
      <w:r>
        <w:rPr>
          <w:rFonts w:hint="eastAsia" w:ascii="黑体" w:hAnsi="黑体" w:eastAsia="黑体" w:cs="黑体"/>
          <w:b/>
          <w:bCs/>
          <w:sz w:val="32"/>
        </w:rPr>
        <w:t>第四章：市场优势</w:t>
      </w:r>
      <w:bookmarkEnd w:id="67"/>
    </w:p>
    <w:p w14:paraId="1D14F4A1">
      <w:pPr>
        <w:ind w:firstLine="602" w:firstLineChars="200"/>
        <w:outlineLvl w:val="0"/>
        <w:rPr>
          <w:rFonts w:hint="eastAsia" w:ascii="黑体" w:hAnsi="黑体" w:eastAsia="黑体" w:cs="黑体"/>
          <w:b/>
          <w:bCs/>
          <w:sz w:val="30"/>
          <w:szCs w:val="30"/>
        </w:rPr>
      </w:pPr>
      <w:bookmarkStart w:id="68" w:name="_Toc13135"/>
      <w:r>
        <w:rPr>
          <w:rFonts w:hint="eastAsia" w:ascii="黑体" w:hAnsi="黑体" w:eastAsia="黑体" w:cs="黑体"/>
          <w:b/>
          <w:bCs/>
          <w:sz w:val="30"/>
          <w:szCs w:val="30"/>
        </w:rPr>
        <w:t>4.1 检测市场分析</w:t>
      </w:r>
      <w:bookmarkEnd w:id="68"/>
      <w:r>
        <w:rPr>
          <w:rFonts w:hint="eastAsia" w:ascii="黑体" w:hAnsi="黑体" w:eastAsia="黑体" w:cs="黑体"/>
          <w:b/>
          <w:bCs/>
          <w:sz w:val="30"/>
          <w:szCs w:val="30"/>
        </w:rPr>
        <w:t xml:space="preserve"> </w:t>
      </w:r>
    </w:p>
    <w:p w14:paraId="3C760E62">
      <w:pPr>
        <w:widowControl/>
        <w:spacing w:beforeAutospacing="1" w:after="100" w:afterAutospacing="1" w:line="279" w:lineRule="auto"/>
        <w:ind w:firstLine="560" w:firstLineChars="200"/>
        <w:rPr>
          <w:rFonts w:hint="eastAsia" w:ascii="宋体" w:hAnsi="宋体" w:eastAsia="宋体" w:cs="宋体"/>
          <w:kern w:val="0"/>
          <w:sz w:val="28"/>
          <w:szCs w:val="28"/>
          <w:lang w:bidi="ar"/>
        </w:rPr>
      </w:pPr>
      <w:r>
        <w:rPr>
          <w:rFonts w:hint="eastAsia" w:ascii="宋体" w:hAnsi="宋体" w:eastAsia="宋体" w:cs="宋体"/>
          <w:kern w:val="0"/>
          <w:sz w:val="28"/>
          <w:szCs w:val="28"/>
          <w:lang w:bidi="ar"/>
        </w:rPr>
        <w:t>本项目所面向的饮料检测市场，并非依赖单一因素驱动，而是政策收紧、产业升级与消费观念转变三股力量共同作用的结果。理解这一市场的驱动逻辑，是判断项目商业价值的基础。</w:t>
      </w:r>
    </w:p>
    <w:p w14:paraId="0E849425">
      <w:pPr>
        <w:ind w:firstLine="602" w:firstLineChars="200"/>
        <w:outlineLvl w:val="1"/>
        <w:rPr>
          <w:rFonts w:hint="eastAsia" w:ascii="黑体" w:hAnsi="黑体" w:eastAsia="黑体" w:cs="黑体"/>
          <w:b/>
          <w:bCs/>
          <w:sz w:val="30"/>
          <w:szCs w:val="30"/>
        </w:rPr>
      </w:pPr>
      <w:bookmarkStart w:id="69" w:name="_Toc1237"/>
      <w:r>
        <w:rPr>
          <w:rFonts w:hint="eastAsia" w:ascii="黑体" w:hAnsi="黑体" w:eastAsia="黑体" w:cs="黑体"/>
          <w:b/>
          <w:bCs/>
          <w:sz w:val="30"/>
          <w:szCs w:val="30"/>
        </w:rPr>
        <w:t>4.1.1 市场驱动力</w:t>
      </w:r>
      <w:bookmarkEnd w:id="69"/>
    </w:p>
    <w:p w14:paraId="0C856D6E">
      <w:pPr>
        <w:numPr>
          <w:ilvl w:val="0"/>
          <w:numId w:val="2"/>
        </w:numPr>
        <w:ind w:firstLine="560" w:firstLineChars="200"/>
        <w:outlineLvl w:val="2"/>
        <w:rPr>
          <w:rFonts w:hint="eastAsia" w:ascii="宋体" w:hAnsi="宋体" w:eastAsia="宋体" w:cs="宋体"/>
          <w:sz w:val="28"/>
          <w:szCs w:val="28"/>
        </w:rPr>
      </w:pPr>
      <w:r>
        <w:rPr>
          <w:rFonts w:hint="eastAsia" w:ascii="宋体" w:hAnsi="宋体" w:eastAsia="宋体" w:cs="宋体"/>
          <w:sz w:val="28"/>
          <w:szCs w:val="28"/>
        </w:rPr>
        <w:t>监管从</w:t>
      </w:r>
      <w:r>
        <w:rPr>
          <w:rFonts w:hint="eastAsia" w:ascii="宋体" w:hAnsi="宋体" w:eastAsia="宋体" w:cs="宋体"/>
          <w:sz w:val="28"/>
          <w:szCs w:val="28"/>
          <w:lang w:eastAsia="zh"/>
        </w:rPr>
        <w:t>“</w:t>
      </w:r>
      <w:r>
        <w:rPr>
          <w:rFonts w:hint="eastAsia" w:ascii="宋体" w:hAnsi="宋体" w:eastAsia="宋体" w:cs="宋体"/>
          <w:sz w:val="28"/>
          <w:szCs w:val="28"/>
        </w:rPr>
        <w:t>事后处罚</w:t>
      </w:r>
      <w:r>
        <w:rPr>
          <w:rFonts w:hint="eastAsia" w:ascii="宋体" w:hAnsi="宋体" w:eastAsia="宋体" w:cs="宋体"/>
          <w:sz w:val="28"/>
          <w:szCs w:val="28"/>
          <w:lang w:eastAsia="zh"/>
        </w:rPr>
        <w:t>”</w:t>
      </w:r>
      <w:r>
        <w:rPr>
          <w:rFonts w:hint="eastAsia" w:ascii="宋体" w:hAnsi="宋体" w:eastAsia="宋体" w:cs="宋体"/>
          <w:sz w:val="28"/>
          <w:szCs w:val="28"/>
        </w:rPr>
        <w:t>转向</w:t>
      </w:r>
      <w:r>
        <w:rPr>
          <w:rFonts w:hint="eastAsia" w:ascii="宋体" w:hAnsi="宋体" w:eastAsia="宋体" w:cs="宋体"/>
          <w:sz w:val="28"/>
          <w:szCs w:val="28"/>
          <w:lang w:eastAsia="zh"/>
        </w:rPr>
        <w:t>“</w:t>
      </w:r>
      <w:r>
        <w:rPr>
          <w:rFonts w:hint="eastAsia" w:ascii="宋体" w:hAnsi="宋体" w:eastAsia="宋体" w:cs="宋体"/>
          <w:sz w:val="28"/>
          <w:szCs w:val="28"/>
        </w:rPr>
        <w:t>全程管控</w:t>
      </w:r>
      <w:r>
        <w:rPr>
          <w:rFonts w:hint="eastAsia" w:ascii="宋体" w:hAnsi="宋体" w:eastAsia="宋体" w:cs="宋体"/>
          <w:sz w:val="28"/>
          <w:szCs w:val="28"/>
          <w:lang w:eastAsia="zh"/>
        </w:rPr>
        <w:t>”</w:t>
      </w:r>
      <w:r>
        <w:rPr>
          <w:rFonts w:hint="eastAsia" w:ascii="宋体" w:hAnsi="宋体" w:eastAsia="宋体" w:cs="宋体"/>
          <w:sz w:val="28"/>
          <w:szCs w:val="28"/>
        </w:rPr>
        <w:t>。​</w:t>
      </w:r>
    </w:p>
    <w:p w14:paraId="5A35F133">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我国食品安全监管体系正在经历系统性升级。最新版《食品安全国家标准 食品添加剂使用标准》（GB 2760）对饮料中防腐剂、甜味剂及人工色素的使用限量和适用范围提出了更严格的要求，</w:t>
      </w:r>
      <w:r>
        <w:rPr>
          <w:rFonts w:hint="eastAsia" w:ascii="宋体" w:hAnsi="宋体" w:eastAsia="宋体" w:cs="宋体"/>
          <w:sz w:val="28"/>
          <w:szCs w:val="28"/>
          <w:lang w:eastAsia="zh"/>
        </w:rPr>
        <w:t>“</w:t>
      </w:r>
      <w:r>
        <w:rPr>
          <w:rFonts w:hint="eastAsia" w:ascii="宋体" w:hAnsi="宋体" w:eastAsia="宋体" w:cs="宋体"/>
          <w:sz w:val="28"/>
          <w:szCs w:val="28"/>
        </w:rPr>
        <w:t>逢出必检</w:t>
      </w:r>
      <w:r>
        <w:rPr>
          <w:rFonts w:hint="eastAsia" w:ascii="宋体" w:hAnsi="宋体" w:eastAsia="宋体" w:cs="宋体"/>
          <w:sz w:val="28"/>
          <w:szCs w:val="28"/>
          <w:lang w:eastAsia="zh"/>
        </w:rPr>
        <w:t>”</w:t>
      </w:r>
      <w:r>
        <w:rPr>
          <w:rFonts w:hint="eastAsia" w:ascii="宋体" w:hAnsi="宋体" w:eastAsia="宋体" w:cs="宋体"/>
          <w:sz w:val="28"/>
          <w:szCs w:val="28"/>
        </w:rPr>
        <w:t>已成为企业合规的基本门槛。对于生产企业而言，如何在高效生产的同时快速完成合规验证，是</w:t>
      </w:r>
      <w:r>
        <w:rPr>
          <w:rFonts w:hint="eastAsia" w:ascii="宋体" w:hAnsi="宋体" w:eastAsia="宋体" w:cs="宋体"/>
          <w:sz w:val="28"/>
          <w:szCs w:val="28"/>
          <w:lang w:eastAsia="zh"/>
        </w:rPr>
        <w:t>急需</w:t>
      </w:r>
      <w:r>
        <w:rPr>
          <w:rFonts w:hint="eastAsia" w:ascii="宋体" w:hAnsi="宋体" w:eastAsia="宋体" w:cs="宋体"/>
          <w:sz w:val="28"/>
          <w:szCs w:val="28"/>
        </w:rPr>
        <w:t>解决的现实问题。</w:t>
      </w:r>
    </w:p>
    <w:p w14:paraId="741C8493">
      <w:pPr>
        <w:spacing w:line="279" w:lineRule="auto"/>
        <w:ind w:firstLine="560" w:firstLineChars="200"/>
        <w:outlineLvl w:val="2"/>
        <w:rPr>
          <w:rFonts w:hint="eastAsia" w:ascii="宋体" w:hAnsi="宋体" w:eastAsia="宋体" w:cs="宋体"/>
          <w:sz w:val="28"/>
          <w:szCs w:val="28"/>
        </w:rPr>
      </w:pPr>
      <w:r>
        <w:rPr>
          <w:rFonts w:hint="eastAsia" w:ascii="宋体" w:hAnsi="宋体" w:eastAsia="宋体" w:cs="宋体"/>
          <w:sz w:val="28"/>
          <w:szCs w:val="28"/>
        </w:rPr>
        <w:t>（2）产线速度与检测能力之间存在明显缺口。</w:t>
      </w:r>
    </w:p>
    <w:p w14:paraId="5E514535">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 现代饮料产线的灌装速度通常在36,000至72,000瓶/小时，传统人工抽检不仅容易因视觉疲劳产生漏检，在速度上也根本无法匹配产线节拍。加之饮料包装</w:t>
      </w:r>
      <w:r>
        <w:rPr>
          <w:rFonts w:hint="eastAsia" w:ascii="宋体" w:hAnsi="宋体" w:eastAsia="宋体" w:cs="宋体"/>
          <w:sz w:val="28"/>
          <w:szCs w:val="28"/>
          <w:lang w:eastAsia="zh"/>
        </w:rPr>
        <w:t>如</w:t>
      </w:r>
      <w:r>
        <w:rPr>
          <w:rFonts w:hint="eastAsia" w:ascii="宋体" w:hAnsi="宋体" w:eastAsia="宋体" w:cs="宋体"/>
          <w:sz w:val="28"/>
          <w:szCs w:val="28"/>
        </w:rPr>
        <w:t>PET瓶、玻璃瓶</w:t>
      </w:r>
      <w:r>
        <w:rPr>
          <w:rFonts w:hint="eastAsia" w:ascii="宋体" w:hAnsi="宋体" w:eastAsia="宋体" w:cs="宋体"/>
          <w:sz w:val="28"/>
          <w:szCs w:val="28"/>
          <w:lang w:eastAsia="zh"/>
        </w:rPr>
        <w:t>等</w:t>
      </w:r>
      <w:r>
        <w:rPr>
          <w:rFonts w:hint="eastAsia" w:ascii="宋体" w:hAnsi="宋体" w:eastAsia="宋体" w:cs="宋体"/>
          <w:sz w:val="28"/>
          <w:szCs w:val="28"/>
        </w:rPr>
        <w:t>高反光、易附着水滴的特性，传统光电传感器误判率较高。这一产业层面的结构性痛点，直接推动了AI视觉与智能传感设备的规模化需求。</w:t>
      </w:r>
    </w:p>
    <w:p w14:paraId="526AE130">
      <w:pPr>
        <w:spacing w:line="279" w:lineRule="auto"/>
        <w:ind w:firstLine="560" w:firstLineChars="200"/>
      </w:pPr>
      <w:r>
        <w:rPr>
          <w:rFonts w:hint="eastAsia" w:ascii="宋体" w:hAnsi="宋体" w:eastAsia="宋体" w:cs="宋体"/>
          <w:sz w:val="28"/>
          <w:szCs w:val="28"/>
        </w:rPr>
        <w:t>下图展示了机器视觉技术在饮料产线灌装、封盖、贴标、输送</w:t>
      </w:r>
      <w:r>
        <w:rPr>
          <w:rFonts w:hint="eastAsia" w:ascii="宋体" w:hAnsi="宋体" w:eastAsia="宋体" w:cs="宋体"/>
          <w:sz w:val="28"/>
          <w:szCs w:val="28"/>
          <w:lang w:eastAsia="zh"/>
        </w:rPr>
        <w:t>等环节</w:t>
      </w:r>
      <w:r>
        <w:rPr>
          <w:rFonts w:hint="eastAsia" w:ascii="宋体" w:hAnsi="宋体" w:eastAsia="宋体" w:cs="宋体"/>
          <w:sz w:val="28"/>
          <w:szCs w:val="28"/>
        </w:rPr>
        <w:t>的部署位置与典型检测任务，直观说明智能检测设备在现代产线中的实际应用场景。</w:t>
      </w:r>
    </w:p>
    <w:p w14:paraId="5A73042C">
      <w:pPr>
        <w:spacing w:line="279" w:lineRule="auto"/>
        <w:rPr>
          <w:rFonts w:hint="eastAsia"/>
        </w:rPr>
      </w:pPr>
    </w:p>
    <w:p w14:paraId="08CF615E">
      <w:pPr>
        <w:pStyle w:val="2"/>
        <w:keepNext w:val="0"/>
        <w:keepLines w:val="0"/>
        <w:widowControl/>
        <w:shd w:val="clear" w:color="auto" w:fill="FFFFFF"/>
        <w:spacing w:before="0" w:after="200" w:line="12" w:lineRule="atLeast"/>
        <w:jc w:val="center"/>
        <w:outlineLvl w:val="9"/>
        <w:rPr>
          <w:rFonts w:hint="eastAsia" w:ascii="宋体" w:hAnsi="宋体" w:eastAsia="宋体" w:cs="宋体"/>
          <w:sz w:val="28"/>
          <w:szCs w:val="28"/>
        </w:rPr>
      </w:pPr>
      <w:bookmarkStart w:id="70" w:name="_Toc5931"/>
      <w:bookmarkStart w:id="71" w:name="_Toc31610"/>
      <w:r>
        <w:rPr>
          <w:rFonts w:hint="eastAsia" w:ascii="黑体" w:hAnsi="黑体" w:eastAsia="黑体" w:cs="黑体"/>
          <w:b/>
          <w:bCs/>
          <w:color w:val="auto"/>
          <w:sz w:val="21"/>
          <w:szCs w:val="21"/>
        </w:rPr>
        <w:t>图4-1 机器视觉系统在食品饮料生产线在线检测的应用</w:t>
      </w:r>
      <w:bookmarkEnd w:id="70"/>
      <w:bookmarkEnd w:id="71"/>
    </w:p>
    <w:p w14:paraId="008920E6">
      <w:pPr>
        <w:spacing w:line="279" w:lineRule="auto"/>
        <w:ind w:firstLine="560" w:firstLineChars="200"/>
        <w:outlineLvl w:val="2"/>
        <w:rPr>
          <w:rFonts w:hint="eastAsia" w:ascii="宋体" w:hAnsi="宋体" w:eastAsia="宋体" w:cs="宋体"/>
          <w:sz w:val="28"/>
          <w:szCs w:val="28"/>
        </w:rPr>
      </w:pPr>
      <w:r>
        <w:rPr>
          <w:rFonts w:hint="eastAsia" w:ascii="宋体" w:hAnsi="宋体" w:eastAsia="宋体" w:cs="宋体"/>
          <w:sz w:val="28"/>
          <w:szCs w:val="28"/>
        </w:rPr>
        <w:t xml:space="preserve">（3）消费者对配料透明度的关注持续提升。​ </w:t>
      </w:r>
    </w:p>
    <w:p w14:paraId="3D77C8BC">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随着健康意识普及，查看饮料配料表已成为相当一部分消费者的购买习惯，“0添加”、“无人工色素”逐渐成为品牌差异化的重要卖点。一旦出现添加剂超标或异物混入事件，不仅面临监管处罚，品牌声誉的修复成本往往远超产品本身的损失，这促使头部品牌在品控环节持续加大投入。</w:t>
      </w:r>
    </w:p>
    <w:p w14:paraId="4D831888">
      <w:pPr>
        <w:ind w:left="440" w:leftChars="200"/>
        <w:rPr>
          <w:rFonts w:hint="eastAsia"/>
        </w:rPr>
      </w:pPr>
    </w:p>
    <w:p w14:paraId="0CD45A81">
      <w:pPr>
        <w:ind w:left="440" w:leftChars="200"/>
        <w:jc w:val="center"/>
        <w:rPr>
          <w:rFonts w:hint="eastAsia" w:ascii="黑体" w:hAnsi="黑体" w:eastAsia="黑体" w:cs="黑体"/>
          <w:b/>
          <w:bCs/>
          <w:sz w:val="21"/>
          <w:szCs w:val="21"/>
        </w:rPr>
      </w:pPr>
      <w:r>
        <w:rPr>
          <w:rFonts w:hint="eastAsia" w:ascii="黑体" w:hAnsi="黑体" w:eastAsia="黑体" w:cs="黑体"/>
          <w:b/>
          <w:bCs/>
          <w:sz w:val="21"/>
          <w:szCs w:val="21"/>
        </w:rPr>
        <w:t>图4-2消费端 “清洁标签” 觉醒与饮料行业品控升级</w:t>
      </w:r>
    </w:p>
    <w:p w14:paraId="0BCB5252">
      <w:pPr>
        <w:ind w:firstLine="602" w:firstLineChars="200"/>
        <w:outlineLvl w:val="1"/>
        <w:rPr>
          <w:rFonts w:hint="eastAsia" w:ascii="黑体" w:hAnsi="黑体" w:eastAsia="黑体" w:cs="黑体"/>
          <w:b/>
          <w:bCs/>
          <w:sz w:val="30"/>
          <w:szCs w:val="30"/>
        </w:rPr>
      </w:pPr>
      <w:bookmarkStart w:id="72" w:name="_Toc11573"/>
      <w:r>
        <w:rPr>
          <w:rFonts w:hint="eastAsia" w:ascii="黑体" w:hAnsi="黑体" w:eastAsia="黑体" w:cs="黑体"/>
          <w:b/>
          <w:bCs/>
          <w:sz w:val="30"/>
          <w:szCs w:val="30"/>
        </w:rPr>
        <w:t>4.1.2 规模与增速</w:t>
      </w:r>
      <w:bookmarkEnd w:id="72"/>
    </w:p>
    <w:p w14:paraId="74BFD0D1">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在上述三重驱动力的支撑下，相关市场的规模与增速均有权威数据可以佐证。</w:t>
      </w:r>
    </w:p>
    <w:p w14:paraId="5CA15900">
      <w:pPr>
        <w:numPr>
          <w:ilvl w:val="0"/>
          <w:numId w:val="3"/>
        </w:numPr>
        <w:ind w:firstLine="560" w:firstLineChars="200"/>
        <w:rPr>
          <w:rFonts w:hint="eastAsia" w:ascii="宋体" w:hAnsi="宋体" w:eastAsia="宋体" w:cs="宋体"/>
          <w:sz w:val="28"/>
          <w:szCs w:val="28"/>
        </w:rPr>
      </w:pPr>
      <w:r>
        <w:rPr>
          <w:rFonts w:hint="eastAsia" w:ascii="宋体" w:hAnsi="宋体" w:eastAsia="宋体" w:cs="宋体"/>
          <w:sz w:val="28"/>
          <w:szCs w:val="28"/>
        </w:rPr>
        <w:t>全球食品饮料安全检测市场具有典型的刚需属性，受经济周期影响较小。据行业权威机构预测，2026年该市场规模将达到约281.0亿美元，并以8.25%的复合年增长率（CAGR）持续扩张，预计至2034年突破529.9亿美元。其中，饮料板块因产量基数大、液体成分复杂，在整体市场中占据较高份额。</w:t>
      </w:r>
    </w:p>
    <w:p w14:paraId="0BED1550">
      <w:pPr>
        <w:jc w:val="center"/>
        <w:rPr>
          <w:rFonts w:hint="eastAsia" w:ascii="黑体" w:hAnsi="黑体" w:eastAsia="黑体" w:cs="黑体"/>
          <w:b/>
          <w:bCs/>
          <w:sz w:val="21"/>
          <w:szCs w:val="21"/>
        </w:rPr>
      </w:pPr>
      <w:r>
        <w:rPr>
          <w:rFonts w:hint="eastAsia" w:ascii="黑体" w:hAnsi="黑体" w:eastAsia="黑体" w:cs="黑体"/>
          <w:b/>
          <w:bCs/>
          <w:sz w:val="21"/>
          <w:szCs w:val="21"/>
        </w:rPr>
        <w:t>图4-3 全球食品安全检测市场概况</w:t>
      </w:r>
    </w:p>
    <w:p w14:paraId="55EA6896">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2）国内工业机器视觉市场的增速则更为显著。据弗若斯特沙利文研究数据，中国工业机器视觉市场规模从2020年的约80亿元增长至2024年的268.3亿元，四年间复合年增长率超过30%。中国每年饮料产量超过1.8亿吨，数以万计的存量饮料产线面临智能化改造需求，预计未来3~5年内将形成百亿级的设备更新与升级空间。</w:t>
      </w:r>
    </w:p>
    <w:p w14:paraId="7A156705">
      <w:pPr>
        <w:ind w:left="440" w:leftChars="200"/>
        <w:jc w:val="center"/>
        <w:rPr>
          <w:rFonts w:hint="eastAsia" w:ascii="黑体" w:hAnsi="黑体" w:eastAsia="黑体" w:cs="黑体"/>
          <w:b/>
          <w:bCs/>
          <w:sz w:val="21"/>
          <w:szCs w:val="21"/>
        </w:rPr>
      </w:pPr>
      <w:r>
        <w:rPr>
          <w:rFonts w:hint="eastAsia" w:ascii="黑体" w:hAnsi="黑体" w:eastAsia="黑体" w:cs="黑体"/>
          <w:b/>
          <w:bCs/>
          <w:sz w:val="21"/>
          <w:szCs w:val="21"/>
        </w:rPr>
        <w:t>图4-4 中国机器视觉产业链结构</w:t>
      </w:r>
    </w:p>
    <w:p w14:paraId="10B7AC61">
      <w:pPr>
        <w:ind w:firstLine="602" w:firstLineChars="200"/>
        <w:outlineLvl w:val="1"/>
        <w:rPr>
          <w:rFonts w:hint="eastAsia" w:ascii="黑体" w:hAnsi="黑体" w:eastAsia="黑体" w:cs="黑体"/>
          <w:b/>
          <w:bCs/>
          <w:sz w:val="30"/>
          <w:szCs w:val="30"/>
        </w:rPr>
      </w:pPr>
      <w:bookmarkStart w:id="73" w:name="_Toc1930"/>
      <w:r>
        <w:rPr>
          <w:rFonts w:hint="eastAsia" w:ascii="黑体" w:hAnsi="黑体" w:eastAsia="黑体" w:cs="黑体"/>
          <w:b/>
          <w:bCs/>
          <w:sz w:val="30"/>
          <w:szCs w:val="30"/>
        </w:rPr>
        <w:t>4.1.3 演进趋势</w:t>
      </w:r>
      <w:bookmarkEnd w:id="73"/>
    </w:p>
    <w:p w14:paraId="622158F6">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市场规模的增长背后，需求结构本身也在发生方向性的变化，这为本项目的切入提供了具体的时机依据。</w:t>
      </w:r>
    </w:p>
    <w:p w14:paraId="0E7C45EC">
      <w:pPr>
        <w:numPr>
          <w:ilvl w:val="0"/>
          <w:numId w:val="4"/>
        </w:numPr>
        <w:spacing w:line="279" w:lineRule="auto"/>
        <w:ind w:firstLine="560" w:firstLineChars="200"/>
        <w:outlineLvl w:val="2"/>
        <w:rPr>
          <w:rFonts w:hint="eastAsia" w:ascii="宋体" w:hAnsi="宋体" w:eastAsia="宋体" w:cs="宋体"/>
          <w:sz w:val="28"/>
          <w:szCs w:val="28"/>
        </w:rPr>
      </w:pPr>
      <w:r>
        <w:rPr>
          <w:rFonts w:hint="eastAsia" w:ascii="宋体" w:hAnsi="宋体" w:eastAsia="宋体" w:cs="宋体"/>
          <w:sz w:val="28"/>
          <w:szCs w:val="28"/>
        </w:rPr>
        <w:t xml:space="preserve">检测维度从“外观缺陷”向“内部成分”延伸。​ </w:t>
      </w:r>
    </w:p>
    <w:p w14:paraId="7D4D4373">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过去五年，行业的主要关注点集中在饮料外观问题，如液位高低、瓶盖歪斜、标签漏贴等。这类问题已基本被现有机器视觉方案覆盖。当前及未来的核心增量需求，在于</w:t>
      </w:r>
      <w:r>
        <w:rPr>
          <w:rFonts w:hint="eastAsia" w:ascii="宋体" w:hAnsi="宋体" w:eastAsia="宋体" w:cs="宋体"/>
          <w:sz w:val="28"/>
          <w:szCs w:val="28"/>
          <w:lang w:eastAsia="zh"/>
        </w:rPr>
        <w:t>“</w:t>
      </w:r>
      <w:r>
        <w:rPr>
          <w:rFonts w:hint="eastAsia" w:ascii="宋体" w:hAnsi="宋体" w:eastAsia="宋体" w:cs="宋体"/>
          <w:sz w:val="28"/>
          <w:szCs w:val="28"/>
        </w:rPr>
        <w:t>透视检测</w:t>
      </w:r>
      <w:r>
        <w:rPr>
          <w:rFonts w:hint="eastAsia" w:ascii="宋体" w:hAnsi="宋体" w:eastAsia="宋体" w:cs="宋体"/>
          <w:sz w:val="28"/>
          <w:szCs w:val="28"/>
          <w:lang w:eastAsia="zh"/>
        </w:rPr>
        <w:t>”</w:t>
      </w:r>
      <w:r>
        <w:rPr>
          <w:rFonts w:hint="eastAsia" w:ascii="宋体" w:hAnsi="宋体" w:eastAsia="宋体" w:cs="宋体"/>
          <w:sz w:val="28"/>
          <w:szCs w:val="28"/>
        </w:rPr>
        <w:t>——即在不破坏包装的前提下，对饮料内部液体的色度、浊度乃至特定添加剂浓度进行实时分析。这正是高光谱技术的核心应用场景。</w:t>
      </w:r>
    </w:p>
    <w:p w14:paraId="02238C1E">
      <w:pPr>
        <w:numPr>
          <w:ilvl w:val="0"/>
          <w:numId w:val="4"/>
        </w:numPr>
        <w:spacing w:line="279" w:lineRule="auto"/>
        <w:ind w:firstLine="560" w:firstLineChars="200"/>
        <w:outlineLvl w:val="2"/>
        <w:rPr>
          <w:rFonts w:hint="eastAsia" w:ascii="宋体" w:hAnsi="宋体" w:eastAsia="宋体" w:cs="宋体"/>
          <w:sz w:val="28"/>
          <w:szCs w:val="28"/>
        </w:rPr>
      </w:pPr>
      <w:r>
        <w:rPr>
          <w:rFonts w:ascii="宋体" w:hAnsi="宋体" w:eastAsia="宋体" w:cs="宋体"/>
          <w:sz w:val="28"/>
          <w:szCs w:val="28"/>
        </w:rPr>
        <w:t>检测场所从</w:t>
      </w:r>
      <w:r>
        <w:rPr>
          <w:rFonts w:hint="eastAsia" w:ascii="宋体" w:hAnsi="宋体" w:eastAsia="宋体" w:cs="宋体"/>
          <w:sz w:val="28"/>
          <w:szCs w:val="28"/>
        </w:rPr>
        <w:t>“</w:t>
      </w:r>
      <w:r>
        <w:rPr>
          <w:rFonts w:ascii="宋体" w:hAnsi="宋体" w:eastAsia="宋体" w:cs="宋体"/>
          <w:sz w:val="28"/>
          <w:szCs w:val="28"/>
        </w:rPr>
        <w:t>实验室”向</w:t>
      </w:r>
      <w:r>
        <w:rPr>
          <w:rFonts w:hint="eastAsia" w:ascii="宋体" w:hAnsi="宋体" w:eastAsia="宋体" w:cs="宋体"/>
          <w:sz w:val="28"/>
          <w:szCs w:val="28"/>
        </w:rPr>
        <w:t>“</w:t>
      </w:r>
      <w:r>
        <w:rPr>
          <w:rFonts w:ascii="宋体" w:hAnsi="宋体" w:eastAsia="宋体" w:cs="宋体"/>
          <w:sz w:val="28"/>
          <w:szCs w:val="28"/>
        </w:rPr>
        <w:t>产线与现场</w:t>
      </w:r>
      <w:r>
        <w:rPr>
          <w:rFonts w:hint="eastAsia" w:ascii="宋体" w:hAnsi="宋体" w:eastAsia="宋体" w:cs="宋体"/>
          <w:sz w:val="28"/>
          <w:szCs w:val="28"/>
        </w:rPr>
        <w:t>”</w:t>
      </w:r>
      <w:r>
        <w:rPr>
          <w:rFonts w:ascii="宋体" w:hAnsi="宋体" w:eastAsia="宋体" w:cs="宋体"/>
          <w:sz w:val="28"/>
          <w:szCs w:val="28"/>
        </w:rPr>
        <w:t>前移。</w:t>
      </w:r>
    </w:p>
    <w:p w14:paraId="73931ABF">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传统成分检测依赖理化实验室，耗时数小时甚至数天，存在明显的时间滞后。市场当前最迫切需要的，是两类产品：一是能部署在高速产线上的在线式全检设备，用于实时拦截不合格品；二是供基层食药监、第三方机构及现制茶饮门店使用的便携式快检终端，用于现场即时筛查。</w:t>
      </w:r>
    </w:p>
    <w:p w14:paraId="654F9C70">
      <w:pPr>
        <w:spacing w:line="279" w:lineRule="auto"/>
        <w:jc w:val="center"/>
        <w:outlineLvl w:val="3"/>
        <w:rPr>
          <w:rFonts w:hint="eastAsia" w:ascii="黑体" w:hAnsi="黑体" w:eastAsia="黑体" w:cs="黑体"/>
          <w:b/>
          <w:bCs/>
          <w:sz w:val="21"/>
          <w:szCs w:val="21"/>
        </w:rPr>
      </w:pPr>
      <w:bookmarkStart w:id="74" w:name="_Toc23388"/>
      <w:r>
        <w:rPr>
          <w:rFonts w:hint="eastAsia" w:ascii="黑体" w:hAnsi="黑体" w:eastAsia="黑体" w:cs="黑体"/>
          <w:b/>
          <w:bCs/>
          <w:sz w:val="21"/>
          <w:szCs w:val="21"/>
        </w:rPr>
        <w:t>4-5 手持高光谱设备原理图</w:t>
      </w:r>
      <w:bookmarkEnd w:id="74"/>
    </w:p>
    <w:p w14:paraId="5CAE11A7">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图示展示了手持式高光谱检测设备的光学采集原理，包括光源照射、光谱分光、传感器接收及数据处理的基本流程，说明其实现现场快检的技术基础。</w:t>
      </w:r>
    </w:p>
    <w:p w14:paraId="4E30CEF7">
      <w:pPr>
        <w:ind w:firstLine="602" w:firstLineChars="200"/>
        <w:outlineLvl w:val="0"/>
        <w:rPr>
          <w:rFonts w:hint="eastAsia" w:ascii="黑体" w:hAnsi="黑体" w:eastAsia="黑体" w:cs="黑体"/>
          <w:b/>
          <w:bCs/>
          <w:sz w:val="30"/>
          <w:szCs w:val="30"/>
        </w:rPr>
      </w:pPr>
      <w:bookmarkStart w:id="75" w:name="_Toc19067"/>
      <w:r>
        <w:rPr>
          <w:rFonts w:hint="eastAsia" w:ascii="黑体" w:hAnsi="黑体" w:eastAsia="黑体" w:cs="黑体"/>
          <w:b/>
          <w:bCs/>
          <w:sz w:val="30"/>
          <w:szCs w:val="30"/>
        </w:rPr>
        <w:t>4.2 人工合成色素危害与行业痛点</w:t>
      </w:r>
      <w:bookmarkEnd w:id="75"/>
    </w:p>
    <w:p w14:paraId="630BE61B">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明确了市场空间之后，需要进一步聚焦本项目的核心检测对象——人工合成色素，以及围绕它所形成的具体行业痛点。这是理解本项目市场价值的关键背景。</w:t>
      </w:r>
    </w:p>
    <w:p w14:paraId="7BC301D7">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在饮料工业中，为弥补加工过程中流失的色泽或迎合消费者的视觉偏好，企业普遍使用着色剂。相较于成本较高、稳定性较弱的天然色素，日落黄、柠檬黄、诱惑红</w:t>
      </w:r>
      <w:r>
        <w:rPr>
          <w:rFonts w:hint="eastAsia" w:ascii="宋体" w:hAnsi="宋体" w:eastAsia="宋体" w:cs="宋体"/>
          <w:sz w:val="28"/>
          <w:szCs w:val="28"/>
          <w:lang w:eastAsia="zh"/>
        </w:rPr>
        <w:t>等</w:t>
      </w:r>
      <w:r>
        <w:rPr>
          <w:rFonts w:ascii="宋体" w:hAnsi="宋体" w:eastAsia="宋体" w:cs="宋体"/>
          <w:sz w:val="28"/>
          <w:szCs w:val="28"/>
        </w:rPr>
        <w:t>人工合成色素因色泽鲜艳、着色力强、价格低廉，被广泛应用于碳酸饮料、果汁饮料、配制酒及现制茶饮中。然而，其潜在的健康风险与日趋严格的监管要求，正在为饮料企业带来持续上升的合规压力。</w:t>
      </w:r>
    </w:p>
    <w:p w14:paraId="0FF5B16B">
      <w:pPr>
        <w:rPr>
          <w:rFonts w:hint="eastAsia" w:ascii="宋体" w:hAnsi="宋体" w:eastAsia="宋体" w:cs="宋体"/>
          <w:sz w:val="24"/>
        </w:rPr>
      </w:pPr>
    </w:p>
    <w:p w14:paraId="74301593">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图4-6 2026年全球食品饮料趋势</w:t>
      </w:r>
    </w:p>
    <w:p w14:paraId="1921C057">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图示汇总了2026年全球食品饮料行业的主要发展趋势，包括"清洁标签"需求增长、天然原料替代比例上升及监管收紧等方向，为本项目的市场背景提供宏观参照。</w:t>
      </w:r>
    </w:p>
    <w:p w14:paraId="3C8399A9">
      <w:pPr>
        <w:ind w:firstLine="562" w:firstLineChars="200"/>
        <w:outlineLvl w:val="1"/>
        <w:rPr>
          <w:rFonts w:hint="eastAsia" w:ascii="黑体" w:hAnsi="黑体" w:eastAsia="黑体" w:cs="黑体"/>
          <w:b/>
          <w:bCs/>
          <w:sz w:val="28"/>
          <w:szCs w:val="28"/>
        </w:rPr>
      </w:pPr>
      <w:bookmarkStart w:id="76" w:name="_Toc6385"/>
      <w:r>
        <w:rPr>
          <w:rFonts w:hint="eastAsia" w:ascii="黑体" w:hAnsi="黑体" w:eastAsia="黑体" w:cs="黑体"/>
          <w:b/>
          <w:bCs/>
          <w:sz w:val="28"/>
          <w:szCs w:val="28"/>
        </w:rPr>
        <w:t>4.2.1 健康风险</w:t>
      </w:r>
      <w:bookmarkEnd w:id="76"/>
    </w:p>
    <w:p w14:paraId="246DCF52">
      <w:pPr>
        <w:ind w:firstLine="560" w:firstLineChars="200"/>
        <w:rPr>
          <w:rFonts w:hint="eastAsia" w:ascii="宋体" w:hAnsi="宋体" w:eastAsia="宋体" w:cs="宋体"/>
          <w:sz w:val="28"/>
          <w:szCs w:val="28"/>
        </w:rPr>
      </w:pPr>
      <w:r>
        <w:rPr>
          <w:rFonts w:ascii="宋体" w:hAnsi="宋体" w:eastAsia="宋体" w:cs="宋体"/>
          <w:sz w:val="28"/>
          <w:szCs w:val="28"/>
        </w:rPr>
        <w:t>人工合成色素本身毫无营养价值，且随着毒理学和临床医学研究的深入，其对人体的健康危害已得到全球医学界的广泛证实：</w:t>
      </w:r>
    </w:p>
    <w:p w14:paraId="3516BDFF">
      <w:pPr>
        <w:numPr>
          <w:ilvl w:val="0"/>
          <w:numId w:val="5"/>
        </w:numPr>
        <w:ind w:firstLine="562" w:firstLineChars="200"/>
        <w:rPr>
          <w:rFonts w:hint="eastAsia" w:ascii="宋体" w:hAnsi="宋体" w:eastAsia="宋体" w:cs="宋体"/>
          <w:sz w:val="28"/>
          <w:szCs w:val="28"/>
        </w:rPr>
      </w:pPr>
      <w:r>
        <w:rPr>
          <w:rFonts w:hint="eastAsia" w:ascii="宋体" w:hAnsi="宋体" w:eastAsia="宋体" w:cs="宋体"/>
          <w:b/>
          <w:bCs/>
          <w:sz w:val="28"/>
          <w:szCs w:val="28"/>
        </w:rPr>
        <w:t>诱发儿童神经行为异常</w:t>
      </w:r>
      <w:r>
        <w:rPr>
          <w:rFonts w:hint="eastAsia" w:ascii="宋体" w:hAnsi="宋体" w:eastAsia="宋体" w:cs="宋体"/>
          <w:sz w:val="28"/>
          <w:szCs w:val="28"/>
        </w:rPr>
        <w:t>： 科学界对此已有长期关注与实证。英国南安普顿大学曾在顶级医学期刊《柳叶刀》上发表了著名的权威研究，明确指出日落黄、柠檬黄、诱惑红等6种人工色素（常被称为“南安普顿六色素”）与防腐剂结合使用时，会显著增加儿童过度活跃和注意力缺陷（ADHD）的风险，严重时甚至可能影响智力发育。</w:t>
      </w:r>
    </w:p>
    <w:p w14:paraId="07375860">
      <w:pPr>
        <w:numPr>
          <w:ilvl w:val="0"/>
          <w:numId w:val="5"/>
        </w:numPr>
        <w:ind w:firstLine="562" w:firstLineChars="200"/>
        <w:rPr>
          <w:rFonts w:hint="eastAsia" w:ascii="宋体" w:hAnsi="宋体" w:eastAsia="宋体" w:cs="宋体"/>
          <w:sz w:val="28"/>
          <w:szCs w:val="28"/>
        </w:rPr>
      </w:pPr>
      <w:r>
        <w:rPr>
          <w:rFonts w:hint="eastAsia" w:ascii="宋体" w:hAnsi="宋体" w:eastAsia="宋体" w:cs="宋体"/>
          <w:b/>
          <w:bCs/>
          <w:sz w:val="28"/>
          <w:szCs w:val="28"/>
        </w:rPr>
        <w:t>加剧肝肾脏器的代谢负荷</w:t>
      </w:r>
      <w:r>
        <w:rPr>
          <w:rFonts w:hint="eastAsia" w:ascii="宋体" w:hAnsi="宋体" w:eastAsia="宋体" w:cs="宋体"/>
          <w:sz w:val="28"/>
          <w:szCs w:val="28"/>
        </w:rPr>
        <w:t>： 人工合成色素本质上属于大分子化学合成物质，进入人体后无法被直接吸收或作为营养转化，必须完全依赖肝脏解毒和肾脏排泄。长期或过量饮用含有此类色素的“彩色饮料”，会导致化学物质在体内蓄积，对于肝肾功能尚未发育完全的婴幼儿及青少年而言，这种毒副作用的潜在伤害尤甚。</w:t>
      </w:r>
    </w:p>
    <w:p w14:paraId="3A2FE148">
      <w:pPr>
        <w:numPr>
          <w:ilvl w:val="0"/>
          <w:numId w:val="5"/>
        </w:numPr>
        <w:ind w:firstLine="562" w:firstLineChars="200"/>
        <w:rPr>
          <w:rFonts w:hint="eastAsia" w:ascii="宋体" w:hAnsi="宋体" w:eastAsia="宋体" w:cs="宋体"/>
          <w:sz w:val="28"/>
          <w:szCs w:val="28"/>
        </w:rPr>
      </w:pPr>
      <w:r>
        <w:rPr>
          <w:rFonts w:hint="eastAsia" w:ascii="宋体" w:hAnsi="宋体" w:eastAsia="宋体" w:cs="宋体"/>
          <w:b/>
          <w:bCs/>
          <w:sz w:val="28"/>
          <w:szCs w:val="28"/>
        </w:rPr>
        <w:t>引发过敏症与变态反应</w:t>
      </w:r>
      <w:r>
        <w:rPr>
          <w:rFonts w:hint="eastAsia" w:ascii="宋体" w:hAnsi="宋体" w:eastAsia="宋体" w:cs="宋体"/>
          <w:sz w:val="28"/>
          <w:szCs w:val="28"/>
        </w:rPr>
        <w:t>： 临床数据表明，部分偶氮类色素具有明确的致敏性。体质敏感人群在摄入后，极易诱发或加重荨麻疹、哮喘、过敏性鼻炎以及不明原因的腹泻等症状。</w:t>
      </w:r>
    </w:p>
    <w:p w14:paraId="6C304DF4">
      <w:pPr>
        <w:jc w:val="center"/>
        <w:rPr>
          <w:rFonts w:hint="eastAsia" w:ascii="黑体" w:hAnsi="黑体" w:eastAsia="黑体" w:cs="黑体"/>
          <w:b/>
          <w:bCs/>
          <w:sz w:val="21"/>
          <w:szCs w:val="21"/>
        </w:rPr>
      </w:pPr>
      <w:r>
        <w:rPr>
          <w:rFonts w:hint="eastAsia" w:ascii="黑体" w:hAnsi="黑体" w:eastAsia="黑体" w:cs="黑体"/>
          <w:b/>
          <w:bCs/>
          <w:sz w:val="21"/>
          <w:szCs w:val="21"/>
        </w:rPr>
        <w:t>图4-7 人工合成色素健康风险导图</w:t>
      </w:r>
    </w:p>
    <w:p w14:paraId="1DCAC81A">
      <w:pPr>
        <w:ind w:firstLine="562" w:firstLineChars="200"/>
        <w:outlineLvl w:val="1"/>
        <w:rPr>
          <w:rFonts w:hint="eastAsia" w:ascii="黑体" w:hAnsi="黑体" w:eastAsia="黑体" w:cs="黑体"/>
          <w:b/>
          <w:bCs/>
          <w:sz w:val="28"/>
          <w:szCs w:val="28"/>
        </w:rPr>
      </w:pPr>
      <w:bookmarkStart w:id="77" w:name="_Toc1477"/>
      <w:r>
        <w:rPr>
          <w:rFonts w:hint="eastAsia" w:ascii="黑体" w:hAnsi="黑体" w:eastAsia="黑体" w:cs="黑体"/>
          <w:b/>
          <w:bCs/>
          <w:sz w:val="28"/>
          <w:szCs w:val="28"/>
        </w:rPr>
        <w:t>4.2.2 监管态势</w:t>
      </w:r>
      <w:bookmarkEnd w:id="77"/>
    </w:p>
    <w:p w14:paraId="37CD39D2">
      <w:pPr>
        <w:ind w:firstLine="560" w:firstLineChars="200"/>
        <w:rPr>
          <w:rFonts w:hint="eastAsia" w:ascii="宋体" w:hAnsi="宋体" w:eastAsia="宋体" w:cs="宋体"/>
          <w:sz w:val="28"/>
          <w:szCs w:val="28"/>
        </w:rPr>
      </w:pPr>
      <w:r>
        <w:rPr>
          <w:rFonts w:ascii="宋体" w:hAnsi="宋体" w:eastAsia="宋体" w:cs="宋体"/>
          <w:sz w:val="28"/>
          <w:szCs w:val="28"/>
        </w:rPr>
        <w:t>基于上述健康危害，各主要市场对人工色素的监管正呈现单向收紧的趋势，合规要求已成为饮料企业必须面对的硬性约束。</w:t>
      </w:r>
    </w:p>
    <w:p w14:paraId="4CA26B36">
      <w:pPr>
        <w:ind w:firstLine="560" w:firstLineChars="200"/>
        <w:rPr>
          <w:rFonts w:hint="eastAsia" w:ascii="宋体" w:hAnsi="宋体" w:eastAsia="宋体" w:cs="宋体"/>
          <w:sz w:val="28"/>
          <w:szCs w:val="28"/>
        </w:rPr>
      </w:pPr>
      <w:bookmarkStart w:id="78" w:name="_Toc29605"/>
      <w:r>
        <w:rPr>
          <w:rFonts w:ascii="宋体" w:hAnsi="宋体" w:eastAsia="宋体" w:cs="宋体"/>
          <w:sz w:val="28"/>
          <w:szCs w:val="28"/>
        </w:rPr>
        <w:t>在国际市场，欧盟已立法规定，凡含有上述六种人工色素的食品饮料，必须在包装上强制标注</w:t>
      </w:r>
      <w:r>
        <w:rPr>
          <w:rFonts w:hint="eastAsia" w:ascii="宋体" w:hAnsi="宋体" w:eastAsia="宋体" w:cs="宋体"/>
          <w:sz w:val="28"/>
          <w:szCs w:val="28"/>
        </w:rPr>
        <w:t>“</w:t>
      </w:r>
      <w:r>
        <w:rPr>
          <w:rFonts w:ascii="宋体" w:hAnsi="宋体" w:eastAsia="宋体" w:cs="宋体"/>
          <w:sz w:val="28"/>
          <w:szCs w:val="28"/>
        </w:rPr>
        <w:t>可能对儿童的活动和注意力产生不良影响</w:t>
      </w:r>
      <w:r>
        <w:rPr>
          <w:rFonts w:hint="eastAsia" w:ascii="宋体" w:hAnsi="宋体" w:eastAsia="宋体" w:cs="宋体"/>
          <w:sz w:val="28"/>
          <w:szCs w:val="28"/>
        </w:rPr>
        <w:t>”</w:t>
      </w:r>
      <w:r>
        <w:rPr>
          <w:rFonts w:ascii="宋体" w:hAnsi="宋体" w:eastAsia="宋体" w:cs="宋体"/>
          <w:sz w:val="28"/>
          <w:szCs w:val="28"/>
        </w:rPr>
        <w:t>的警告语，这在实际销售中对产品的市场表现产生了显著影响。美国加州近年出台的《加州食品安全法》率先在全州范围内禁用红3号等多种食品添加剂，美国FDA也在持续评估扩大禁用范围的可行性。</w:t>
      </w:r>
    </w:p>
    <w:p w14:paraId="7D26CDD7">
      <w:pPr>
        <w:ind w:firstLine="560" w:firstLineChars="200"/>
        <w:rPr>
          <w:rFonts w:hint="eastAsia" w:ascii="黑体" w:hAnsi="黑体" w:eastAsia="黑体" w:cs="黑体"/>
          <w:b/>
          <w:bCs/>
          <w:sz w:val="28"/>
          <w:szCs w:val="28"/>
        </w:rPr>
      </w:pPr>
      <w:r>
        <w:rPr>
          <w:rFonts w:ascii="宋体" w:hAnsi="宋体" w:eastAsia="宋体" w:cs="宋体"/>
          <w:sz w:val="28"/>
          <w:szCs w:val="28"/>
        </w:rPr>
        <w:t>在国内，《食品安全国家标准 食品添加剂使用标准》（GB 2760）对不同饮料品类中人工色素的最大使用量有严格界定，且明确禁止超范围添加。一旦被监管抽检发现超标或违规添加，企业将面临产品召回、高额罚款乃至停业整顿，品牌信誉损失往往难以量化。</w:t>
      </w:r>
    </w:p>
    <w:p w14:paraId="6BCBA9B5">
      <w:pPr>
        <w:ind w:firstLine="562" w:firstLineChars="200"/>
        <w:outlineLvl w:val="1"/>
        <w:rPr>
          <w:rFonts w:hint="eastAsia" w:ascii="黑体" w:hAnsi="黑体" w:eastAsia="黑体" w:cs="黑体"/>
          <w:b/>
          <w:bCs/>
          <w:sz w:val="28"/>
          <w:szCs w:val="28"/>
        </w:rPr>
      </w:pPr>
      <w:r>
        <w:rPr>
          <w:rFonts w:hint="eastAsia" w:ascii="黑体" w:hAnsi="黑体" w:eastAsia="黑体" w:cs="黑体"/>
          <w:b/>
          <w:bCs/>
          <w:sz w:val="28"/>
          <w:szCs w:val="28"/>
        </w:rPr>
        <w:t xml:space="preserve">4.2.3 </w:t>
      </w:r>
      <w:bookmarkEnd w:id="78"/>
      <w:r>
        <w:rPr>
          <w:rFonts w:hint="eastAsia" w:ascii="黑体" w:hAnsi="黑体" w:eastAsia="黑体" w:cs="黑体"/>
          <w:b/>
          <w:bCs/>
          <w:sz w:val="28"/>
          <w:szCs w:val="28"/>
        </w:rPr>
        <w:t>现实困境</w:t>
      </w:r>
    </w:p>
    <w:p w14:paraId="4A49B714">
      <w:pPr>
        <w:ind w:firstLine="560" w:firstLineChars="200"/>
        <w:rPr>
          <w:rFonts w:hint="eastAsia"/>
        </w:rPr>
      </w:pPr>
      <w:r>
        <w:rPr>
          <w:sz w:val="28"/>
          <w:szCs w:val="28"/>
        </w:rPr>
        <w:t>监管要求在持续提升，而饮料企业实际可用的检测手段却长期未能跟上，这一矛盾正是本项目切入的核心痛点。</w:t>
      </w:r>
    </w:p>
    <w:p w14:paraId="2399B279">
      <w:pPr>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图4-8 风险成本的“冰山模型”</w:t>
      </w:r>
    </w:p>
    <w:p w14:paraId="7A2F1ED5">
      <w:pPr>
        <w:spacing w:line="279" w:lineRule="auto"/>
        <w:ind w:left="440" w:leftChars="200" w:firstLine="560" w:firstLineChars="200"/>
        <w:rPr>
          <w:rFonts w:hint="eastAsia" w:ascii="宋体" w:hAnsi="宋体" w:eastAsia="宋体" w:cs="宋体"/>
          <w:sz w:val="28"/>
          <w:szCs w:val="28"/>
        </w:rPr>
      </w:pPr>
      <w:r>
        <w:rPr>
          <w:rFonts w:hint="eastAsia" w:ascii="宋体" w:hAnsi="宋体" w:eastAsia="宋体" w:cs="宋体"/>
          <w:sz w:val="28"/>
          <w:szCs w:val="28"/>
        </w:rPr>
        <w:t xml:space="preserve">传统成分检测高度依赖理化实验室（如高效液相色谱法HPLC），单次检测通常耗时数小时至数天，且需破坏样品。面对每小时数万瓶的高速灌装线，这种检测方式存在严重的时间滞后。一旦某批次色素配比出现问题，往往数十万瓶饮料已完成灌装甚至发往渠道，此时才发现问题，召回成本和物料损失将极为可观。        </w:t>
      </w:r>
    </w:p>
    <w:p w14:paraId="4ACC3FD6">
      <w:pPr>
        <w:jc w:val="center"/>
        <w:rPr>
          <w:rFonts w:hint="eastAsia" w:ascii="黑体" w:hAnsi="黑体" w:eastAsia="黑体" w:cs="黑体"/>
          <w:b/>
          <w:bCs/>
          <w:sz w:val="21"/>
          <w:szCs w:val="21"/>
        </w:rPr>
      </w:pPr>
      <w:r>
        <w:rPr>
          <w:rFonts w:hint="eastAsia" w:ascii="黑体" w:hAnsi="黑体" w:eastAsia="黑体" w:cs="黑体"/>
          <w:b/>
          <w:bCs/>
          <w:sz w:val="21"/>
          <w:szCs w:val="21"/>
        </w:rPr>
        <w:t>图4-9 传统生产风险与检测滞后流程图</w:t>
      </w:r>
    </w:p>
    <w:p w14:paraId="431B1B47">
      <w:pPr>
        <w:ind w:firstLine="602" w:firstLineChars="200"/>
        <w:outlineLvl w:val="0"/>
        <w:rPr>
          <w:rFonts w:hint="eastAsia" w:ascii="黑体" w:hAnsi="黑体" w:eastAsia="黑体" w:cs="黑体"/>
          <w:b/>
          <w:bCs/>
          <w:sz w:val="30"/>
          <w:szCs w:val="30"/>
        </w:rPr>
      </w:pPr>
      <w:bookmarkStart w:id="79" w:name="_Toc2793"/>
      <w:r>
        <w:rPr>
          <w:rFonts w:hint="eastAsia" w:ascii="黑体" w:hAnsi="黑体" w:eastAsia="黑体" w:cs="黑体"/>
          <w:b/>
          <w:bCs/>
          <w:sz w:val="30"/>
          <w:szCs w:val="30"/>
        </w:rPr>
        <w:t>4.3 用户分析</w:t>
      </w:r>
      <w:bookmarkEnd w:id="79"/>
    </w:p>
    <w:p w14:paraId="64924028">
      <w:pPr>
        <w:spacing w:line="279" w:lineRule="auto"/>
        <w:ind w:left="440" w:leftChars="200" w:firstLine="560" w:firstLineChars="200"/>
        <w:rPr>
          <w:rFonts w:hint="eastAsia" w:ascii="宋体" w:hAnsi="宋体" w:eastAsia="宋体" w:cs="宋体"/>
          <w:sz w:val="28"/>
          <w:szCs w:val="28"/>
        </w:rPr>
      </w:pPr>
      <w:r>
        <w:rPr>
          <w:rFonts w:hint="eastAsia" w:ascii="宋体" w:hAnsi="宋体" w:eastAsia="宋体" w:cs="宋体"/>
          <w:sz w:val="28"/>
          <w:szCs w:val="28"/>
        </w:rPr>
        <w:t>在明确市场痛点的基础上，接下来需要明确“谁是我们的客户”以及“如何分阶段切入”。针对饮料行业复杂的产业链结构，结合项目当前所处的发展阶段，我们制定了“先中小后大厂、以政务促公信”的阶梯式商业化策略，将目标客群划分为三个梯队，分别对应项目的不同发展阶段。</w:t>
      </w:r>
    </w:p>
    <w:p w14:paraId="4F719A6B">
      <w:pPr>
        <w:rPr>
          <w:rFonts w:hint="eastAsia"/>
        </w:rPr>
      </w:pPr>
    </w:p>
    <w:p w14:paraId="208DBCE6">
      <w:pPr>
        <w:jc w:val="center"/>
        <w:rPr>
          <w:rFonts w:hint="eastAsia" w:ascii="黑体" w:hAnsi="黑体" w:eastAsia="黑体" w:cs="黑体"/>
          <w:b/>
          <w:bCs/>
          <w:sz w:val="21"/>
          <w:szCs w:val="21"/>
        </w:rPr>
      </w:pPr>
      <w:r>
        <w:rPr>
          <w:rFonts w:hint="eastAsia" w:ascii="黑体" w:hAnsi="黑体" w:eastAsia="黑体" w:cs="黑体"/>
          <w:b/>
          <w:bCs/>
          <w:sz w:val="21"/>
          <w:szCs w:val="21"/>
        </w:rPr>
        <w:t>图4-10 商业化路径图</w:t>
      </w:r>
    </w:p>
    <w:p w14:paraId="035E2F01">
      <w:pPr>
        <w:ind w:firstLine="562" w:firstLineChars="200"/>
        <w:outlineLvl w:val="1"/>
        <w:rPr>
          <w:rFonts w:hint="eastAsia" w:ascii="黑体" w:hAnsi="黑体" w:eastAsia="黑体" w:cs="黑体"/>
          <w:b/>
          <w:bCs/>
          <w:sz w:val="28"/>
          <w:szCs w:val="28"/>
        </w:rPr>
      </w:pPr>
      <w:bookmarkStart w:id="80" w:name="_Toc31951"/>
      <w:r>
        <w:rPr>
          <w:rFonts w:hint="eastAsia" w:ascii="黑体" w:hAnsi="黑体" w:eastAsia="黑体" w:cs="黑体"/>
          <w:b/>
          <w:bCs/>
          <w:sz w:val="28"/>
          <w:szCs w:val="28"/>
        </w:rPr>
        <w:t>4.3.1 破局市场：新茶饮供应链与中小饮料厂</w:t>
      </w:r>
      <w:bookmarkEnd w:id="80"/>
    </w:p>
    <w:p w14:paraId="38257F04">
      <w:pPr>
        <w:spacing w:line="279" w:lineRule="auto"/>
        <w:ind w:left="440" w:leftChars="200" w:firstLine="560" w:firstLineChars="200"/>
        <w:rPr>
          <w:rFonts w:hint="eastAsia" w:ascii="宋体" w:hAnsi="宋体" w:eastAsia="宋体" w:cs="宋体"/>
          <w:sz w:val="28"/>
          <w:szCs w:val="28"/>
        </w:rPr>
      </w:pPr>
      <w:r>
        <w:rPr>
          <w:rFonts w:hint="eastAsia" w:ascii="宋体" w:hAnsi="宋体" w:eastAsia="宋体" w:cs="宋体"/>
          <w:sz w:val="28"/>
          <w:szCs w:val="28"/>
        </w:rPr>
        <w:t>这是本项目的首批目标客户，也是早期现金流的主要来源。该群体主要包括头部新茶饮品牌（如蜜雪冰城、霸王茶姬）的区域代工厂、配料供应商，以及地方性中小型汽水厂。</w:t>
      </w:r>
    </w:p>
    <w:p w14:paraId="65BD61BA">
      <w:pPr>
        <w:spacing w:line="279" w:lineRule="auto"/>
        <w:ind w:left="440" w:leftChars="200" w:firstLine="560" w:firstLineChars="200"/>
        <w:rPr>
          <w:rFonts w:hint="eastAsia" w:ascii="宋体" w:hAnsi="宋体" w:eastAsia="宋体" w:cs="宋体"/>
          <w:sz w:val="28"/>
          <w:szCs w:val="28"/>
        </w:rPr>
      </w:pPr>
      <w:r>
        <w:rPr>
          <w:rFonts w:hint="eastAsia" w:ascii="宋体" w:hAnsi="宋体" w:eastAsia="宋体" w:cs="宋体"/>
          <w:sz w:val="28"/>
          <w:szCs w:val="28"/>
        </w:rPr>
        <w:t>新茶饮行业的典型特点是</w:t>
      </w:r>
      <w:r>
        <w:rPr>
          <w:rFonts w:hint="eastAsia" w:ascii="宋体" w:hAnsi="宋体" w:eastAsia="宋体" w:cs="宋体"/>
          <w:sz w:val="28"/>
          <w:szCs w:val="28"/>
          <w:lang w:eastAsia="zh"/>
        </w:rPr>
        <w:t>“</w:t>
      </w:r>
      <w:r>
        <w:rPr>
          <w:rFonts w:hint="eastAsia" w:ascii="宋体" w:hAnsi="宋体" w:eastAsia="宋体" w:cs="宋体"/>
          <w:sz w:val="28"/>
          <w:szCs w:val="28"/>
        </w:rPr>
        <w:t>SKU多、上新快</w:t>
      </w:r>
      <w:r>
        <w:rPr>
          <w:rFonts w:hint="eastAsia" w:ascii="宋体" w:hAnsi="宋体" w:eastAsia="宋体" w:cs="宋体"/>
          <w:sz w:val="28"/>
          <w:szCs w:val="28"/>
          <w:lang w:eastAsia="zh"/>
        </w:rPr>
        <w:t>”</w:t>
      </w:r>
      <w:r>
        <w:rPr>
          <w:rFonts w:hint="eastAsia" w:ascii="宋体" w:hAnsi="宋体" w:eastAsia="宋体" w:cs="宋体"/>
          <w:sz w:val="28"/>
          <w:szCs w:val="28"/>
        </w:rPr>
        <w:t>，通常以周为单位迭代新品。供应链在频繁调配不同果汁、糖浆及色素时，极易因配比失误触碰国标限量红线。然而，传统理化实验室建设成本动辄数</w:t>
      </w:r>
      <w:r>
        <w:rPr>
          <w:rFonts w:hint="eastAsia" w:ascii="宋体" w:hAnsi="宋体" w:eastAsia="宋体" w:cs="宋体"/>
          <w:sz w:val="28"/>
          <w:szCs w:val="28"/>
          <w:lang w:eastAsia="zh"/>
        </w:rPr>
        <w:t>百</w:t>
      </w:r>
      <w:r>
        <w:rPr>
          <w:rFonts w:hint="eastAsia" w:ascii="宋体" w:hAnsi="宋体" w:eastAsia="宋体" w:cs="宋体"/>
          <w:sz w:val="28"/>
          <w:szCs w:val="28"/>
        </w:rPr>
        <w:t>万元，还需配置专业化验员，中小企业普遍难以承担。若依赖第三方送检，周期通常长达3~7天，完全无法匹配快消品的上新节奏。</w:t>
      </w:r>
    </w:p>
    <w:p w14:paraId="064AC43C">
      <w:pPr>
        <w:ind w:left="440" w:leftChars="200"/>
        <w:rPr>
          <w:rFonts w:hint="eastAsia" w:ascii="宋体" w:hAnsi="宋体" w:eastAsia="宋体" w:cs="宋体"/>
          <w:sz w:val="28"/>
          <w:szCs w:val="28"/>
        </w:rPr>
      </w:pPr>
    </w:p>
    <w:p w14:paraId="6FB7DAD3">
      <w:pPr>
        <w:ind w:left="440" w:leftChars="200"/>
        <w:jc w:val="center"/>
        <w:rPr>
          <w:rFonts w:hint="eastAsia" w:ascii="黑体" w:hAnsi="黑体" w:eastAsia="黑体" w:cs="黑体"/>
          <w:b/>
          <w:bCs/>
          <w:sz w:val="21"/>
          <w:szCs w:val="21"/>
        </w:rPr>
      </w:pPr>
      <w:r>
        <w:rPr>
          <w:rFonts w:hint="eastAsia" w:ascii="黑体" w:hAnsi="黑体" w:eastAsia="黑体" w:cs="黑体"/>
          <w:b/>
          <w:bCs/>
          <w:sz w:val="21"/>
          <w:szCs w:val="21"/>
        </w:rPr>
        <w:t>图4-11中小饮料厂破局流程图</w:t>
      </w:r>
    </w:p>
    <w:p w14:paraId="7DB1E69A">
      <w:pPr>
        <w:spacing w:line="279" w:lineRule="auto"/>
        <w:ind w:left="440" w:leftChars="200" w:firstLine="560" w:firstLineChars="200"/>
        <w:rPr>
          <w:rFonts w:hint="eastAsia" w:ascii="宋体" w:hAnsi="宋体" w:eastAsia="宋体" w:cs="宋体"/>
          <w:sz w:val="28"/>
          <w:szCs w:val="28"/>
        </w:rPr>
      </w:pPr>
    </w:p>
    <w:p w14:paraId="47EB9EE6">
      <w:pPr>
        <w:spacing w:line="279" w:lineRule="auto"/>
        <w:ind w:left="440" w:leftChars="200" w:firstLine="560" w:firstLineChars="200"/>
        <w:rPr>
          <w:rFonts w:hint="eastAsia" w:ascii="宋体" w:hAnsi="宋体" w:eastAsia="宋体" w:cs="宋体"/>
          <w:sz w:val="28"/>
          <w:szCs w:val="28"/>
        </w:rPr>
      </w:pPr>
      <w:r>
        <w:rPr>
          <w:rFonts w:hint="eastAsia" w:ascii="宋体" w:hAnsi="宋体" w:eastAsia="宋体" w:cs="宋体"/>
          <w:sz w:val="28"/>
          <w:szCs w:val="28"/>
        </w:rPr>
        <w:t>针对这一痛点，我们主推便携式及桌面级智能快检终端，主打低门槛、免前处理、分钟级出结果。设备采购成本控制在数万元级别，操作流程经过简化，普通产线工人培训半小时即可独立使用。这类客群决策链条短、对性价比敏感，能够帮助项目在早期快速建立商业闭环，同时积累大量真实场景下的检测数据，持续优化AI模型。</w:t>
      </w:r>
    </w:p>
    <w:p w14:paraId="4E349FC8">
      <w:pPr>
        <w:ind w:left="440" w:leftChars="200"/>
        <w:rPr>
          <w:rFonts w:hint="eastAsia" w:ascii="宋体" w:hAnsi="宋体" w:eastAsia="宋体" w:cs="宋体"/>
          <w:sz w:val="28"/>
          <w:szCs w:val="28"/>
        </w:rPr>
      </w:pPr>
    </w:p>
    <w:p w14:paraId="5414845A">
      <w:pPr>
        <w:ind w:left="440" w:leftChars="200"/>
        <w:jc w:val="center"/>
        <w:rPr>
          <w:rFonts w:hint="eastAsia" w:ascii="黑体" w:hAnsi="黑体" w:eastAsia="黑体" w:cs="黑体"/>
          <w:b/>
          <w:bCs/>
          <w:sz w:val="21"/>
          <w:szCs w:val="21"/>
        </w:rPr>
      </w:pPr>
      <w:r>
        <w:rPr>
          <w:rFonts w:hint="eastAsia" w:ascii="宋体" w:hAnsi="宋体" w:eastAsia="宋体" w:cs="宋体"/>
          <w:sz w:val="28"/>
          <w:szCs w:val="28"/>
        </w:rPr>
        <w:t xml:space="preserve">   </w:t>
      </w:r>
    </w:p>
    <w:p w14:paraId="42AE5E4C">
      <w:pPr>
        <w:ind w:left="440" w:leftChars="200"/>
        <w:outlineLvl w:val="1"/>
        <w:rPr>
          <w:rFonts w:hint="eastAsia" w:ascii="黑体" w:hAnsi="黑体" w:eastAsia="黑体" w:cs="黑体"/>
          <w:b/>
          <w:bCs/>
          <w:sz w:val="28"/>
          <w:szCs w:val="28"/>
        </w:rPr>
      </w:pPr>
      <w:bookmarkStart w:id="81" w:name="_Toc16024"/>
      <w:r>
        <w:rPr>
          <w:rFonts w:hint="eastAsia" w:ascii="黑体" w:hAnsi="黑体" w:eastAsia="黑体" w:cs="黑体"/>
          <w:b/>
          <w:bCs/>
          <w:sz w:val="28"/>
          <w:szCs w:val="28"/>
        </w:rPr>
        <w:t>4.3.2 增信市场：政务监管与第三方检测机构</w:t>
      </w:r>
      <w:bookmarkEnd w:id="81"/>
    </w:p>
    <w:p w14:paraId="5A8462D7">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在中小客户群体初步打开局面之后，进入政务监管市场是项目获得公信力背书的关键一步。该客群包括区县级市场监督管理局、基层食药监所，以及华测、谱尼等第三方检测机构的下沉网点。</w:t>
      </w:r>
    </w:p>
    <w:p w14:paraId="544E927F">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基层监管人员在日常查处饮品店违规添加人工色素、防腐剂超标时，面临明显的“取证难”问题。传统的“现场抽样—贴封条—回实验室化验”模式成本高、周期长，执法效率受到较大限制。</w:t>
      </w:r>
    </w:p>
    <w:p w14:paraId="74D7C3C6">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我们的手持式高光谱检测设备可为现场执法提供“即时定性筛查、一键生成预警”的能力。疑似超标产品当场锁定，再送实验室进行精准定量复核，两个环节互为补充，大幅提升执法的精准度与效率。政府（G端）采购通常以预算制集中招标为主，客户粘性强。更重要的是，一旦设备进入官方采购目录，相当于获得了政府层面的技术认可，这将对后续B端市场的拓展产生显著的背书效果。</w:t>
      </w:r>
    </w:p>
    <w:p w14:paraId="11A62AFB">
      <w:pPr>
        <w:ind w:left="440" w:leftChars="200"/>
        <w:rPr>
          <w:rFonts w:hint="eastAsia" w:ascii="宋体" w:hAnsi="宋体" w:eastAsia="宋体" w:cs="宋体"/>
          <w:sz w:val="28"/>
          <w:szCs w:val="28"/>
        </w:rPr>
      </w:pPr>
    </w:p>
    <w:p w14:paraId="5C67FC64">
      <w:pPr>
        <w:ind w:left="440" w:leftChars="200"/>
        <w:jc w:val="center"/>
        <w:rPr>
          <w:rFonts w:hint="eastAsia" w:ascii="黑体" w:hAnsi="黑体" w:eastAsia="黑体" w:cs="黑体"/>
          <w:b/>
          <w:bCs/>
          <w:sz w:val="21"/>
          <w:szCs w:val="21"/>
        </w:rPr>
      </w:pPr>
      <w:r>
        <w:rPr>
          <w:rFonts w:hint="eastAsia" w:ascii="黑体" w:hAnsi="黑体" w:eastAsia="黑体" w:cs="黑体"/>
          <w:b/>
          <w:bCs/>
          <w:sz w:val="21"/>
          <w:szCs w:val="21"/>
        </w:rPr>
        <w:t>图4-12 商业闭环图</w:t>
      </w:r>
    </w:p>
    <w:p w14:paraId="2C9E5189">
      <w:pPr>
        <w:ind w:firstLine="560" w:firstLineChars="200"/>
        <w:rPr>
          <w:rFonts w:hint="eastAsia" w:ascii="宋体" w:hAnsi="宋体" w:eastAsia="宋体" w:cs="宋体"/>
          <w:sz w:val="28"/>
          <w:szCs w:val="28"/>
        </w:rPr>
      </w:pPr>
      <w:r>
        <w:rPr>
          <w:rFonts w:hint="eastAsia" w:ascii="宋体" w:hAnsi="宋体" w:eastAsia="宋体" w:cs="宋体"/>
          <w:sz w:val="28"/>
          <w:szCs w:val="28"/>
        </w:rPr>
        <w:t>图示展示了G端（政府）与B端（企业）两类市场之间的相互促进关系：政务市场的认可提升产品公信力，进而降低企业客户的采购决策门槛，形成相互强化的商业闭环。</w:t>
      </w:r>
    </w:p>
    <w:p w14:paraId="0C898E21">
      <w:pPr>
        <w:ind w:firstLine="562" w:firstLineChars="200"/>
        <w:outlineLvl w:val="1"/>
        <w:rPr>
          <w:rFonts w:hint="eastAsia" w:ascii="黑体" w:hAnsi="黑体" w:eastAsia="黑体" w:cs="黑体"/>
          <w:b/>
          <w:bCs/>
          <w:sz w:val="28"/>
          <w:szCs w:val="28"/>
        </w:rPr>
      </w:pPr>
      <w:bookmarkStart w:id="82" w:name="_Toc14114"/>
      <w:r>
        <w:rPr>
          <w:rFonts w:hint="eastAsia" w:ascii="黑体" w:hAnsi="黑体" w:eastAsia="黑体" w:cs="黑体"/>
          <w:b/>
          <w:bCs/>
          <w:sz w:val="28"/>
          <w:szCs w:val="28"/>
        </w:rPr>
        <w:t>4.3.3 核心市场：头部饮料制造大厂</w:t>
      </w:r>
      <w:bookmarkEnd w:id="82"/>
    </w:p>
    <w:p w14:paraId="1DF0812E">
      <w:pPr>
        <w:ind w:firstLine="560" w:firstLineChars="200"/>
        <w:rPr>
          <w:rFonts w:hint="eastAsia" w:ascii="宋体" w:hAnsi="宋体" w:eastAsia="宋体" w:cs="宋体"/>
          <w:sz w:val="28"/>
          <w:szCs w:val="28"/>
        </w:rPr>
      </w:pPr>
      <w:r>
        <w:rPr>
          <w:rFonts w:hint="eastAsia" w:ascii="宋体" w:hAnsi="宋体" w:eastAsia="宋体" w:cs="宋体"/>
          <w:sz w:val="28"/>
          <w:szCs w:val="28"/>
        </w:rPr>
        <w:t>农夫山泉、娃哈哈、元气森林等头部饮料企业是本项目技术成熟后的终极目标市场，也是实现利润规模化提升的关键。</w:t>
      </w:r>
    </w:p>
    <w:p w14:paraId="12666579">
      <w:pPr>
        <w:ind w:firstLine="560" w:firstLineChars="200"/>
        <w:rPr>
          <w:rFonts w:hint="eastAsia" w:ascii="宋体" w:hAnsi="宋体" w:eastAsia="宋体" w:cs="宋体"/>
          <w:sz w:val="28"/>
          <w:szCs w:val="28"/>
        </w:rPr>
      </w:pPr>
      <w:r>
        <w:rPr>
          <w:rFonts w:hint="eastAsia" w:ascii="宋体" w:hAnsi="宋体" w:eastAsia="宋体" w:cs="宋体"/>
          <w:sz w:val="28"/>
          <w:szCs w:val="28"/>
        </w:rPr>
        <w:t>大厂的核心痛点在于极速产线下的品质管控。现代主流饮料产线灌装速度高达36,000至72,000瓶/小时，传统机器视觉只能检测瓶盖、标签等外部缺陷，无法对液体内部成分进行判断。一旦发生色素配比错误或微小异物混入，且未能及时拦截，问题产品流入市场后的召回成本和品牌损失将极为巨大。</w:t>
      </w:r>
    </w:p>
    <w:p w14:paraId="589A6ED2">
      <w:pPr>
        <w:rPr>
          <w:rFonts w:hint="eastAsia"/>
        </w:rPr>
      </w:pPr>
    </w:p>
    <w:p w14:paraId="3B923847">
      <w:pPr>
        <w:jc w:val="center"/>
        <w:rPr>
          <w:rFonts w:hint="eastAsia" w:ascii="黑体" w:hAnsi="黑体" w:eastAsia="黑体" w:cs="黑体"/>
          <w:b/>
          <w:bCs/>
          <w:sz w:val="21"/>
          <w:szCs w:val="21"/>
        </w:rPr>
      </w:pPr>
      <w:r>
        <w:rPr>
          <w:rFonts w:hint="eastAsia" w:ascii="黑体" w:hAnsi="黑体" w:eastAsia="黑体" w:cs="黑体"/>
          <w:b/>
          <w:bCs/>
          <w:sz w:val="21"/>
          <w:szCs w:val="21"/>
        </w:rPr>
        <w:t>图4-13 有无在线检测对比时序图</w:t>
      </w:r>
    </w:p>
    <w:p w14:paraId="1821471D">
      <w:pPr>
        <w:ind w:firstLine="560" w:firstLineChars="200"/>
        <w:rPr>
          <w:rFonts w:hint="eastAsia" w:ascii="宋体" w:hAnsi="宋体" w:eastAsia="宋体" w:cs="宋体"/>
          <w:sz w:val="28"/>
          <w:szCs w:val="28"/>
        </w:rPr>
      </w:pPr>
      <w:r>
        <w:rPr>
          <w:rFonts w:hint="eastAsia" w:ascii="宋体" w:hAnsi="宋体" w:eastAsia="宋体" w:cs="宋体"/>
          <w:sz w:val="28"/>
          <w:szCs w:val="28"/>
        </w:rPr>
        <w:t>针对这类客户，我们提供在线式智能全检系统，直接集成于大厂高速产线，实现不间断的内部成分在线全检，并与企业现有的MES/ERP系统打通，支持数据实时追溯。大厂客户前期通常需要经历一定周期的概念验证测试，但一旦完成系统集成，其高替换成本形成的客户黏性，以及头部品牌带来的标杆效应，将为项目构建起稳固的商业壁垒。</w:t>
      </w:r>
    </w:p>
    <w:p w14:paraId="7A21B83F">
      <w:pPr>
        <w:ind w:left="440" w:leftChars="200"/>
        <w:rPr>
          <w:rFonts w:hint="eastAsia" w:ascii="宋体" w:hAnsi="宋体" w:eastAsia="宋体" w:cs="宋体"/>
          <w:sz w:val="28"/>
          <w:szCs w:val="28"/>
        </w:rPr>
      </w:pPr>
    </w:p>
    <w:p w14:paraId="6AE62A84">
      <w:pPr>
        <w:ind w:left="440" w:leftChars="200"/>
        <w:jc w:val="center"/>
        <w:rPr>
          <w:rFonts w:hint="eastAsia" w:ascii="黑体" w:hAnsi="黑体" w:eastAsia="黑体" w:cs="黑体"/>
          <w:b/>
          <w:bCs/>
          <w:sz w:val="21"/>
          <w:szCs w:val="21"/>
        </w:rPr>
      </w:pPr>
      <w:r>
        <w:rPr>
          <w:rFonts w:hint="eastAsia" w:ascii="黑体" w:hAnsi="黑体" w:eastAsia="黑体" w:cs="黑体"/>
          <w:b/>
          <w:bCs/>
          <w:sz w:val="21"/>
          <w:szCs w:val="21"/>
        </w:rPr>
        <w:t>图4-14 智能产线决策架构</w:t>
      </w:r>
    </w:p>
    <w:p w14:paraId="1137866A">
      <w:pPr>
        <w:ind w:firstLine="602" w:firstLineChars="200"/>
        <w:outlineLvl w:val="0"/>
        <w:rPr>
          <w:rFonts w:hint="eastAsia" w:ascii="黑体" w:hAnsi="黑体" w:eastAsia="黑体" w:cs="黑体"/>
          <w:b/>
          <w:bCs/>
          <w:sz w:val="30"/>
          <w:szCs w:val="30"/>
        </w:rPr>
      </w:pPr>
      <w:bookmarkStart w:id="83" w:name="_Toc32701"/>
      <w:r>
        <w:rPr>
          <w:rFonts w:hint="eastAsia" w:ascii="黑体" w:hAnsi="黑体" w:eastAsia="黑体" w:cs="黑体"/>
          <w:b/>
          <w:bCs/>
          <w:sz w:val="30"/>
          <w:szCs w:val="30"/>
        </w:rPr>
        <w:t>4.4 竞争分析</w:t>
      </w:r>
      <w:bookmarkEnd w:id="83"/>
    </w:p>
    <w:p w14:paraId="24B74DF3">
      <w:pPr>
        <w:ind w:firstLine="560" w:firstLineChars="200"/>
        <w:rPr>
          <w:rFonts w:hint="eastAsia" w:ascii="宋体" w:hAnsi="宋体" w:eastAsia="宋体" w:cs="宋体"/>
          <w:sz w:val="28"/>
          <w:szCs w:val="28"/>
        </w:rPr>
      </w:pPr>
      <w:r>
        <w:rPr>
          <w:rFonts w:hint="eastAsia" w:ascii="宋体" w:hAnsi="宋体" w:eastAsia="宋体" w:cs="宋体"/>
          <w:sz w:val="28"/>
          <w:szCs w:val="28"/>
        </w:rPr>
        <w:t>在用户需求与市场空间明确之后，需要客观评估当前市场的竞争格局。本项目聚焦</w:t>
      </w:r>
      <w:r>
        <w:rPr>
          <w:rFonts w:hint="eastAsia" w:ascii="宋体" w:hAnsi="宋体" w:eastAsia="宋体" w:cs="宋体"/>
          <w:sz w:val="28"/>
          <w:szCs w:val="28"/>
          <w:lang w:eastAsia="zh"/>
        </w:rPr>
        <w:t>“</w:t>
      </w:r>
      <w:r>
        <w:rPr>
          <w:rFonts w:hint="eastAsia" w:ascii="宋体" w:hAnsi="宋体" w:eastAsia="宋体" w:cs="宋体"/>
          <w:sz w:val="28"/>
          <w:szCs w:val="28"/>
        </w:rPr>
        <w:t>透视检测内部成分</w:t>
      </w:r>
      <w:r>
        <w:rPr>
          <w:rFonts w:hint="eastAsia" w:ascii="宋体" w:hAnsi="宋体" w:eastAsia="宋体" w:cs="宋体"/>
          <w:sz w:val="28"/>
          <w:szCs w:val="28"/>
          <w:lang w:eastAsia="zh"/>
        </w:rPr>
        <w:t>”</w:t>
      </w:r>
      <w:r>
        <w:rPr>
          <w:rFonts w:hint="eastAsia" w:ascii="宋体" w:hAnsi="宋体" w:eastAsia="宋体" w:cs="宋体"/>
          <w:sz w:val="28"/>
          <w:szCs w:val="28"/>
        </w:rPr>
        <w:t>与</w:t>
      </w:r>
      <w:r>
        <w:rPr>
          <w:rFonts w:hint="eastAsia" w:ascii="宋体" w:hAnsi="宋体" w:eastAsia="宋体" w:cs="宋体"/>
          <w:sz w:val="28"/>
          <w:szCs w:val="28"/>
          <w:lang w:eastAsia="zh"/>
        </w:rPr>
        <w:t>“</w:t>
      </w:r>
      <w:r>
        <w:rPr>
          <w:rFonts w:hint="eastAsia" w:ascii="宋体" w:hAnsi="宋体" w:eastAsia="宋体" w:cs="宋体"/>
          <w:sz w:val="28"/>
          <w:szCs w:val="28"/>
        </w:rPr>
        <w:t>在线/便携快检</w:t>
      </w:r>
      <w:r>
        <w:rPr>
          <w:rFonts w:hint="eastAsia" w:ascii="宋体" w:hAnsi="宋体" w:eastAsia="宋体" w:cs="宋体"/>
          <w:sz w:val="28"/>
          <w:szCs w:val="28"/>
          <w:lang w:eastAsia="zh"/>
        </w:rPr>
        <w:t>”</w:t>
      </w:r>
      <w:r>
        <w:rPr>
          <w:rFonts w:hint="eastAsia" w:ascii="宋体" w:hAnsi="宋体" w:eastAsia="宋体" w:cs="宋体"/>
          <w:sz w:val="28"/>
          <w:szCs w:val="28"/>
        </w:rPr>
        <w:t>这一特定价值主张，目前市场上并不存在完全同质化的直接竞争对手。现有解决方案主要分布在三个阵营，各有其优势边界，也各有其能力盲区。</w:t>
      </w:r>
    </w:p>
    <w:p w14:paraId="242FCEEB">
      <w:pPr>
        <w:spacing w:line="279" w:lineRule="auto"/>
        <w:ind w:firstLine="440" w:firstLineChars="200"/>
        <w:rPr>
          <w:rFonts w:hint="eastAsia"/>
        </w:rPr>
      </w:pPr>
    </w:p>
    <w:p w14:paraId="6DDE91F7">
      <w:pPr>
        <w:spacing w:line="279" w:lineRule="auto"/>
        <w:jc w:val="center"/>
        <w:rPr>
          <w:rFonts w:hint="eastAsia" w:ascii="黑体" w:hAnsi="黑体" w:eastAsia="黑体" w:cs="黑体"/>
          <w:b/>
          <w:bCs/>
          <w:sz w:val="21"/>
          <w:szCs w:val="21"/>
        </w:rPr>
      </w:pPr>
      <w:r>
        <w:rPr>
          <w:rFonts w:hint="eastAsia" w:ascii="黑体" w:hAnsi="黑体" w:eastAsia="黑体" w:cs="黑体"/>
          <w:b/>
          <w:bCs/>
          <w:sz w:val="21"/>
          <w:szCs w:val="21"/>
        </w:rPr>
        <w:t>图4-15 饮料品控核心检测方案竞争格局图</w:t>
      </w:r>
    </w:p>
    <w:p w14:paraId="3747FB32">
      <w:pPr>
        <w:ind w:firstLine="560" w:firstLineChars="200"/>
        <w:rPr>
          <w:rFonts w:hint="eastAsia" w:ascii="黑体" w:hAnsi="黑体" w:eastAsia="黑体" w:cs="黑体"/>
          <w:b/>
          <w:bCs/>
          <w:sz w:val="21"/>
          <w:szCs w:val="21"/>
        </w:rPr>
      </w:pPr>
      <w:r>
        <w:rPr>
          <w:rFonts w:hint="eastAsia" w:ascii="宋体" w:hAnsi="宋体" w:eastAsia="宋体" w:cs="宋体"/>
          <w:sz w:val="28"/>
          <w:szCs w:val="28"/>
        </w:rPr>
        <w:t>图示以象限图形式，将现有检测方案按</w:t>
      </w:r>
      <w:r>
        <w:rPr>
          <w:rFonts w:hint="eastAsia" w:ascii="宋体" w:hAnsi="宋体" w:eastAsia="宋体" w:cs="宋体"/>
          <w:sz w:val="28"/>
          <w:szCs w:val="28"/>
          <w:lang w:eastAsia="zh"/>
        </w:rPr>
        <w:t>“</w:t>
      </w:r>
      <w:r>
        <w:rPr>
          <w:rFonts w:hint="eastAsia" w:ascii="宋体" w:hAnsi="宋体" w:eastAsia="宋体" w:cs="宋体"/>
          <w:sz w:val="28"/>
          <w:szCs w:val="28"/>
        </w:rPr>
        <w:t>检测速度</w:t>
      </w:r>
      <w:r>
        <w:rPr>
          <w:rFonts w:hint="eastAsia" w:ascii="宋体" w:hAnsi="宋体" w:eastAsia="宋体" w:cs="宋体"/>
          <w:sz w:val="28"/>
          <w:szCs w:val="28"/>
          <w:lang w:eastAsia="zh"/>
        </w:rPr>
        <w:t>”</w:t>
      </w:r>
      <w:r>
        <w:rPr>
          <w:rFonts w:hint="eastAsia" w:ascii="宋体" w:hAnsi="宋体" w:eastAsia="宋体" w:cs="宋体"/>
          <w:sz w:val="28"/>
          <w:szCs w:val="28"/>
        </w:rPr>
        <w:t>与</w:t>
      </w:r>
      <w:r>
        <w:rPr>
          <w:rFonts w:hint="eastAsia" w:ascii="宋体" w:hAnsi="宋体" w:eastAsia="宋体" w:cs="宋体"/>
          <w:sz w:val="28"/>
          <w:szCs w:val="28"/>
          <w:lang w:eastAsia="zh"/>
        </w:rPr>
        <w:t>“</w:t>
      </w:r>
      <w:r>
        <w:rPr>
          <w:rFonts w:hint="eastAsia" w:ascii="宋体" w:hAnsi="宋体" w:eastAsia="宋体" w:cs="宋体"/>
          <w:sz w:val="28"/>
          <w:szCs w:val="28"/>
        </w:rPr>
        <w:t>成分分析深度</w:t>
      </w:r>
      <w:r>
        <w:rPr>
          <w:rFonts w:hint="eastAsia" w:ascii="宋体" w:hAnsi="宋体" w:eastAsia="宋体" w:cs="宋体"/>
          <w:sz w:val="28"/>
          <w:szCs w:val="28"/>
          <w:lang w:eastAsia="zh"/>
        </w:rPr>
        <w:t>”</w:t>
      </w:r>
      <w:r>
        <w:rPr>
          <w:rFonts w:hint="eastAsia" w:ascii="宋体" w:hAnsi="宋体" w:eastAsia="宋体" w:cs="宋体"/>
          <w:sz w:val="28"/>
          <w:szCs w:val="28"/>
        </w:rPr>
        <w:t>两个维度进行分布标注，直观呈现各竞争阵营的能力定位与本项目的差异化卡位区间。</w:t>
      </w:r>
    </w:p>
    <w:p w14:paraId="204AC523">
      <w:pPr>
        <w:ind w:firstLine="562" w:firstLineChars="200"/>
        <w:outlineLvl w:val="1"/>
        <w:rPr>
          <w:rFonts w:hint="eastAsia" w:ascii="黑体" w:hAnsi="黑体" w:eastAsia="黑体" w:cs="黑体"/>
          <w:b/>
          <w:bCs/>
          <w:sz w:val="28"/>
          <w:szCs w:val="28"/>
        </w:rPr>
      </w:pPr>
      <w:bookmarkStart w:id="84" w:name="_Toc30532"/>
      <w:r>
        <w:rPr>
          <w:rFonts w:hint="eastAsia" w:ascii="黑体" w:hAnsi="黑体" w:eastAsia="黑体" w:cs="黑体"/>
          <w:b/>
          <w:bCs/>
          <w:sz w:val="28"/>
          <w:szCs w:val="28"/>
        </w:rPr>
        <w:t>4.4.1 核心竞争阵营解构</w:t>
      </w:r>
      <w:bookmarkEnd w:id="84"/>
    </w:p>
    <w:p w14:paraId="7BCB442D">
      <w:pPr>
        <w:spacing w:line="279" w:lineRule="auto"/>
        <w:ind w:firstLine="562" w:firstLineChars="200"/>
        <w:outlineLvl w:val="2"/>
        <w:rPr>
          <w:rFonts w:hint="eastAsia" w:ascii="宋体" w:hAnsi="宋体" w:eastAsia="宋体" w:cs="宋体"/>
          <w:b/>
          <w:bCs/>
          <w:sz w:val="28"/>
          <w:szCs w:val="28"/>
        </w:rPr>
      </w:pPr>
      <w:bookmarkStart w:id="85" w:name="_Toc5881"/>
      <w:r>
        <w:rPr>
          <w:rFonts w:hint="eastAsia" w:ascii="宋体" w:hAnsi="宋体" w:eastAsia="宋体" w:cs="宋体"/>
          <w:b/>
          <w:bCs/>
          <w:sz w:val="28"/>
          <w:szCs w:val="28"/>
        </w:rPr>
        <w:t>（1）</w:t>
      </w:r>
      <w:r>
        <w:rPr>
          <w:rFonts w:ascii="宋体" w:hAnsi="宋体" w:eastAsia="宋体" w:cs="宋体"/>
          <w:b/>
          <w:bCs/>
          <w:sz w:val="28"/>
          <w:szCs w:val="28"/>
        </w:rPr>
        <w:t>阵营一：</w:t>
      </w:r>
      <w:bookmarkEnd w:id="85"/>
      <w:r>
        <w:rPr>
          <w:rFonts w:ascii="宋体" w:hAnsi="宋体" w:eastAsia="宋体" w:cs="宋体"/>
          <w:b/>
          <w:bCs/>
          <w:sz w:val="28"/>
          <w:szCs w:val="28"/>
        </w:rPr>
        <w:t>传统理化分析仪器厂商</w:t>
      </w:r>
    </w:p>
    <w:p w14:paraId="76CC5EEB">
      <w:pPr>
        <w:spacing w:line="279" w:lineRule="auto"/>
        <w:ind w:firstLine="562" w:firstLineChars="200"/>
        <w:rPr>
          <w:rFonts w:hint="eastAsia" w:ascii="宋体" w:hAnsi="宋体" w:eastAsia="宋体" w:cs="宋体"/>
          <w:sz w:val="28"/>
          <w:szCs w:val="28"/>
        </w:rPr>
      </w:pPr>
      <w:r>
        <w:rPr>
          <w:rFonts w:hint="eastAsia" w:ascii="宋体" w:hAnsi="宋体" w:eastAsia="宋体" w:cs="宋体"/>
          <w:b/>
          <w:bCs/>
          <w:sz w:val="28"/>
          <w:szCs w:val="28"/>
        </w:rPr>
        <w:t>①</w:t>
      </w:r>
      <w:r>
        <w:rPr>
          <w:rFonts w:ascii="宋体" w:hAnsi="宋体" w:eastAsia="宋体" w:cs="宋体"/>
          <w:b/>
          <w:bCs/>
          <w:sz w:val="28"/>
          <w:szCs w:val="28"/>
        </w:rPr>
        <w:t>代表企业：</w:t>
      </w:r>
      <w:r>
        <w:rPr>
          <w:rFonts w:ascii="宋体" w:hAnsi="宋体" w:eastAsia="宋体" w:cs="宋体"/>
          <w:sz w:val="28"/>
          <w:szCs w:val="28"/>
        </w:rPr>
        <w:t xml:space="preserve"> 安捷伦、岛津、赛默飞等。</w:t>
      </w:r>
    </w:p>
    <w:p w14:paraId="1CB4E1B4">
      <w:pPr>
        <w:spacing w:line="279" w:lineRule="auto"/>
        <w:ind w:firstLine="562" w:firstLineChars="200"/>
        <w:rPr>
          <w:rFonts w:hint="eastAsia" w:ascii="宋体" w:hAnsi="宋体" w:eastAsia="宋体" w:cs="宋体"/>
          <w:sz w:val="28"/>
          <w:szCs w:val="28"/>
        </w:rPr>
      </w:pPr>
      <w:r>
        <w:rPr>
          <w:rFonts w:hint="eastAsia" w:ascii="宋体" w:hAnsi="宋体" w:eastAsia="宋体" w:cs="宋体"/>
          <w:b/>
          <w:bCs/>
          <w:sz w:val="28"/>
          <w:szCs w:val="28"/>
        </w:rPr>
        <w:t>②</w:t>
      </w:r>
      <w:r>
        <w:rPr>
          <w:rFonts w:ascii="宋体" w:hAnsi="宋体" w:eastAsia="宋体" w:cs="宋体"/>
          <w:b/>
          <w:bCs/>
          <w:sz w:val="28"/>
          <w:szCs w:val="28"/>
        </w:rPr>
        <w:t>技术路径：</w:t>
      </w:r>
      <w:r>
        <w:rPr>
          <w:rFonts w:ascii="宋体" w:hAnsi="宋体" w:eastAsia="宋体" w:cs="宋体"/>
          <w:sz w:val="28"/>
          <w:szCs w:val="28"/>
        </w:rPr>
        <w:t xml:space="preserve"> 高效液相色谱法、质谱法等。</w:t>
      </w:r>
    </w:p>
    <w:p w14:paraId="1288B108">
      <w:pPr>
        <w:spacing w:line="279" w:lineRule="auto"/>
        <w:ind w:firstLine="562" w:firstLineChars="200"/>
        <w:rPr>
          <w:rFonts w:hint="eastAsia" w:ascii="宋体" w:hAnsi="宋体" w:eastAsia="宋体" w:cs="宋体"/>
          <w:sz w:val="28"/>
          <w:szCs w:val="28"/>
        </w:rPr>
      </w:pPr>
      <w:r>
        <w:rPr>
          <w:rFonts w:hint="eastAsia" w:ascii="宋体" w:hAnsi="宋体" w:eastAsia="宋体" w:cs="宋体"/>
          <w:b/>
          <w:bCs/>
          <w:sz w:val="28"/>
          <w:szCs w:val="28"/>
        </w:rPr>
        <w:t>③</w:t>
      </w:r>
      <w:r>
        <w:rPr>
          <w:rFonts w:ascii="宋体" w:hAnsi="宋体" w:eastAsia="宋体" w:cs="宋体"/>
          <w:b/>
          <w:bCs/>
          <w:sz w:val="28"/>
          <w:szCs w:val="28"/>
        </w:rPr>
        <w:t>竞争客观事实：</w:t>
      </w:r>
      <w:r>
        <w:rPr>
          <w:rFonts w:ascii="宋体" w:hAnsi="宋体" w:eastAsia="宋体" w:cs="宋体"/>
          <w:sz w:val="28"/>
          <w:szCs w:val="28"/>
        </w:rPr>
        <w:t xml:space="preserve"> 在极其精准的成分定量分析上，这些国际巨头拥有不可撼动的“金标准”地位，是国家标准检测的底层支撑。其设备精度极高，占据了大型第三方检测机构和头部大厂中心实验室的绝对份额。</w:t>
      </w:r>
    </w:p>
    <w:p w14:paraId="647388C1">
      <w:pPr>
        <w:spacing w:line="279" w:lineRule="auto"/>
        <w:ind w:firstLine="562" w:firstLineChars="200"/>
        <w:rPr>
          <w:rFonts w:hint="eastAsia" w:ascii="宋体" w:hAnsi="宋体" w:eastAsia="宋体" w:cs="宋体"/>
          <w:sz w:val="28"/>
          <w:szCs w:val="28"/>
        </w:rPr>
      </w:pPr>
      <w:r>
        <w:rPr>
          <w:rFonts w:hint="eastAsia" w:ascii="宋体" w:hAnsi="宋体" w:eastAsia="宋体" w:cs="宋体"/>
          <w:b/>
          <w:bCs/>
          <w:sz w:val="28"/>
          <w:szCs w:val="28"/>
        </w:rPr>
        <w:t>④</w:t>
      </w:r>
      <w:r>
        <w:rPr>
          <w:rFonts w:ascii="宋体" w:hAnsi="宋体" w:eastAsia="宋体" w:cs="宋体"/>
          <w:b/>
          <w:bCs/>
          <w:sz w:val="28"/>
          <w:szCs w:val="28"/>
        </w:rPr>
        <w:t>局限性与项目破局点：</w:t>
      </w:r>
      <w:r>
        <w:rPr>
          <w:rFonts w:ascii="宋体" w:hAnsi="宋体" w:eastAsia="宋体" w:cs="宋体"/>
          <w:sz w:val="28"/>
          <w:szCs w:val="28"/>
        </w:rPr>
        <w:t xml:space="preserve"> 其核心痛点在于物理屏障与时间滞后。设备必须驻扎在实验室，单次样品前处理及检测耗时以小时或天计算，且为破坏性检测。完全无法满足现代饮料产线（72,000瓶/小时）的实时在线拦截需求，也无法满足新茶饮门店及基层食药监低成本、便携式的现场快检需求。</w:t>
      </w:r>
    </w:p>
    <w:p w14:paraId="532E9FA2">
      <w:pPr>
        <w:spacing w:line="279" w:lineRule="auto"/>
        <w:ind w:left="440" w:leftChars="200"/>
        <w:outlineLvl w:val="2"/>
        <w:rPr>
          <w:rFonts w:hint="eastAsia" w:ascii="宋体" w:hAnsi="宋体" w:eastAsia="宋体" w:cs="宋体"/>
          <w:b/>
          <w:bCs/>
          <w:sz w:val="28"/>
          <w:szCs w:val="28"/>
        </w:rPr>
      </w:pPr>
      <w:bookmarkStart w:id="86" w:name="_Toc30211"/>
      <w:r>
        <w:rPr>
          <w:rFonts w:hint="eastAsia" w:ascii="宋体" w:hAnsi="宋体" w:eastAsia="宋体" w:cs="宋体"/>
          <w:b/>
          <w:bCs/>
          <w:sz w:val="28"/>
          <w:szCs w:val="28"/>
        </w:rPr>
        <w:t>（2）</w:t>
      </w:r>
      <w:r>
        <w:rPr>
          <w:rFonts w:ascii="宋体" w:hAnsi="宋体" w:eastAsia="宋体" w:cs="宋体"/>
          <w:b/>
          <w:bCs/>
          <w:sz w:val="28"/>
          <w:szCs w:val="28"/>
        </w:rPr>
        <w:t>阵营二：</w:t>
      </w:r>
      <w:bookmarkEnd w:id="86"/>
      <w:r>
        <w:rPr>
          <w:rFonts w:ascii="宋体" w:hAnsi="宋体" w:eastAsia="宋体" w:cs="宋体"/>
          <w:b/>
          <w:bCs/>
          <w:sz w:val="28"/>
          <w:szCs w:val="28"/>
        </w:rPr>
        <w:t>传统工业机器视觉厂商</w:t>
      </w:r>
    </w:p>
    <w:p w14:paraId="71C74968">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①</w:t>
      </w:r>
      <w:r>
        <w:rPr>
          <w:rFonts w:ascii="宋体" w:hAnsi="宋体" w:eastAsia="宋体" w:cs="宋体"/>
          <w:b/>
          <w:bCs/>
          <w:sz w:val="28"/>
          <w:szCs w:val="28"/>
        </w:rPr>
        <w:t>代表企业：</w:t>
      </w:r>
      <w:r>
        <w:rPr>
          <w:rFonts w:ascii="宋体" w:hAnsi="宋体" w:eastAsia="宋体" w:cs="宋体"/>
          <w:sz w:val="28"/>
          <w:szCs w:val="28"/>
        </w:rPr>
        <w:t xml:space="preserve"> 基恩士、康耐视、梅特勒-托利多。</w:t>
      </w:r>
    </w:p>
    <w:p w14:paraId="45EACEAD">
      <w:pPr>
        <w:spacing w:line="279" w:lineRule="auto"/>
        <w:ind w:firstLine="562" w:firstLineChars="200"/>
        <w:rPr>
          <w:rFonts w:hint="eastAsia" w:ascii="宋体" w:hAnsi="宋体" w:eastAsia="宋体" w:cs="宋体"/>
          <w:sz w:val="28"/>
          <w:szCs w:val="28"/>
        </w:rPr>
      </w:pPr>
      <w:r>
        <w:rPr>
          <w:rFonts w:hint="eastAsia" w:ascii="宋体" w:hAnsi="宋体" w:eastAsia="宋体" w:cs="宋体"/>
          <w:b/>
          <w:bCs/>
          <w:sz w:val="28"/>
          <w:szCs w:val="28"/>
        </w:rPr>
        <w:t>②</w:t>
      </w:r>
      <w:r>
        <w:rPr>
          <w:rFonts w:ascii="宋体" w:hAnsi="宋体" w:eastAsia="宋体" w:cs="宋体"/>
          <w:b/>
          <w:bCs/>
          <w:sz w:val="28"/>
          <w:szCs w:val="28"/>
        </w:rPr>
        <w:t>技术路径：</w:t>
      </w:r>
      <w:r>
        <w:rPr>
          <w:rFonts w:ascii="宋体" w:hAnsi="宋体" w:eastAsia="宋体" w:cs="宋体"/>
          <w:sz w:val="28"/>
          <w:szCs w:val="28"/>
        </w:rPr>
        <w:t xml:space="preserve"> 基于 2D/3D RGB 工业相机的光电视觉，以及传统 X 光穿透。</w:t>
      </w:r>
    </w:p>
    <w:p w14:paraId="61D1F485">
      <w:pPr>
        <w:spacing w:line="279" w:lineRule="auto"/>
        <w:ind w:firstLine="562" w:firstLineChars="200"/>
        <w:rPr>
          <w:rFonts w:hint="eastAsia" w:ascii="宋体" w:hAnsi="宋体" w:eastAsia="宋体" w:cs="宋体"/>
          <w:sz w:val="28"/>
          <w:szCs w:val="28"/>
        </w:rPr>
      </w:pPr>
      <w:r>
        <w:rPr>
          <w:rFonts w:hint="eastAsia" w:ascii="宋体" w:hAnsi="宋体" w:eastAsia="宋体" w:cs="宋体"/>
          <w:b/>
          <w:bCs/>
          <w:sz w:val="28"/>
          <w:szCs w:val="28"/>
        </w:rPr>
        <w:t>③</w:t>
      </w:r>
      <w:r>
        <w:rPr>
          <w:rFonts w:ascii="宋体" w:hAnsi="宋体" w:eastAsia="宋体" w:cs="宋体"/>
          <w:b/>
          <w:bCs/>
          <w:sz w:val="28"/>
          <w:szCs w:val="28"/>
        </w:rPr>
        <w:t>竞争</w:t>
      </w:r>
      <w:r>
        <w:rPr>
          <w:rFonts w:hint="eastAsia" w:ascii="宋体" w:hAnsi="宋体" w:eastAsia="宋体" w:cs="宋体"/>
          <w:b/>
          <w:bCs/>
          <w:sz w:val="28"/>
          <w:szCs w:val="28"/>
          <w:lang w:eastAsia="zh"/>
        </w:rPr>
        <w:t>优势</w:t>
      </w:r>
      <w:r>
        <w:rPr>
          <w:rFonts w:ascii="宋体" w:hAnsi="宋体" w:eastAsia="宋体" w:cs="宋体"/>
          <w:b/>
          <w:bCs/>
          <w:sz w:val="28"/>
          <w:szCs w:val="28"/>
        </w:rPr>
        <w:t>：</w:t>
      </w:r>
      <w:r>
        <w:rPr>
          <w:rFonts w:ascii="宋体" w:hAnsi="宋体" w:eastAsia="宋体" w:cs="宋体"/>
          <w:sz w:val="28"/>
          <w:szCs w:val="28"/>
        </w:rPr>
        <w:t xml:space="preserve"> 在高速产线的液位异常、瓶盖歪斜、标签错漏</w:t>
      </w:r>
      <w:r>
        <w:rPr>
          <w:rFonts w:hint="eastAsia" w:ascii="宋体" w:hAnsi="宋体" w:eastAsia="宋体" w:cs="宋体"/>
          <w:sz w:val="28"/>
          <w:szCs w:val="28"/>
          <w:lang w:eastAsia="zh"/>
        </w:rPr>
        <w:t>的</w:t>
      </w:r>
      <w:r>
        <w:rPr>
          <w:rFonts w:ascii="宋体" w:hAnsi="宋体" w:eastAsia="宋体" w:cs="宋体"/>
          <w:sz w:val="28"/>
          <w:szCs w:val="28"/>
        </w:rPr>
        <w:t>外观缺陷</w:t>
      </w:r>
      <w:r>
        <w:rPr>
          <w:rFonts w:hint="eastAsia" w:ascii="宋体" w:hAnsi="宋体" w:eastAsia="宋体" w:cs="宋体"/>
          <w:sz w:val="28"/>
          <w:szCs w:val="28"/>
          <w:lang w:eastAsia="zh"/>
        </w:rPr>
        <w:t>检测</w:t>
      </w:r>
      <w:r>
        <w:rPr>
          <w:rFonts w:ascii="宋体" w:hAnsi="宋体" w:eastAsia="宋体" w:cs="宋体"/>
          <w:sz w:val="28"/>
          <w:szCs w:val="28"/>
        </w:rPr>
        <w:t>，基恩士与康耐视拥有极高的技术壁垒与市占率，设备处理速度极快，稳定性极高。</w:t>
      </w:r>
    </w:p>
    <w:p w14:paraId="1713A34E">
      <w:pPr>
        <w:spacing w:line="279" w:lineRule="auto"/>
        <w:ind w:firstLine="562" w:firstLineChars="200"/>
        <w:rPr>
          <w:rFonts w:hint="eastAsia" w:ascii="宋体" w:hAnsi="宋体" w:eastAsia="宋体" w:cs="宋体"/>
          <w:sz w:val="28"/>
          <w:szCs w:val="28"/>
        </w:rPr>
      </w:pPr>
      <w:r>
        <w:rPr>
          <w:rFonts w:hint="eastAsia" w:ascii="宋体" w:hAnsi="宋体" w:eastAsia="宋体" w:cs="宋体"/>
          <w:b/>
          <w:bCs/>
          <w:sz w:val="28"/>
          <w:szCs w:val="28"/>
        </w:rPr>
        <w:t>④</w:t>
      </w:r>
      <w:r>
        <w:rPr>
          <w:rFonts w:ascii="宋体" w:hAnsi="宋体" w:eastAsia="宋体" w:cs="宋体"/>
          <w:b/>
          <w:bCs/>
          <w:sz w:val="28"/>
          <w:szCs w:val="28"/>
        </w:rPr>
        <w:t>局限性与项目破局点：</w:t>
      </w:r>
      <w:r>
        <w:rPr>
          <w:rFonts w:ascii="宋体" w:hAnsi="宋体" w:eastAsia="宋体" w:cs="宋体"/>
          <w:sz w:val="28"/>
          <w:szCs w:val="28"/>
        </w:rPr>
        <w:t xml:space="preserve"> 传统光电相机只能捕捉物体表面的可见光反射，缺乏“化学透视”能力。它们无法分辨两瓶颜色相近但色素浓度不同或添加了违规色素的液体。</w:t>
      </w:r>
    </w:p>
    <w:p w14:paraId="310BA21A">
      <w:pPr>
        <w:spacing w:line="279" w:lineRule="auto"/>
        <w:ind w:firstLine="440" w:firstLineChars="200"/>
        <w:rPr>
          <w:rFonts w:hint="eastAsia"/>
        </w:rPr>
      </w:pPr>
      <w:r>
        <w:rPr>
          <w:rFonts w:hint="eastAsia"/>
        </w:rPr>
        <w:t xml:space="preserve">       </w:t>
      </w:r>
    </w:p>
    <w:p w14:paraId="55904CE3">
      <w:pPr>
        <w:spacing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图4-16 传统机器视觉能力雷达图</w:t>
      </w:r>
    </w:p>
    <w:p w14:paraId="34CEB252">
      <w:pPr>
        <w:spacing w:line="279" w:lineRule="auto"/>
        <w:ind w:firstLine="560" w:firstLineChars="200"/>
        <w:rPr>
          <w:rFonts w:hint="eastAsia"/>
        </w:rPr>
      </w:pPr>
      <w:r>
        <w:rPr>
          <w:rFonts w:ascii="宋体" w:hAnsi="宋体" w:eastAsia="宋体" w:cs="宋体"/>
          <w:sz w:val="28"/>
          <w:szCs w:val="28"/>
        </w:rPr>
        <w:t>X光机虽能透视，但仅对金属、玻璃</w:t>
      </w:r>
      <w:r>
        <w:rPr>
          <w:rFonts w:hint="eastAsia" w:ascii="宋体" w:hAnsi="宋体" w:eastAsia="宋体" w:cs="宋体"/>
          <w:sz w:val="28"/>
          <w:szCs w:val="28"/>
          <w:lang w:eastAsia="zh"/>
        </w:rPr>
        <w:t>等</w:t>
      </w:r>
      <w:r>
        <w:rPr>
          <w:rFonts w:ascii="宋体" w:hAnsi="宋体" w:eastAsia="宋体" w:cs="宋体"/>
          <w:sz w:val="28"/>
          <w:szCs w:val="28"/>
        </w:rPr>
        <w:t>高密度异物敏感，对溶解在水中的色素或低密度异物无能为力。本项目并非要替代它们的外观检测，而是互补其成分检测的盲区。</w:t>
      </w:r>
    </w:p>
    <w:p w14:paraId="7B748EFB">
      <w:pPr>
        <w:spacing w:line="279" w:lineRule="auto"/>
        <w:ind w:left="440" w:leftChars="200" w:firstLine="562" w:firstLineChars="200"/>
        <w:outlineLvl w:val="2"/>
        <w:rPr>
          <w:rFonts w:hint="eastAsia" w:ascii="宋体" w:hAnsi="宋体" w:eastAsia="宋体" w:cs="宋体"/>
          <w:sz w:val="28"/>
          <w:szCs w:val="28"/>
        </w:rPr>
      </w:pPr>
      <w:bookmarkStart w:id="87" w:name="_Toc32726"/>
      <w:r>
        <w:rPr>
          <w:rFonts w:hint="eastAsia" w:ascii="宋体" w:hAnsi="宋体" w:eastAsia="宋体" w:cs="宋体"/>
          <w:b/>
          <w:bCs/>
          <w:sz w:val="28"/>
          <w:szCs w:val="28"/>
        </w:rPr>
        <w:t>（3）</w:t>
      </w:r>
      <w:r>
        <w:rPr>
          <w:rFonts w:ascii="宋体" w:hAnsi="宋体" w:eastAsia="宋体" w:cs="宋体"/>
          <w:b/>
          <w:bCs/>
          <w:sz w:val="28"/>
          <w:szCs w:val="28"/>
        </w:rPr>
        <w:t>阵营三：</w:t>
      </w:r>
      <w:bookmarkEnd w:id="87"/>
      <w:r>
        <w:rPr>
          <w:rFonts w:ascii="宋体" w:hAnsi="宋体" w:eastAsia="宋体" w:cs="宋体"/>
          <w:b/>
          <w:bCs/>
          <w:sz w:val="28"/>
          <w:szCs w:val="28"/>
        </w:rPr>
        <w:t>光谱与快检领域的新兴企业</w:t>
      </w:r>
    </w:p>
    <w:p w14:paraId="78391EC3">
      <w:pPr>
        <w:spacing w:line="279" w:lineRule="auto"/>
        <w:ind w:left="440" w:leftChars="200" w:firstLine="562" w:firstLineChars="200"/>
        <w:rPr>
          <w:rFonts w:hint="eastAsia" w:ascii="宋体" w:hAnsi="宋体" w:eastAsia="宋体" w:cs="宋体"/>
          <w:sz w:val="28"/>
          <w:szCs w:val="28"/>
        </w:rPr>
      </w:pPr>
      <w:r>
        <w:rPr>
          <w:rFonts w:hint="eastAsia" w:ascii="宋体" w:hAnsi="宋体" w:eastAsia="宋体" w:cs="宋体"/>
          <w:b/>
          <w:bCs/>
          <w:sz w:val="28"/>
          <w:szCs w:val="28"/>
        </w:rPr>
        <w:t>①</w:t>
      </w:r>
      <w:r>
        <w:rPr>
          <w:rFonts w:ascii="宋体" w:hAnsi="宋体" w:eastAsia="宋体" w:cs="宋体"/>
          <w:b/>
          <w:bCs/>
          <w:sz w:val="28"/>
          <w:szCs w:val="28"/>
        </w:rPr>
        <w:t>代表企业：</w:t>
      </w:r>
      <w:r>
        <w:rPr>
          <w:rFonts w:ascii="宋体" w:hAnsi="宋体" w:eastAsia="宋体" w:cs="宋体"/>
          <w:sz w:val="28"/>
          <w:szCs w:val="28"/>
        </w:rPr>
        <w:t>国际高光谱硬件巨头： Specim（被柯尼卡美能达收购）、Headwall Photonics。这类企业主要提供底层高光谱相机硬件，不直接提供针对国内饮料产线的行业级软硬件一体化解决方案。国内光谱/快检企业： 谱育科技、彩谱科技、双利合谱等。</w:t>
      </w:r>
    </w:p>
    <w:p w14:paraId="489E8595">
      <w:pPr>
        <w:spacing w:line="279" w:lineRule="auto"/>
        <w:ind w:left="440" w:leftChars="200" w:firstLine="422" w:firstLineChars="200"/>
        <w:jc w:val="center"/>
        <w:rPr>
          <w:rFonts w:hint="eastAsia"/>
        </w:rPr>
      </w:pPr>
      <w:r>
        <w:rPr>
          <w:rFonts w:hint="eastAsia" w:ascii="黑体" w:hAnsi="黑体" w:eastAsia="黑体" w:cs="黑体"/>
          <w:b/>
          <w:bCs/>
          <w:sz w:val="21"/>
          <w:szCs w:val="21"/>
        </w:rPr>
        <w:t>表4-1 竞品分析（阵营三）与核心壁垒对比</w:t>
      </w:r>
    </w:p>
    <w:p w14:paraId="3657265A">
      <w:pPr>
        <w:spacing w:line="279" w:lineRule="auto"/>
        <w:rPr>
          <w:rFonts w:hint="eastAsia" w:ascii="宋体" w:hAnsi="宋体" w:eastAsia="宋体" w:cs="宋体"/>
          <w:sz w:val="28"/>
          <w:szCs w:val="28"/>
        </w:rPr>
      </w:pPr>
    </w:p>
    <w:p w14:paraId="47B06E60">
      <w:pPr>
        <w:spacing w:line="279" w:lineRule="auto"/>
        <w:ind w:left="440" w:leftChars="200" w:firstLine="562" w:firstLineChars="200"/>
        <w:rPr>
          <w:rFonts w:hint="eastAsia" w:ascii="宋体" w:hAnsi="宋体" w:eastAsia="宋体" w:cs="宋体"/>
          <w:sz w:val="28"/>
          <w:szCs w:val="28"/>
        </w:rPr>
      </w:pPr>
      <w:r>
        <w:rPr>
          <w:rFonts w:hint="eastAsia" w:ascii="宋体" w:hAnsi="宋体" w:eastAsia="宋体" w:cs="宋体"/>
          <w:b/>
          <w:bCs/>
          <w:sz w:val="28"/>
          <w:szCs w:val="28"/>
        </w:rPr>
        <w:t>②</w:t>
      </w:r>
      <w:r>
        <w:rPr>
          <w:rFonts w:ascii="宋体" w:hAnsi="宋体" w:eastAsia="宋体" w:cs="宋体"/>
          <w:b/>
          <w:bCs/>
          <w:sz w:val="28"/>
          <w:szCs w:val="28"/>
        </w:rPr>
        <w:t>竞争</w:t>
      </w:r>
      <w:r>
        <w:rPr>
          <w:rFonts w:hint="eastAsia" w:ascii="宋体" w:hAnsi="宋体" w:eastAsia="宋体" w:cs="宋体"/>
          <w:b/>
          <w:bCs/>
          <w:sz w:val="28"/>
          <w:szCs w:val="28"/>
          <w:lang w:eastAsia="zh"/>
        </w:rPr>
        <w:t>优势</w:t>
      </w:r>
      <w:r>
        <w:rPr>
          <w:rFonts w:ascii="宋体" w:hAnsi="宋体" w:eastAsia="宋体" w:cs="宋体"/>
          <w:b/>
          <w:bCs/>
          <w:sz w:val="28"/>
          <w:szCs w:val="28"/>
        </w:rPr>
        <w:t>：</w:t>
      </w:r>
      <w:r>
        <w:rPr>
          <w:rFonts w:ascii="宋体" w:hAnsi="宋体" w:eastAsia="宋体" w:cs="宋体"/>
          <w:sz w:val="28"/>
          <w:szCs w:val="28"/>
        </w:rPr>
        <w:t xml:space="preserve"> 国内高光谱与多光谱技术近年来发展迅速，在农业、环保水质监测等领域已有较多应用。部分企业也推出了手持式光谱仪。</w:t>
      </w:r>
    </w:p>
    <w:p w14:paraId="56231A27">
      <w:pPr>
        <w:spacing w:line="279" w:lineRule="auto"/>
        <w:ind w:left="440" w:leftChars="200" w:firstLine="562" w:firstLineChars="200"/>
        <w:rPr>
          <w:rFonts w:hint="eastAsia" w:ascii="宋体" w:hAnsi="宋体" w:eastAsia="宋体" w:cs="宋体"/>
          <w:sz w:val="28"/>
          <w:szCs w:val="28"/>
        </w:rPr>
      </w:pPr>
      <w:r>
        <w:rPr>
          <w:rFonts w:hint="eastAsia" w:ascii="宋体" w:hAnsi="宋体" w:eastAsia="宋体" w:cs="宋体"/>
          <w:b/>
          <w:bCs/>
          <w:sz w:val="28"/>
          <w:szCs w:val="28"/>
        </w:rPr>
        <w:t>③</w:t>
      </w:r>
      <w:r>
        <w:rPr>
          <w:rFonts w:ascii="宋体" w:hAnsi="宋体" w:eastAsia="宋体" w:cs="宋体"/>
          <w:b/>
          <w:bCs/>
          <w:sz w:val="28"/>
          <w:szCs w:val="28"/>
        </w:rPr>
        <w:t>局限性与项目破局点：</w:t>
      </w:r>
      <w:r>
        <w:rPr>
          <w:rFonts w:ascii="宋体" w:hAnsi="宋体" w:eastAsia="宋体" w:cs="宋体"/>
          <w:sz w:val="28"/>
          <w:szCs w:val="28"/>
        </w:rPr>
        <w:t xml:space="preserve"> 此阵营是我们最直接的潜在竞争者。但目前行业现状是：“懂硬件的缺乏特定场景的AI算法，懂算法的缺乏高频的行业真实数据”。将高光谱技术部署在高达 36,000 瓶/小时的复杂流水线上</w:t>
      </w:r>
      <w:r>
        <w:rPr>
          <w:rFonts w:hint="eastAsia" w:ascii="宋体" w:hAnsi="宋体" w:eastAsia="宋体" w:cs="宋体"/>
          <w:sz w:val="28"/>
          <w:szCs w:val="28"/>
          <w:lang w:eastAsia="zh"/>
        </w:rPr>
        <w:t>，</w:t>
      </w:r>
      <w:r>
        <w:rPr>
          <w:rFonts w:ascii="宋体" w:hAnsi="宋体" w:eastAsia="宋体" w:cs="宋体"/>
          <w:sz w:val="28"/>
          <w:szCs w:val="28"/>
        </w:rPr>
        <w:t>需克服水珠反光、高速运动模糊、光照干扰，对“软硬协同协同”要求极高。本项目的核心壁垒在于专注饮料垂类，通过前期“新茶饮与基层监管”市场积累海量真实色素/成分图谱数据，反哺AI模型，从而在“在线高速检测”这一高难度场景中形成先发优势。</w:t>
      </w:r>
    </w:p>
    <w:p w14:paraId="6EE6A4B7">
      <w:pPr>
        <w:spacing w:line="279" w:lineRule="auto"/>
        <w:ind w:left="440" w:leftChars="200" w:firstLine="562" w:firstLineChars="200"/>
        <w:outlineLvl w:val="1"/>
        <w:rPr>
          <w:rFonts w:hint="eastAsia" w:ascii="黑体" w:hAnsi="黑体" w:eastAsia="黑体" w:cs="黑体"/>
          <w:b/>
          <w:bCs/>
          <w:sz w:val="28"/>
          <w:szCs w:val="28"/>
        </w:rPr>
      </w:pPr>
      <w:bookmarkStart w:id="88" w:name="_Toc2357"/>
      <w:r>
        <w:rPr>
          <w:rFonts w:hint="eastAsia" w:ascii="黑体" w:hAnsi="黑体" w:eastAsia="黑体" w:cs="黑体"/>
          <w:b/>
          <w:bCs/>
          <w:sz w:val="28"/>
          <w:szCs w:val="28"/>
        </w:rPr>
        <w:t>4.4.2 竞争优势对比矩阵</w:t>
      </w:r>
      <w:bookmarkEnd w:id="88"/>
    </w:p>
    <w:p w14:paraId="0CE54577">
      <w:pPr>
        <w:spacing w:line="279" w:lineRule="auto"/>
        <w:ind w:left="440" w:leftChars="200" w:firstLine="560" w:firstLineChars="200"/>
        <w:rPr>
          <w:rFonts w:hint="eastAsia" w:ascii="宋体" w:hAnsi="宋体" w:eastAsia="宋体" w:cs="宋体"/>
          <w:sz w:val="28"/>
          <w:szCs w:val="28"/>
        </w:rPr>
      </w:pPr>
      <w:r>
        <w:rPr>
          <w:rFonts w:ascii="宋体" w:hAnsi="宋体" w:eastAsia="宋体" w:cs="宋体"/>
          <w:sz w:val="28"/>
          <w:szCs w:val="28"/>
        </w:rPr>
        <w:t>为了更直观地展示本项目的卡位优势，我们从核心维度的各项表现进行了系统性比对。</w:t>
      </w:r>
    </w:p>
    <w:p w14:paraId="5C10290B">
      <w:pPr>
        <w:spacing w:line="279" w:lineRule="auto"/>
        <w:ind w:left="440" w:leftChars="200"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表 4-2：核心检测方案竞争优势对比矩阵</w:t>
      </w:r>
    </w:p>
    <w:p w14:paraId="3A85EB66">
      <w:pPr>
        <w:spacing w:after="0" w:line="240" w:lineRule="auto"/>
        <w:jc w:val="center"/>
        <w:rPr>
          <w:rFonts w:hint="eastAsia"/>
        </w:rPr>
      </w:pPr>
    </w:p>
    <w:p w14:paraId="3EDC3080">
      <w:pPr>
        <w:pStyle w:val="6"/>
        <w:widowControl/>
        <w:spacing w:before="120" w:beforeAutospacing="0" w:after="120" w:afterAutospacing="0" w:line="279" w:lineRule="auto"/>
        <w:ind w:right="720" w:firstLine="560" w:firstLineChars="200"/>
        <w:rPr>
          <w:rFonts w:hint="eastAsia" w:ascii="宋体" w:hAnsi="宋体" w:eastAsia="宋体" w:cs="宋体"/>
          <w:kern w:val="2"/>
          <w:sz w:val="28"/>
          <w:szCs w:val="28"/>
        </w:rPr>
      </w:pPr>
      <w:r>
        <w:rPr>
          <w:rFonts w:ascii="宋体" w:hAnsi="宋体" w:eastAsia="宋体" w:cs="宋体"/>
          <w:kern w:val="2"/>
          <w:sz w:val="28"/>
          <w:szCs w:val="28"/>
        </w:rPr>
        <w:t>矩阵从检测速度、是否需要实验室环境、成分分析能力、便携性、单次检测成本、产线集成能力及国内合规适配性七个维度，对传统理化实验室（HPLC）、工业机器视觉、传统 X 光异物检测及本项目方案进行了系统性评分对比</w:t>
      </w:r>
      <w:r>
        <w:rPr>
          <w:rFonts w:hint="eastAsia" w:ascii="宋体" w:hAnsi="宋体" w:eastAsia="宋体" w:cs="宋体"/>
          <w:kern w:val="2"/>
          <w:sz w:val="28"/>
          <w:szCs w:val="28"/>
        </w:rPr>
        <w:t>，突出本项目在在线检测与便携快检场景下的综合优势。</w:t>
      </w:r>
    </w:p>
    <w:p w14:paraId="1B9E2F4C">
      <w:pPr>
        <w:spacing w:after="0" w:line="240" w:lineRule="auto"/>
        <w:ind w:firstLine="562" w:firstLineChars="200"/>
        <w:jc w:val="both"/>
        <w:outlineLvl w:val="1"/>
        <w:rPr>
          <w:rFonts w:hint="eastAsia" w:ascii="黑体" w:hAnsi="黑体" w:eastAsia="黑体" w:cs="黑体"/>
          <w:b/>
          <w:bCs/>
          <w:sz w:val="28"/>
          <w:szCs w:val="28"/>
        </w:rPr>
      </w:pPr>
      <w:bookmarkStart w:id="89" w:name="_Toc25988"/>
      <w:r>
        <w:rPr>
          <w:rFonts w:hint="eastAsia" w:ascii="黑体" w:hAnsi="黑体" w:eastAsia="黑体" w:cs="黑体"/>
          <w:b/>
          <w:bCs/>
          <w:sz w:val="28"/>
          <w:szCs w:val="28"/>
        </w:rPr>
        <w:t>4.4.3 我们的竞争壁垒与护城河</w:t>
      </w:r>
      <w:bookmarkEnd w:id="89"/>
    </w:p>
    <w:p w14:paraId="7352268A">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综上所述，我们在红海中切出了一个蓝海生态位。我们的竞争护城河不在于和老牌仪器厂拼“绝对定量精度”，也不在于和视觉巨头拼“硬件参数”，而是构建以下三层壁垒：</w:t>
      </w:r>
    </w:p>
    <w:p w14:paraId="49A58FCD">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第一层：数据与算法壁垒（软实力）： 独家积累的“典型饮料人工合成色素及常见添加剂的高光谱特征图谱库”。前期便携设备在下沉市场的广泛铺开，将形成强大的数据飞轮，使得我们的 AI 模型（特征提取与模式识别）越用越准，这是纯硬件厂商短期内难以跨越的鸿沟。</w:t>
      </w:r>
    </w:p>
    <w:p w14:paraId="11E5947B">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第二层：软硬一体化落地壁垒（硬实力）： 攻克了“高速运动下的光谱数据实时采集与边缘计算解码”难题，将过去只能在实验室里慢慢扫描的光谱分析，变成了能在 72,000 瓶/小时的高速传送带上“秒出结论”的工业级系统。</w:t>
      </w:r>
    </w:p>
    <w:p w14:paraId="3D51B403">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第三层：政企双向信任壁垒</w:t>
      </w:r>
      <w:r>
        <w:rPr>
          <w:rFonts w:hint="eastAsia" w:ascii="宋体" w:hAnsi="宋体" w:eastAsia="宋体" w:cs="宋体"/>
          <w:sz w:val="28"/>
          <w:szCs w:val="28"/>
        </w:rPr>
        <w:t>。</w:t>
      </w:r>
      <w:r>
        <w:rPr>
          <w:rFonts w:ascii="宋体" w:hAnsi="宋体" w:eastAsia="宋体" w:cs="宋体"/>
          <w:sz w:val="28"/>
          <w:szCs w:val="28"/>
        </w:rPr>
        <w:t xml:space="preserve"> 通过将设备打入基层市场监督管理局（G端），获得官方执法数据的认可与公信力背书；随后带着政府认可的技术指标去降维打击 B 端饮料大厂，形成难以被后来者撬动的客户信任链。</w:t>
      </w:r>
    </w:p>
    <w:p w14:paraId="0F653656">
      <w:pPr>
        <w:spacing w:line="279" w:lineRule="auto"/>
        <w:rPr>
          <w:rFonts w:hint="eastAsia"/>
        </w:rPr>
      </w:pPr>
    </w:p>
    <w:p w14:paraId="2F1F93ED">
      <w:pPr>
        <w:spacing w:line="279" w:lineRule="auto"/>
        <w:jc w:val="center"/>
        <w:rPr>
          <w:rFonts w:hint="eastAsia" w:ascii="黑体" w:hAnsi="黑体" w:eastAsia="黑体" w:cs="黑体"/>
          <w:b/>
          <w:bCs/>
          <w:sz w:val="21"/>
          <w:szCs w:val="21"/>
        </w:rPr>
      </w:pPr>
      <w:r>
        <w:rPr>
          <w:rFonts w:hint="eastAsia" w:ascii="黑体" w:hAnsi="黑体" w:eastAsia="黑体" w:cs="黑体"/>
          <w:b/>
          <w:bCs/>
          <w:sz w:val="21"/>
          <w:szCs w:val="21"/>
        </w:rPr>
        <w:t>图4-17 三层竞争壁垒与护城河</w:t>
      </w:r>
    </w:p>
    <w:p w14:paraId="1473B91D">
      <w:pPr>
        <w:spacing w:line="279" w:lineRule="auto"/>
        <w:ind w:firstLine="560" w:firstLineChars="200"/>
        <w:rPr>
          <w:rFonts w:hint="eastAsia" w:ascii="黑体" w:hAnsi="黑体" w:eastAsia="黑体" w:cs="黑体"/>
          <w:b/>
          <w:bCs/>
          <w:sz w:val="28"/>
          <w:szCs w:val="28"/>
        </w:rPr>
      </w:pPr>
      <w:r>
        <w:rPr>
          <w:rFonts w:hint="eastAsia" w:ascii="宋体" w:hAnsi="宋体" w:eastAsia="宋体" w:cs="宋体"/>
          <w:sz w:val="28"/>
          <w:szCs w:val="28"/>
        </w:rPr>
        <w:t>图示以同心圆形式，展示数据算法壁垒（内层）、软硬一体化工程壁垒（中层）与政企双向信任壁垒（外层）三者之间的逻辑关系，说明各层壁垒如何相互强化，共同构成项目的长期竞争优势。</w:t>
      </w:r>
    </w:p>
    <w:p w14:paraId="5AF7402B">
      <w:pPr>
        <w:spacing w:after="0" w:line="240" w:lineRule="auto"/>
        <w:ind w:firstLine="562" w:firstLineChars="200"/>
        <w:jc w:val="both"/>
        <w:rPr>
          <w:rFonts w:hint="eastAsia" w:ascii="黑体" w:hAnsi="黑体" w:eastAsia="黑体" w:cs="黑体"/>
          <w:b/>
          <w:bCs/>
          <w:sz w:val="28"/>
          <w:szCs w:val="28"/>
        </w:rPr>
      </w:pPr>
    </w:p>
    <w:p w14:paraId="2972F420">
      <w:pPr>
        <w:numPr>
          <w:ilvl w:val="0"/>
          <w:numId w:val="6"/>
        </w:numPr>
        <w:spacing w:after="0" w:line="240" w:lineRule="auto"/>
        <w:jc w:val="both"/>
        <w:outlineLvl w:val="0"/>
        <w:rPr>
          <w:rFonts w:hint="eastAsia" w:ascii="黑体" w:hAnsi="黑体" w:eastAsia="黑体" w:cs="黑体"/>
          <w:b/>
          <w:bCs/>
          <w:sz w:val="32"/>
          <w:szCs w:val="32"/>
        </w:rPr>
      </w:pPr>
      <w:bookmarkStart w:id="90" w:name="_Toc26396"/>
      <w:r>
        <w:rPr>
          <w:rFonts w:hint="eastAsia" w:ascii="黑体" w:hAnsi="黑体" w:eastAsia="黑体" w:cs="黑体"/>
          <w:b/>
          <w:bCs/>
          <w:sz w:val="32"/>
          <w:szCs w:val="32"/>
          <w:lang w:eastAsia="zh-CN"/>
        </w:rPr>
        <w:t>：</w:t>
      </w:r>
      <w:r>
        <w:rPr>
          <w:rFonts w:hint="eastAsia" w:ascii="黑体" w:hAnsi="黑体" w:eastAsia="黑体" w:cs="黑体"/>
          <w:b/>
          <w:bCs/>
          <w:sz w:val="32"/>
          <w:szCs w:val="32"/>
        </w:rPr>
        <w:t>技术策略</w:t>
      </w:r>
      <w:bookmarkEnd w:id="90"/>
    </w:p>
    <w:p w14:paraId="7772A3C5">
      <w:pPr>
        <w:pStyle w:val="6"/>
        <w:widowControl/>
        <w:numPr>
          <w:ilvl w:val="1"/>
          <w:numId w:val="0"/>
        </w:numPr>
        <w:spacing w:before="156" w:beforeLines="50" w:beforeAutospacing="0" w:after="156" w:afterLines="50" w:afterAutospacing="0" w:line="300" w:lineRule="auto"/>
        <w:ind w:firstLine="602" w:firstLineChars="200"/>
        <w:jc w:val="both"/>
        <w:outlineLvl w:val="0"/>
        <w:rPr>
          <w:rFonts w:hint="eastAsia" w:ascii="黑体" w:hAnsi="黑体" w:eastAsia="黑体" w:cs="黑体"/>
          <w:b/>
          <w:bCs/>
          <w:sz w:val="30"/>
          <w:szCs w:val="30"/>
        </w:rPr>
      </w:pPr>
      <w:bookmarkStart w:id="91" w:name="_Toc1506"/>
      <w:bookmarkStart w:id="92" w:name="_Toc26334"/>
      <w:bookmarkStart w:id="93" w:name="_Toc9476"/>
      <w:r>
        <w:rPr>
          <w:rFonts w:ascii="黑体" w:hAnsi="黑体" w:eastAsia="黑体" w:cs="黑体"/>
          <w:b/>
          <w:bCs/>
          <w:sz w:val="30"/>
          <w:szCs w:val="30"/>
        </w:rPr>
        <w:t>5.1</w:t>
      </w:r>
      <w:bookmarkEnd w:id="91"/>
      <w:r>
        <w:rPr>
          <w:rFonts w:hint="eastAsia" w:ascii="黑体" w:hAnsi="黑体" w:eastAsia="黑体" w:cs="黑体"/>
          <w:b/>
          <w:bCs/>
          <w:sz w:val="30"/>
          <w:szCs w:val="30"/>
        </w:rPr>
        <w:t>总体技术路线</w:t>
      </w:r>
      <w:bookmarkEnd w:id="92"/>
      <w:bookmarkEnd w:id="93"/>
    </w:p>
    <w:p w14:paraId="2191D3D3">
      <w:pPr>
        <w:spacing w:line="279" w:lineRule="auto"/>
        <w:ind w:firstLine="560" w:firstLineChars="200"/>
        <w:rPr>
          <w:rFonts w:ascii="宋体" w:hAnsi="宋体" w:eastAsia="宋体" w:cs="宋体"/>
          <w:sz w:val="28"/>
          <w:szCs w:val="28"/>
        </w:rPr>
      </w:pPr>
      <w:r>
        <w:rPr>
          <w:rFonts w:ascii="宋体" w:hAnsi="宋体" w:eastAsia="宋体" w:cs="宋体"/>
          <w:sz w:val="28"/>
          <w:szCs w:val="28"/>
        </w:rPr>
        <w:t xml:space="preserve">本项目以饮料中人工合成色素的快速无损检测为核心目标，技术路径遵循 “物理感知—数字预处理—特征降维—智能决策” 的逻辑框架。系统依托高光谱成像技术采集400 nm~1000 nm可见近红外波段的连续光谱信息，针对液态饮料基质的特殊性构建标准化实验数据流，将高维光谱立方体数据转化为具有特异性的色素特征指纹，最终实现对柠檬黄、日落黄、胭脂红、苋菜红、亮蓝等违规添加色素的定性识别与定量检测。 </w:t>
      </w:r>
    </w:p>
    <w:p w14:paraId="6448A750">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lang w:eastAsia="zh"/>
        </w:rPr>
        <w:t>核心</w:t>
      </w:r>
      <w:r>
        <w:rPr>
          <w:rFonts w:ascii="宋体" w:hAnsi="宋体" w:eastAsia="宋体" w:cs="宋体"/>
          <w:sz w:val="28"/>
          <w:szCs w:val="28"/>
        </w:rPr>
        <w:t>技术路线图主要</w:t>
      </w:r>
      <w:r>
        <w:rPr>
          <w:rFonts w:hint="eastAsia" w:ascii="宋体" w:hAnsi="宋体" w:eastAsia="宋体" w:cs="宋体"/>
          <w:sz w:val="28"/>
          <w:szCs w:val="28"/>
          <w:lang w:eastAsia="zh"/>
        </w:rPr>
        <w:t>分为</w:t>
      </w:r>
      <w:r>
        <w:rPr>
          <w:rFonts w:ascii="宋体" w:hAnsi="宋体" w:eastAsia="宋体" w:cs="宋体"/>
          <w:sz w:val="28"/>
          <w:szCs w:val="28"/>
        </w:rPr>
        <w:t>以下四个阶段：</w:t>
      </w:r>
    </w:p>
    <w:p w14:paraId="77EC30BF">
      <w:pPr>
        <w:spacing w:line="279" w:lineRule="auto"/>
        <w:rPr>
          <w:rFonts w:hint="eastAsia" w:eastAsia="宋体"/>
          <w:lang w:eastAsia="zh"/>
        </w:rPr>
      </w:pPr>
    </w:p>
    <w:p w14:paraId="15578A83">
      <w:pPr>
        <w:spacing w:line="279" w:lineRule="auto"/>
        <w:jc w:val="center"/>
        <w:rPr>
          <w:rFonts w:hint="eastAsia" w:ascii="黑体" w:hAnsi="黑体" w:eastAsia="黑体" w:cs="黑体"/>
          <w:b/>
          <w:bCs/>
          <w:sz w:val="21"/>
          <w:szCs w:val="21"/>
        </w:rPr>
      </w:pPr>
      <w:r>
        <w:rPr>
          <w:rFonts w:hint="eastAsia" w:ascii="黑体" w:hAnsi="黑体" w:eastAsia="黑体" w:cs="黑体"/>
          <w:b/>
          <w:bCs/>
          <w:sz w:val="21"/>
          <w:szCs w:val="21"/>
        </w:rPr>
        <w:t>图5-1 技术路线图</w:t>
      </w:r>
    </w:p>
    <w:p w14:paraId="6F1CB712">
      <w:pPr>
        <w:spacing w:after="0" w:line="240" w:lineRule="auto"/>
        <w:ind w:firstLine="562" w:firstLineChars="200"/>
        <w:jc w:val="both"/>
        <w:outlineLvl w:val="1"/>
        <w:rPr>
          <w:rFonts w:hint="eastAsia" w:ascii="黑体" w:hAnsi="黑体" w:eastAsia="黑体" w:cs="黑体"/>
          <w:b/>
          <w:bCs/>
          <w:sz w:val="28"/>
          <w:szCs w:val="28"/>
        </w:rPr>
      </w:pPr>
      <w:bookmarkStart w:id="94" w:name="_Toc19888"/>
      <w:r>
        <w:rPr>
          <w:rFonts w:hint="eastAsia" w:ascii="黑体" w:hAnsi="黑体" w:eastAsia="黑体" w:cs="黑体"/>
          <w:b/>
          <w:bCs/>
          <w:sz w:val="28"/>
          <w:szCs w:val="28"/>
        </w:rPr>
        <w:t>5.1.1 物理感知与数据获取层</w:t>
      </w:r>
      <w:bookmarkEnd w:id="94"/>
    </w:p>
    <w:p w14:paraId="3B4EC94C">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针对液态饮料样本易产生光散射、液层厚度不均等问题，采用便携式高光谱成像系统，在标准温控（20±2℃）、恒定光照环境下对样品池中的饮料样本进行线阵扫描。本阶段重点优化硬件参数耦合：相机曝光时间控制在 10~50 ms，物距匹配至 15~20 cm，扫描平台平移速度同步至 20 mm/s，确保采集的原始光谱图像立方体信噪比 SNR &gt; 500:1，且液层厚度（2 mm）一致，消除样本物理形态对光谱数据的干扰。</w:t>
      </w:r>
    </w:p>
    <w:p w14:paraId="53D193C5">
      <w:pPr>
        <w:spacing w:after="0" w:line="240" w:lineRule="auto"/>
        <w:ind w:firstLine="562" w:firstLineChars="200"/>
        <w:jc w:val="both"/>
        <w:outlineLvl w:val="1"/>
        <w:rPr>
          <w:rFonts w:hint="eastAsia" w:ascii="黑体" w:hAnsi="黑体" w:eastAsia="黑体" w:cs="黑体"/>
          <w:b/>
          <w:bCs/>
          <w:sz w:val="28"/>
          <w:szCs w:val="28"/>
        </w:rPr>
      </w:pPr>
      <w:bookmarkStart w:id="95" w:name="_Toc7013"/>
      <w:r>
        <w:rPr>
          <w:rFonts w:hint="eastAsia" w:ascii="黑体" w:hAnsi="黑体" w:eastAsia="黑体" w:cs="黑体"/>
          <w:b/>
          <w:bCs/>
          <w:sz w:val="28"/>
          <w:szCs w:val="28"/>
        </w:rPr>
        <w:t>5.1.2 信号增强与校正处理层</w:t>
      </w:r>
      <w:bookmarkEnd w:id="95"/>
    </w:p>
    <w:p w14:paraId="2BF3A85B">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液态饮料基质（如糖分、有机酸、气泡）及环境因素易导致光谱信号失真，本阶段构建“物理校正</w:t>
      </w:r>
      <w:r>
        <w:rPr>
          <w:rFonts w:hint="eastAsia" w:ascii="宋体" w:hAnsi="宋体" w:eastAsia="宋体" w:cs="宋体"/>
          <w:sz w:val="28"/>
          <w:szCs w:val="28"/>
          <w:lang w:eastAsia="zh"/>
        </w:rPr>
        <w:t>与</w:t>
      </w:r>
      <w:r>
        <w:rPr>
          <w:rFonts w:ascii="宋体" w:hAnsi="宋体" w:eastAsia="宋体" w:cs="宋体"/>
          <w:sz w:val="28"/>
          <w:szCs w:val="28"/>
        </w:rPr>
        <w:t>算法增强”双重校正机制：</w:t>
      </w:r>
    </w:p>
    <w:p w14:paraId="7EE2E757">
      <w:pPr>
        <w:numPr>
          <w:ilvl w:val="0"/>
          <w:numId w:val="7"/>
        </w:numPr>
        <w:spacing w:after="0" w:line="240" w:lineRule="auto"/>
        <w:ind w:firstLine="560" w:firstLineChars="200"/>
        <w:jc w:val="both"/>
        <w:rPr>
          <w:rFonts w:hint="eastAsia" w:ascii="宋体" w:hAnsi="宋体" w:eastAsia="宋体" w:cs="宋体"/>
          <w:sz w:val="28"/>
          <w:szCs w:val="28"/>
        </w:rPr>
      </w:pPr>
      <w:r>
        <w:rPr>
          <w:rFonts w:hint="eastAsia" w:ascii="宋体" w:hAnsi="宋体" w:eastAsia="宋体" w:cs="宋体"/>
          <w:sz w:val="28"/>
          <w:szCs w:val="28"/>
        </w:rPr>
        <w:t>物理校正：通过黑白板标准归一化算法，将原始光强值转换为绝对反射率</w:t>
      </w:r>
      <w:r>
        <w:rPr>
          <w:rFonts w:hint="eastAsia" w:ascii="宋体" w:hAnsi="宋体" w:eastAsia="宋体" w:cs="宋体"/>
          <w:sz w:val="28"/>
          <w:szCs w:val="28"/>
          <w:lang w:eastAsia="zh"/>
        </w:rPr>
        <w:t>，</w:t>
      </w:r>
      <w:r>
        <w:rPr>
          <w:rFonts w:ascii="宋体" w:hAnsi="宋体" w:eastAsia="宋体" w:cs="宋体"/>
          <w:sz w:val="28"/>
          <w:szCs w:val="28"/>
        </w:rPr>
        <w:t>同时引入溶剂空白校正</w:t>
      </w:r>
      <w:r>
        <w:rPr>
          <w:rFonts w:hint="eastAsia" w:ascii="宋体" w:hAnsi="宋体" w:eastAsia="宋体" w:cs="宋体"/>
          <w:sz w:val="28"/>
          <w:szCs w:val="28"/>
          <w:lang w:eastAsia="zh"/>
        </w:rPr>
        <w:t>，</w:t>
      </w:r>
      <w:r>
        <w:rPr>
          <w:rFonts w:ascii="宋体" w:hAnsi="宋体" w:eastAsia="宋体" w:cs="宋体"/>
          <w:sz w:val="28"/>
          <w:szCs w:val="28"/>
        </w:rPr>
        <w:t>以去离子水为空白组，消除饮料中溶剂基底的背景吸收</w:t>
      </w:r>
      <w:r>
        <w:rPr>
          <w:rFonts w:ascii="宋体" w:hAnsi="宋体" w:eastAsia="宋体" w:cs="宋体"/>
          <w:sz w:val="24"/>
          <w:szCs w:val="24"/>
        </w:rPr>
        <w:t xml:space="preserve"> </w:t>
      </w:r>
      <w:r>
        <w:rPr>
          <w:rFonts w:hint="eastAsia" w:ascii="宋体" w:hAnsi="宋体" w:eastAsia="宋体" w:cs="宋体"/>
          <w:sz w:val="28"/>
          <w:szCs w:val="28"/>
        </w:rPr>
        <w:t>。</w:t>
      </w:r>
    </w:p>
    <w:p w14:paraId="39BD6592">
      <w:pPr>
        <w:numPr>
          <w:ilvl w:val="0"/>
          <w:numId w:val="7"/>
        </w:numPr>
        <w:spacing w:after="0" w:line="240" w:lineRule="auto"/>
        <w:ind w:firstLine="560" w:firstLineChars="200"/>
        <w:jc w:val="both"/>
        <w:rPr>
          <w:rFonts w:hint="eastAsia" w:ascii="宋体" w:hAnsi="宋体" w:eastAsia="宋体" w:cs="宋体"/>
          <w:sz w:val="28"/>
          <w:szCs w:val="28"/>
        </w:rPr>
      </w:pPr>
      <w:r>
        <w:rPr>
          <w:rFonts w:hint="eastAsia" w:ascii="宋体" w:hAnsi="宋体" w:eastAsia="宋体" w:cs="宋体"/>
          <w:sz w:val="28"/>
          <w:szCs w:val="28"/>
        </w:rPr>
        <w:t>算法增强：采用多元散射校正（MSC）</w:t>
      </w:r>
      <w:r>
        <w:rPr>
          <w:rFonts w:ascii="宋体" w:hAnsi="宋体" w:eastAsia="宋体" w:cs="宋体"/>
          <w:sz w:val="28"/>
          <w:szCs w:val="28"/>
        </w:rPr>
        <w:t>或标准正态变量变换（SNV）</w:t>
      </w:r>
      <w:r>
        <w:rPr>
          <w:rFonts w:hint="eastAsia" w:ascii="宋体" w:hAnsi="宋体" w:eastAsia="宋体" w:cs="宋体"/>
          <w:sz w:val="28"/>
          <w:szCs w:val="28"/>
          <w:lang w:eastAsia="zh"/>
        </w:rPr>
        <w:t>抑制</w:t>
      </w:r>
      <w:r>
        <w:rPr>
          <w:rFonts w:hint="eastAsia" w:ascii="宋体" w:hAnsi="宋体" w:eastAsia="宋体" w:cs="宋体"/>
          <w:sz w:val="28"/>
          <w:szCs w:val="28"/>
        </w:rPr>
        <w:t>基线漂移，</w:t>
      </w:r>
      <w:r>
        <w:rPr>
          <w:rFonts w:ascii="宋体" w:hAnsi="宋体" w:eastAsia="宋体" w:cs="宋体"/>
          <w:sz w:val="28"/>
          <w:szCs w:val="28"/>
        </w:rPr>
        <w:t>结合SG平滑剥离噪声</w:t>
      </w:r>
      <w:r>
        <w:rPr>
          <w:rFonts w:hint="eastAsia" w:ascii="宋体" w:hAnsi="宋体" w:eastAsia="宋体" w:cs="宋体"/>
          <w:sz w:val="28"/>
          <w:szCs w:val="28"/>
          <w:lang w:eastAsia="zh"/>
        </w:rPr>
        <w:t>，</w:t>
      </w:r>
      <w:r>
        <w:rPr>
          <w:rFonts w:ascii="宋体" w:hAnsi="宋体" w:eastAsia="宋体" w:cs="宋体"/>
          <w:sz w:val="28"/>
          <w:szCs w:val="28"/>
        </w:rPr>
        <w:t xml:space="preserve">利用去趋势校正消除温度、液层厚度波动引发的系统误差，提升目标色素特征信号的显著性 </w:t>
      </w:r>
      <w:r>
        <w:rPr>
          <w:rFonts w:hint="eastAsia" w:ascii="宋体" w:hAnsi="宋体" w:eastAsia="宋体" w:cs="宋体"/>
          <w:sz w:val="28"/>
          <w:szCs w:val="28"/>
        </w:rPr>
        <w:t>。</w:t>
      </w:r>
    </w:p>
    <w:p w14:paraId="54E9D630">
      <w:pPr>
        <w:spacing w:after="0" w:line="240" w:lineRule="auto"/>
        <w:ind w:firstLine="562" w:firstLineChars="200"/>
        <w:jc w:val="both"/>
        <w:outlineLvl w:val="1"/>
        <w:rPr>
          <w:rFonts w:hint="eastAsia" w:ascii="黑体" w:hAnsi="黑体" w:eastAsia="黑体" w:cs="黑体"/>
          <w:b/>
          <w:bCs/>
          <w:sz w:val="28"/>
          <w:szCs w:val="28"/>
        </w:rPr>
      </w:pPr>
      <w:bookmarkStart w:id="96" w:name="_Toc7211"/>
      <w:r>
        <w:rPr>
          <w:rFonts w:hint="eastAsia" w:ascii="黑体" w:hAnsi="黑体" w:eastAsia="黑体" w:cs="黑体"/>
          <w:b/>
          <w:bCs/>
          <w:sz w:val="28"/>
          <w:szCs w:val="28"/>
        </w:rPr>
        <w:t>5.1.3 特征工程与稀疏化降维层</w:t>
      </w:r>
      <w:bookmarkEnd w:id="96"/>
    </w:p>
    <w:p w14:paraId="1B88581E">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针对高光谱数据存在的“维数灾难”问题，</w:t>
      </w:r>
      <w:r>
        <w:rPr>
          <w:rFonts w:hint="eastAsia" w:ascii="宋体" w:hAnsi="宋体" w:eastAsia="宋体" w:cs="宋体"/>
          <w:sz w:val="28"/>
          <w:szCs w:val="28"/>
          <w:lang w:eastAsia="zh"/>
        </w:rPr>
        <w:t>摒弃</w:t>
      </w:r>
      <w:r>
        <w:rPr>
          <w:rFonts w:ascii="宋体" w:hAnsi="宋体" w:eastAsia="宋体" w:cs="宋体"/>
          <w:sz w:val="28"/>
          <w:szCs w:val="28"/>
        </w:rPr>
        <w:t>全波段建模</w:t>
      </w:r>
      <w:r>
        <w:rPr>
          <w:rFonts w:hint="eastAsia" w:ascii="宋体" w:hAnsi="宋体" w:eastAsia="宋体" w:cs="宋体"/>
          <w:sz w:val="28"/>
          <w:szCs w:val="28"/>
          <w:lang w:eastAsia="zh"/>
        </w:rPr>
        <w:t>思路</w:t>
      </w:r>
      <w:r>
        <w:rPr>
          <w:rFonts w:ascii="宋体" w:hAnsi="宋体" w:eastAsia="宋体" w:cs="宋体"/>
          <w:sz w:val="28"/>
          <w:szCs w:val="28"/>
        </w:rPr>
        <w:t>，采用“无监督+有监督”的降维策略：首先通过主成分分析（PCA）观察饮料样本的光谱空间分布规律，提取累计方差贡献率 &gt; 95% 的主成分；在此基础上，结合竞争性自适应重加权算法（CARS）或 Lasso 回归算法，从400~1000 nm的全波段中筛选出 15~25 个对色素特征基团（偶氮基、吡唑环、磺酸基、蒽醌结构）具有特异性响应的特征波长，既降低模型复杂度，也为便携式检测设备的微型化提供算法支撑。</w:t>
      </w:r>
    </w:p>
    <w:p w14:paraId="0DC0E6BF">
      <w:pPr>
        <w:spacing w:after="0" w:line="240" w:lineRule="auto"/>
        <w:ind w:firstLine="562" w:firstLineChars="200"/>
        <w:jc w:val="both"/>
        <w:outlineLvl w:val="1"/>
        <w:rPr>
          <w:rFonts w:hint="eastAsia" w:ascii="黑体" w:hAnsi="黑体" w:eastAsia="黑体" w:cs="黑体"/>
          <w:b/>
          <w:bCs/>
          <w:sz w:val="28"/>
          <w:szCs w:val="28"/>
        </w:rPr>
      </w:pPr>
      <w:bookmarkStart w:id="97" w:name="_Toc5012"/>
      <w:r>
        <w:rPr>
          <w:rFonts w:hint="eastAsia" w:ascii="黑体" w:hAnsi="黑体" w:eastAsia="黑体" w:cs="黑体"/>
          <w:b/>
          <w:bCs/>
          <w:sz w:val="28"/>
          <w:szCs w:val="28"/>
        </w:rPr>
        <w:t>5.1.4 智能模型与端侧部署层</w:t>
      </w:r>
      <w:bookmarkEnd w:id="97"/>
    </w:p>
    <w:p w14:paraId="0060F9C2">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基于提取的特征指纹，并行构建</w:t>
      </w:r>
      <w:r>
        <w:rPr>
          <w:rFonts w:hint="eastAsia" w:ascii="宋体" w:hAnsi="宋体" w:eastAsia="宋体" w:cs="宋体"/>
          <w:sz w:val="28"/>
          <w:szCs w:val="28"/>
          <w:lang w:eastAsia="zh"/>
        </w:rPr>
        <w:t>“定性+定量”</w:t>
      </w:r>
      <w:r>
        <w:rPr>
          <w:rFonts w:ascii="宋体" w:hAnsi="宋体" w:eastAsia="宋体" w:cs="宋体"/>
          <w:sz w:val="28"/>
          <w:szCs w:val="28"/>
        </w:rPr>
        <w:t>双路预测模型：</w:t>
      </w:r>
    </w:p>
    <w:p w14:paraId="621B8D9E">
      <w:pPr>
        <w:numPr>
          <w:ilvl w:val="0"/>
          <w:numId w:val="0"/>
        </w:numPr>
        <w:spacing w:line="279" w:lineRule="auto"/>
        <w:ind w:left="440" w:leftChars="200" w:firstLine="560" w:firstLineChars="200"/>
        <w:rPr>
          <w:rFonts w:hint="eastAsia" w:ascii="宋体" w:hAnsi="宋体" w:eastAsia="宋体" w:cs="宋体"/>
          <w:sz w:val="28"/>
          <w:szCs w:val="28"/>
        </w:rPr>
      </w:pPr>
      <w:r>
        <w:rPr>
          <w:rFonts w:hint="eastAsia" w:ascii="宋体" w:hAnsi="宋体" w:eastAsia="宋体" w:cs="宋体"/>
          <w:kern w:val="2"/>
          <w:sz w:val="28"/>
          <w:szCs w:val="28"/>
          <w:lang w:val="en-US" w:eastAsia="zh-CN" w:bidi="ar-SA"/>
        </w:rPr>
        <w:t>（1）</w:t>
      </w:r>
      <w:r>
        <w:rPr>
          <w:rFonts w:hint="eastAsia" w:ascii="宋体" w:hAnsi="宋体" w:eastAsia="宋体" w:cs="宋体"/>
          <w:sz w:val="28"/>
          <w:szCs w:val="28"/>
        </w:rPr>
        <w:t>定性判别模型：</w:t>
      </w:r>
      <w:r>
        <w:rPr>
          <w:rFonts w:ascii="宋体" w:hAnsi="宋体" w:eastAsia="宋体" w:cs="宋体"/>
          <w:sz w:val="28"/>
          <w:szCs w:val="28"/>
        </w:rPr>
        <w:t xml:space="preserve">采用随机森林（RF）、支持向量机（SVM）或一维卷积神经网络（1D-CNN）对 5 种合成色素及混合色素组分进行分类，输出色素种类判别标签 </w:t>
      </w:r>
      <w:r>
        <w:rPr>
          <w:rFonts w:hint="eastAsia" w:ascii="宋体" w:hAnsi="宋体" w:eastAsia="宋体" w:cs="宋体"/>
          <w:sz w:val="28"/>
          <w:szCs w:val="28"/>
          <w:lang w:eastAsia="zh"/>
        </w:rPr>
        <w:t>。</w:t>
      </w:r>
    </w:p>
    <w:p w14:paraId="0CD2C3E7">
      <w:pPr>
        <w:numPr>
          <w:ilvl w:val="0"/>
          <w:numId w:val="0"/>
        </w:numPr>
        <w:spacing w:line="279" w:lineRule="auto"/>
        <w:ind w:left="440" w:leftChars="200" w:firstLine="560" w:firstLineChars="200"/>
        <w:rPr>
          <w:rFonts w:hint="eastAsia" w:ascii="宋体" w:hAnsi="宋体" w:eastAsia="宋体" w:cs="宋体"/>
          <w:sz w:val="28"/>
          <w:szCs w:val="28"/>
        </w:rPr>
      </w:pPr>
      <w:r>
        <w:rPr>
          <w:rFonts w:hint="eastAsia" w:ascii="宋体" w:hAnsi="宋体" w:eastAsia="宋体" w:cs="宋体"/>
          <w:kern w:val="2"/>
          <w:sz w:val="28"/>
          <w:szCs w:val="28"/>
          <w:lang w:val="en-US" w:eastAsia="zh-CN" w:bidi="ar-SA"/>
        </w:rPr>
        <w:t>（2）</w:t>
      </w:r>
      <w:r>
        <w:rPr>
          <w:rFonts w:hint="eastAsia" w:ascii="宋体" w:hAnsi="宋体" w:eastAsia="宋体" w:cs="宋体"/>
          <w:sz w:val="28"/>
          <w:szCs w:val="28"/>
        </w:rPr>
        <w:t>定量反演模型：</w:t>
      </w:r>
      <w:r>
        <w:rPr>
          <w:rFonts w:ascii="宋体" w:hAnsi="宋体" w:eastAsia="宋体" w:cs="宋体"/>
          <w:sz w:val="28"/>
          <w:szCs w:val="28"/>
        </w:rPr>
        <w:t xml:space="preserve">通过偏最小二乘回归（PLSR）、支持向量回归（SVR）或卷积神经网络回归（CNN-R），结合蜣螂优化算法（DBO）、粒子群优化（PSO）等智能算法优化模型参数，建立特征向量与色素浓度（0.01%~0.3%）的非线性映射关系 </w:t>
      </w:r>
      <w:r>
        <w:rPr>
          <w:rFonts w:hint="eastAsia" w:ascii="宋体" w:hAnsi="宋体" w:eastAsia="宋体" w:cs="宋体"/>
          <w:sz w:val="28"/>
          <w:szCs w:val="28"/>
        </w:rPr>
        <w:t>。</w:t>
      </w:r>
    </w:p>
    <w:p w14:paraId="5C803CBE">
      <w:pPr>
        <w:numPr>
          <w:ilvl w:val="0"/>
          <w:numId w:val="0"/>
        </w:numPr>
        <w:spacing w:line="279" w:lineRule="auto"/>
        <w:ind w:left="0" w:leftChars="0" w:right="0" w:rightChars="0" w:firstLine="560" w:firstLineChars="200"/>
        <w:jc w:val="left"/>
        <w:rPr>
          <w:rFonts w:hint="eastAsia" w:ascii="宋体" w:hAnsi="宋体" w:eastAsia="宋体" w:cs="宋体"/>
          <w:sz w:val="28"/>
          <w:szCs w:val="28"/>
        </w:rPr>
      </w:pPr>
      <w:r>
        <w:rPr>
          <w:rFonts w:ascii="宋体" w:hAnsi="宋体" w:eastAsia="宋体" w:cs="宋体"/>
          <w:sz w:val="28"/>
          <w:szCs w:val="28"/>
        </w:rPr>
        <w:t>最终将轻量化优化后的模型部署至嵌入式 ARM 处理器，实现饮料色素的现场实时、无损检测。</w:t>
      </w:r>
    </w:p>
    <w:p w14:paraId="63EED097">
      <w:pPr>
        <w:spacing w:line="279" w:lineRule="auto"/>
        <w:ind w:firstLine="602" w:firstLineChars="200"/>
        <w:outlineLvl w:val="0"/>
        <w:rPr>
          <w:rFonts w:hint="eastAsia" w:ascii="黑体" w:hAnsi="黑体" w:eastAsia="黑体" w:cs="黑体"/>
          <w:b/>
          <w:sz w:val="30"/>
          <w:szCs w:val="30"/>
        </w:rPr>
      </w:pPr>
      <w:bookmarkStart w:id="98" w:name="_Toc28586"/>
      <w:r>
        <w:rPr>
          <w:rFonts w:hint="eastAsia" w:ascii="黑体" w:hAnsi="黑体" w:eastAsia="黑体" w:cs="黑体"/>
          <w:b/>
          <w:sz w:val="30"/>
          <w:szCs w:val="30"/>
        </w:rPr>
        <w:t>5.2 实验设计与标准化流程</w:t>
      </w:r>
      <w:bookmarkEnd w:id="98"/>
    </w:p>
    <w:p w14:paraId="6009822B">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为构建高鲁棒性</w:t>
      </w:r>
      <w:r>
        <w:rPr>
          <w:rFonts w:hint="eastAsia" w:ascii="宋体" w:hAnsi="宋体" w:eastAsia="宋体" w:cs="宋体"/>
          <w:sz w:val="28"/>
          <w:szCs w:val="28"/>
          <w:lang w:eastAsia="zh"/>
        </w:rPr>
        <w:t>、高</w:t>
      </w:r>
      <w:r>
        <w:rPr>
          <w:rFonts w:ascii="宋体" w:hAnsi="宋体" w:eastAsia="宋体" w:cs="宋体"/>
          <w:sz w:val="28"/>
          <w:szCs w:val="28"/>
        </w:rPr>
        <w:t>泛化能力的</w:t>
      </w:r>
      <w:r>
        <w:rPr>
          <w:rFonts w:hint="eastAsia" w:ascii="宋体" w:hAnsi="宋体" w:eastAsia="宋体" w:cs="宋体"/>
          <w:sz w:val="28"/>
          <w:szCs w:val="28"/>
          <w:lang w:eastAsia="zh"/>
        </w:rPr>
        <w:t>饮料色素</w:t>
      </w:r>
      <w:r>
        <w:rPr>
          <w:rFonts w:ascii="宋体" w:hAnsi="宋体" w:eastAsia="宋体" w:cs="宋体"/>
          <w:sz w:val="28"/>
          <w:szCs w:val="28"/>
        </w:rPr>
        <w:t>检测模型，本研究建立标准化实验流程</w:t>
      </w:r>
      <w:r>
        <w:rPr>
          <w:rFonts w:hint="eastAsia" w:ascii="宋体" w:hAnsi="宋体" w:eastAsia="宋体" w:cs="宋体"/>
          <w:sz w:val="28"/>
          <w:szCs w:val="28"/>
          <w:lang w:eastAsia="zh"/>
        </w:rPr>
        <w:t>，</w:t>
      </w:r>
      <w:r>
        <w:rPr>
          <w:rFonts w:ascii="宋体" w:hAnsi="宋体" w:eastAsia="宋体" w:cs="宋体"/>
          <w:sz w:val="28"/>
          <w:szCs w:val="28"/>
        </w:rPr>
        <w:t>消除液层厚度、温度、基质成分等非目标因素的干扰，确保数据的可靠性与可比性。</w:t>
      </w:r>
      <w:r>
        <w:rPr>
          <w:rFonts w:ascii="宋体" w:hAnsi="宋体" w:eastAsia="宋体" w:cs="宋体"/>
          <w:sz w:val="24"/>
          <w:szCs w:val="24"/>
        </w:rPr>
        <w:t xml:space="preserve"> </w:t>
      </w:r>
    </w:p>
    <w:p w14:paraId="746FF4E6">
      <w:pPr>
        <w:spacing w:after="0" w:line="240" w:lineRule="auto"/>
        <w:ind w:firstLine="562" w:firstLineChars="200"/>
        <w:jc w:val="both"/>
        <w:outlineLvl w:val="1"/>
        <w:rPr>
          <w:rFonts w:hint="eastAsia" w:ascii="黑体" w:hAnsi="黑体" w:eastAsia="黑体" w:cs="黑体"/>
          <w:b/>
          <w:bCs/>
          <w:sz w:val="28"/>
          <w:szCs w:val="28"/>
        </w:rPr>
      </w:pPr>
      <w:bookmarkStart w:id="99" w:name="_Toc29817"/>
      <w:r>
        <w:rPr>
          <w:rFonts w:hint="eastAsia" w:ascii="黑体" w:hAnsi="黑体" w:eastAsia="黑体" w:cs="黑体"/>
          <w:b/>
          <w:bCs/>
          <w:sz w:val="28"/>
          <w:szCs w:val="28"/>
        </w:rPr>
        <w:t>5.2.1 复杂基质样本设计</w:t>
      </w:r>
      <w:bookmarkEnd w:id="99"/>
    </w:p>
    <w:p w14:paraId="3EA84DCB">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选取碳酸饮料、果汁饮料、乳饮料三类典型复杂基质，覆盖高糖、高酸、高蛋白等不同理化特性的饮料体系，若算法可在该类复杂基质中实现色素特征解混，可无缝迁移至常规饮料检测场景。</w:t>
      </w:r>
    </w:p>
    <w:p w14:paraId="02909B1A">
      <w:pPr>
        <w:spacing w:line="279" w:lineRule="auto"/>
        <w:ind w:firstLine="562" w:firstLineChars="200"/>
        <w:outlineLvl w:val="2"/>
        <w:rPr>
          <w:rFonts w:hint="eastAsia" w:ascii="宋体" w:hAnsi="宋体" w:eastAsia="宋体" w:cs="宋体"/>
          <w:b/>
          <w:bCs/>
          <w:sz w:val="28"/>
          <w:szCs w:val="28"/>
        </w:rPr>
      </w:pPr>
      <w:bookmarkStart w:id="100" w:name="_Toc17275"/>
      <w:r>
        <w:rPr>
          <w:rFonts w:hint="eastAsia" w:ascii="宋体" w:hAnsi="宋体" w:eastAsia="宋体" w:cs="宋体"/>
          <w:b/>
          <w:bCs/>
          <w:sz w:val="28"/>
          <w:szCs w:val="28"/>
        </w:rPr>
        <w:t>（1）样本规划与浓度梯度</w:t>
      </w:r>
      <w:bookmarkEnd w:id="100"/>
    </w:p>
    <w:p w14:paraId="39B672D5">
      <w:pPr>
        <w:spacing w:line="279" w:lineRule="auto"/>
        <w:ind w:firstLine="560" w:firstLineChars="200"/>
        <w:rPr>
          <w:rFonts w:hint="eastAsia" w:ascii="宋体" w:hAnsi="宋体" w:eastAsia="宋体" w:cs="宋体"/>
          <w:sz w:val="28"/>
          <w:szCs w:val="28"/>
          <w:lang w:eastAsia="zh"/>
        </w:rPr>
      </w:pPr>
      <w:r>
        <w:rPr>
          <w:rFonts w:hint="eastAsia" w:ascii="宋体" w:hAnsi="宋体" w:eastAsia="宋体" w:cs="宋体"/>
          <w:sz w:val="28"/>
          <w:szCs w:val="28"/>
        </w:rPr>
        <w:t>①目标污染物：</w:t>
      </w:r>
      <w:r>
        <w:rPr>
          <w:rFonts w:ascii="宋体" w:hAnsi="宋体" w:eastAsia="宋体" w:cs="宋体"/>
          <w:sz w:val="28"/>
          <w:szCs w:val="28"/>
        </w:rPr>
        <w:t xml:space="preserve">选取柠檬黄（E102）、日落黄（E110）、胭脂红（E124）、苋菜红（E123）、亮蓝（E133）5 种饮料中常见人工合成色素 </w:t>
      </w:r>
      <w:r>
        <w:rPr>
          <w:rFonts w:hint="eastAsia" w:ascii="宋体" w:hAnsi="宋体" w:eastAsia="宋体" w:cs="宋体"/>
          <w:sz w:val="28"/>
          <w:szCs w:val="28"/>
          <w:lang w:eastAsia="zh"/>
        </w:rPr>
        <w:t>。</w:t>
      </w:r>
    </w:p>
    <w:p w14:paraId="7C71751D">
      <w:pPr>
        <w:spacing w:line="279" w:lineRule="auto"/>
        <w:ind w:left="880" w:leftChars="400"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表5-1 目标污染物属性参照表</w:t>
      </w:r>
    </w:p>
    <w:p w14:paraId="30A68798">
      <w:pPr>
        <w:spacing w:line="279" w:lineRule="auto"/>
        <w:rPr>
          <w:rFonts w:hint="eastAsia" w:ascii="宋体" w:hAnsi="宋体" w:eastAsia="宋体" w:cs="宋体"/>
          <w:sz w:val="28"/>
          <w:szCs w:val="28"/>
        </w:rPr>
      </w:pPr>
    </w:p>
    <w:p w14:paraId="1760A0FC">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②浓度梯度设计：</w:t>
      </w:r>
      <w:r>
        <w:rPr>
          <w:rFonts w:ascii="宋体" w:hAnsi="宋体" w:eastAsia="宋体" w:cs="宋体"/>
          <w:sz w:val="28"/>
          <w:szCs w:val="28"/>
        </w:rPr>
        <w:t xml:space="preserve">设置0.05%、0.1%、0.2%、0.3% </w:t>
      </w:r>
      <w:r>
        <w:rPr>
          <w:rFonts w:hint="eastAsia" w:ascii="宋体" w:hAnsi="宋体" w:eastAsia="宋体" w:cs="宋体"/>
          <w:sz w:val="28"/>
          <w:szCs w:val="28"/>
          <w:lang w:eastAsia="zh"/>
        </w:rPr>
        <w:t>四</w:t>
      </w:r>
      <w:r>
        <w:rPr>
          <w:rFonts w:ascii="宋体" w:hAnsi="宋体" w:eastAsia="宋体" w:cs="宋体"/>
          <w:sz w:val="28"/>
          <w:szCs w:val="28"/>
        </w:rPr>
        <w:t xml:space="preserve">个质量分数梯度，覆盖国标限量阈值（0.01%~0.1%）及违规超量添加范围（0.1%~0.3%），验证系统痕量检出能力 </w:t>
      </w:r>
      <w:r>
        <w:rPr>
          <w:rFonts w:hint="eastAsia" w:ascii="宋体" w:hAnsi="宋体" w:eastAsia="宋体" w:cs="宋体"/>
          <w:sz w:val="28"/>
          <w:szCs w:val="28"/>
        </w:rPr>
        <w:t>。</w:t>
      </w:r>
    </w:p>
    <w:p w14:paraId="3B4DDA69">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③样本总量：</w:t>
      </w:r>
      <w:r>
        <w:rPr>
          <w:rFonts w:ascii="宋体" w:hAnsi="宋体" w:eastAsia="宋体" w:cs="宋体"/>
          <w:sz w:val="28"/>
          <w:szCs w:val="28"/>
        </w:rPr>
        <w:t>制备</w:t>
      </w:r>
      <w:r>
        <w:rPr>
          <w:rFonts w:hint="eastAsia" w:ascii="宋体" w:hAnsi="宋体" w:eastAsia="宋体" w:cs="宋体"/>
          <w:sz w:val="28"/>
          <w:szCs w:val="28"/>
          <w:lang w:eastAsia="zh"/>
        </w:rPr>
        <w:t>310</w:t>
      </w:r>
      <w:r>
        <w:rPr>
          <w:rFonts w:ascii="宋体" w:hAnsi="宋体" w:eastAsia="宋体" w:cs="宋体"/>
          <w:sz w:val="28"/>
          <w:szCs w:val="28"/>
        </w:rPr>
        <w:t>个有效样本，包含纯饮料对照组（3类×10个）、单一色素掺杂样本（5 种色素×</w:t>
      </w:r>
      <w:r>
        <w:rPr>
          <w:rFonts w:hint="eastAsia" w:ascii="宋体" w:hAnsi="宋体" w:eastAsia="宋体" w:cs="宋体"/>
          <w:sz w:val="28"/>
          <w:szCs w:val="28"/>
          <w:lang w:eastAsia="zh"/>
        </w:rPr>
        <w:t>4</w:t>
      </w:r>
      <w:r>
        <w:rPr>
          <w:rFonts w:ascii="宋体" w:hAnsi="宋体" w:eastAsia="宋体" w:cs="宋体"/>
          <w:sz w:val="28"/>
          <w:szCs w:val="28"/>
        </w:rPr>
        <w:t>浓度×10个）、混合色素掺杂样本（双组分/三组分×</w:t>
      </w:r>
      <w:r>
        <w:rPr>
          <w:rFonts w:hint="eastAsia" w:ascii="宋体" w:hAnsi="宋体" w:eastAsia="宋体" w:cs="宋体"/>
          <w:sz w:val="28"/>
          <w:szCs w:val="28"/>
          <w:lang w:eastAsia="zh"/>
        </w:rPr>
        <w:t>4</w:t>
      </w:r>
      <w:r>
        <w:rPr>
          <w:rFonts w:ascii="宋体" w:hAnsi="宋体" w:eastAsia="宋体" w:cs="宋体"/>
          <w:sz w:val="28"/>
          <w:szCs w:val="28"/>
        </w:rPr>
        <w:t>浓度×10个）</w:t>
      </w:r>
      <w:r>
        <w:rPr>
          <w:rFonts w:ascii="宋体" w:hAnsi="宋体" w:eastAsia="宋体" w:cs="宋体"/>
          <w:sz w:val="24"/>
          <w:szCs w:val="24"/>
        </w:rPr>
        <w:t xml:space="preserve"> </w:t>
      </w:r>
      <w:r>
        <w:rPr>
          <w:rFonts w:hint="eastAsia" w:ascii="宋体" w:hAnsi="宋体" w:eastAsia="宋体" w:cs="宋体"/>
          <w:sz w:val="28"/>
          <w:szCs w:val="28"/>
        </w:rPr>
        <w:t>。</w:t>
      </w:r>
    </w:p>
    <w:p w14:paraId="5E54EF69">
      <w:pPr>
        <w:spacing w:line="279" w:lineRule="auto"/>
        <w:ind w:firstLine="562" w:firstLineChars="200"/>
        <w:outlineLvl w:val="2"/>
        <w:rPr>
          <w:rFonts w:hint="eastAsia" w:ascii="宋体" w:hAnsi="宋体" w:eastAsia="宋体" w:cs="宋体"/>
          <w:b/>
          <w:bCs/>
          <w:sz w:val="28"/>
          <w:szCs w:val="28"/>
        </w:rPr>
      </w:pPr>
      <w:bookmarkStart w:id="101" w:name="_Toc1092"/>
      <w:r>
        <w:rPr>
          <w:rFonts w:hint="eastAsia" w:ascii="宋体" w:hAnsi="宋体" w:eastAsia="宋体" w:cs="宋体"/>
          <w:b/>
          <w:bCs/>
          <w:sz w:val="28"/>
          <w:szCs w:val="28"/>
        </w:rPr>
        <w:t>（2）</w:t>
      </w:r>
      <w:r>
        <w:rPr>
          <w:rFonts w:ascii="宋体" w:hAnsi="宋体" w:eastAsia="宋体" w:cs="宋体"/>
          <w:b/>
          <w:bCs/>
          <w:sz w:val="28"/>
          <w:szCs w:val="28"/>
        </w:rPr>
        <w:t>物理制备与动态采集策略</w:t>
      </w:r>
      <w:bookmarkEnd w:id="101"/>
    </w:p>
    <w:p w14:paraId="5BE52DE5">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 xml:space="preserve">为消除液态样本浓度分布不均、气泡干扰等问题，样本制备遵循以下规范 </w:t>
      </w:r>
      <w:r>
        <w:rPr>
          <w:rFonts w:hint="eastAsia" w:ascii="宋体" w:hAnsi="宋体" w:eastAsia="宋体" w:cs="宋体"/>
          <w:sz w:val="28"/>
          <w:szCs w:val="28"/>
        </w:rPr>
        <w:t>：</w:t>
      </w:r>
    </w:p>
    <w:p w14:paraId="00E724DE">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①精确称量与均</w:t>
      </w:r>
      <w:r>
        <w:rPr>
          <w:rFonts w:hint="eastAsia" w:ascii="宋体" w:hAnsi="宋体" w:eastAsia="宋体" w:cs="宋体"/>
          <w:sz w:val="28"/>
          <w:szCs w:val="28"/>
          <w:lang w:eastAsia="zh"/>
        </w:rPr>
        <w:t>质</w:t>
      </w:r>
      <w:r>
        <w:rPr>
          <w:rFonts w:hint="eastAsia" w:ascii="宋体" w:hAnsi="宋体" w:eastAsia="宋体" w:cs="宋体"/>
          <w:sz w:val="28"/>
          <w:szCs w:val="28"/>
        </w:rPr>
        <w:t>化：使用高精度电子天平</w:t>
      </w:r>
      <w:r>
        <w:rPr>
          <w:rFonts w:hint="eastAsia" w:ascii="宋体" w:hAnsi="宋体" w:eastAsia="宋体" w:cs="宋体"/>
          <w:sz w:val="28"/>
          <w:szCs w:val="28"/>
          <w:lang w:eastAsia="zh"/>
        </w:rPr>
        <w:t>称量色素样品，与饮料基质在磁力搅拌机上搅拌10min，确保色素完全溶解</w:t>
      </w:r>
      <w:r>
        <w:rPr>
          <w:rFonts w:hint="eastAsia" w:ascii="宋体" w:hAnsi="宋体" w:eastAsia="宋体" w:cs="宋体"/>
          <w:sz w:val="28"/>
          <w:szCs w:val="28"/>
        </w:rPr>
        <w:t>。</w:t>
      </w:r>
    </w:p>
    <w:p w14:paraId="5445F07B">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②</w:t>
      </w:r>
      <w:r>
        <w:rPr>
          <w:rFonts w:ascii="宋体" w:hAnsi="宋体" w:eastAsia="宋体" w:cs="宋体"/>
          <w:sz w:val="28"/>
          <w:szCs w:val="28"/>
        </w:rPr>
        <w:t>标准化样品池：采用石英样品池，避免玻璃材质的光谱吸收干扰，加注样本后静置5min消除气泡</w:t>
      </w:r>
      <w:r>
        <w:rPr>
          <w:rFonts w:hint="eastAsia" w:ascii="宋体" w:hAnsi="宋体" w:eastAsia="宋体" w:cs="宋体"/>
          <w:sz w:val="28"/>
          <w:szCs w:val="28"/>
        </w:rPr>
        <w:t>。</w:t>
      </w:r>
    </w:p>
    <w:p w14:paraId="658F347D">
      <w:pPr>
        <w:spacing w:line="279" w:lineRule="auto"/>
        <w:ind w:firstLine="560" w:firstLineChars="200"/>
        <w:rPr>
          <w:rFonts w:hint="eastAsia"/>
        </w:rPr>
      </w:pPr>
      <w:r>
        <w:rPr>
          <w:rFonts w:hint="eastAsia" w:ascii="宋体" w:hAnsi="宋体" w:eastAsia="宋体" w:cs="宋体"/>
          <w:sz w:val="28"/>
          <w:szCs w:val="28"/>
        </w:rPr>
        <w:t>③</w:t>
      </w:r>
      <w:r>
        <w:rPr>
          <w:rFonts w:ascii="宋体" w:hAnsi="宋体" w:eastAsia="宋体" w:cs="宋体"/>
          <w:sz w:val="28"/>
          <w:szCs w:val="28"/>
        </w:rPr>
        <w:t xml:space="preserve">动态重复采集：单次扫描完成后，将样本倒出重新搅拌、加注，重复采集3次并取平均光谱，获取代表性的全局特征。 </w:t>
      </w:r>
    </w:p>
    <w:p w14:paraId="3DD5995E">
      <w:pPr>
        <w:spacing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图5-2 物理制备与动态采集策略流程图</w:t>
      </w:r>
    </w:p>
    <w:p w14:paraId="7DB2D254">
      <w:pPr>
        <w:spacing w:after="0" w:line="240" w:lineRule="auto"/>
        <w:ind w:firstLine="562" w:firstLineChars="200"/>
        <w:jc w:val="both"/>
        <w:outlineLvl w:val="1"/>
        <w:rPr>
          <w:rFonts w:hint="eastAsia" w:ascii="黑体" w:hAnsi="黑体" w:eastAsia="黑体" w:cs="黑体"/>
          <w:b/>
          <w:bCs/>
          <w:sz w:val="28"/>
          <w:szCs w:val="28"/>
        </w:rPr>
      </w:pPr>
      <w:bookmarkStart w:id="102" w:name="_Toc22824"/>
      <w:r>
        <w:rPr>
          <w:rFonts w:hint="eastAsia" w:ascii="黑体" w:hAnsi="黑体" w:eastAsia="黑体" w:cs="黑体"/>
          <w:b/>
          <w:bCs/>
          <w:sz w:val="28"/>
          <w:szCs w:val="28"/>
        </w:rPr>
        <w:t>5.2.2 硬件采集参数配置</w:t>
      </w:r>
      <w:bookmarkEnd w:id="102"/>
    </w:p>
    <w:p w14:paraId="72DBFB8D">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为确保光谱数据的空间分辨率</w:t>
      </w:r>
      <w:r>
        <w:rPr>
          <w:rFonts w:hint="eastAsia" w:ascii="宋体" w:hAnsi="宋体" w:eastAsia="宋体" w:cs="宋体"/>
          <w:sz w:val="28"/>
          <w:szCs w:val="28"/>
          <w:lang w:eastAsia="zh"/>
        </w:rPr>
        <w:t>、光谱分辨率</w:t>
      </w:r>
      <w:r>
        <w:rPr>
          <w:rFonts w:ascii="宋体" w:hAnsi="宋体" w:eastAsia="宋体" w:cs="宋体"/>
          <w:sz w:val="28"/>
          <w:szCs w:val="28"/>
        </w:rPr>
        <w:t>与信噪比，</w:t>
      </w:r>
      <w:r>
        <w:rPr>
          <w:rFonts w:hint="eastAsia" w:ascii="宋体" w:hAnsi="宋体" w:eastAsia="宋体" w:cs="宋体"/>
          <w:sz w:val="28"/>
          <w:szCs w:val="28"/>
          <w:lang w:eastAsia="zh"/>
        </w:rPr>
        <w:t>高光谱成像</w:t>
      </w:r>
      <w:r>
        <w:rPr>
          <w:rFonts w:ascii="宋体" w:hAnsi="宋体" w:eastAsia="宋体" w:cs="宋体"/>
          <w:sz w:val="28"/>
          <w:szCs w:val="28"/>
        </w:rPr>
        <w:t>系统核心参数严格配置：</w:t>
      </w:r>
    </w:p>
    <w:p w14:paraId="3985F586">
      <w:pPr>
        <w:spacing w:line="279" w:lineRule="auto"/>
        <w:ind w:left="440" w:leftChars="200"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表 5-2 高光谱成像系统核心参数指标</w:t>
      </w:r>
    </w:p>
    <w:p w14:paraId="5FE817F1">
      <w:pPr>
        <w:spacing w:line="279" w:lineRule="auto"/>
        <w:rPr>
          <w:rFonts w:hint="eastAsia" w:ascii="宋体" w:hAnsi="宋体" w:eastAsia="宋体" w:cs="宋体"/>
          <w:sz w:val="28"/>
          <w:szCs w:val="28"/>
        </w:rPr>
      </w:pPr>
    </w:p>
    <w:p w14:paraId="1BA251D6">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运动控制：扫描平台平移速度与相机行扫描帧率严格同步，避免因速度不匹配导致的光谱图像几何畸变；同时控制样品温度为 20℃，消除温度波动对液态样本光谱吸收的影响 。</w:t>
      </w:r>
    </w:p>
    <w:p w14:paraId="4769E510">
      <w:pPr>
        <w:spacing w:after="0" w:line="240" w:lineRule="auto"/>
        <w:ind w:firstLine="562" w:firstLineChars="200"/>
        <w:jc w:val="both"/>
        <w:outlineLvl w:val="1"/>
        <w:rPr>
          <w:rFonts w:hint="eastAsia" w:ascii="黑体" w:hAnsi="黑体" w:eastAsia="黑体" w:cs="黑体"/>
          <w:b/>
          <w:bCs/>
          <w:sz w:val="28"/>
          <w:szCs w:val="28"/>
        </w:rPr>
      </w:pPr>
      <w:bookmarkStart w:id="103" w:name="_Toc29360"/>
      <w:r>
        <w:rPr>
          <w:rFonts w:hint="eastAsia" w:ascii="黑体" w:hAnsi="黑体" w:eastAsia="黑体" w:cs="黑体"/>
          <w:b/>
          <w:bCs/>
          <w:sz w:val="28"/>
          <w:szCs w:val="28"/>
        </w:rPr>
        <w:t>5.2.3 基于KS算法的数据划分</w:t>
      </w:r>
      <w:bookmarkEnd w:id="103"/>
    </w:p>
    <w:p w14:paraId="1668F431">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为避免随机划分导致的数据分布失衡，采用 Kennard-Stone（KS）算法基于光谱多维空间的欧氏距离筛选样本，确保校正集样本的代表性：</w:t>
      </w:r>
    </w:p>
    <w:p w14:paraId="7C41C862">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lang w:eastAsia="zh"/>
        </w:rPr>
        <w:t>（1）</w:t>
      </w:r>
      <w:r>
        <w:rPr>
          <w:rFonts w:hint="eastAsia" w:ascii="宋体" w:hAnsi="宋体" w:eastAsia="宋体" w:cs="宋体"/>
          <w:sz w:val="28"/>
          <w:szCs w:val="28"/>
        </w:rPr>
        <w:t>其距离计算公式如下：</w:t>
      </w:r>
    </w:p>
    <w:p w14:paraId="4371126F">
      <w:pPr>
        <w:spacing w:line="279" w:lineRule="auto"/>
        <w:ind w:left="440" w:leftChars="200" w:firstLine="560" w:firstLineChars="200"/>
        <w:rPr>
          <w:rFonts w:hint="eastAsia" w:ascii="宋体" w:hAnsi="宋体" w:eastAsia="宋体" w:cs="宋体"/>
          <w:sz w:val="28"/>
          <w:szCs w:val="28"/>
        </w:rPr>
      </w:pPr>
    </w:p>
    <w:p w14:paraId="1CEDB933">
      <w:pPr>
        <w:spacing w:line="279" w:lineRule="auto"/>
        <w:ind w:left="440" w:leftChars="200" w:firstLine="420" w:firstLineChars="200"/>
        <w:rPr>
          <w:rFonts w:hint="eastAsia" w:ascii="宋体" w:hAnsi="宋体" w:eastAsia="宋体" w:cs="宋体"/>
          <w:i/>
          <w:iCs/>
          <w:sz w:val="21"/>
          <w:szCs w:val="21"/>
        </w:rPr>
      </w:pPr>
      <w:r>
        <w:rPr>
          <w:rFonts w:hint="eastAsia" w:ascii="宋体" w:hAnsi="宋体" w:eastAsia="宋体" w:cs="宋体"/>
          <w:i/>
          <w:iCs/>
          <w:sz w:val="21"/>
          <w:szCs w:val="21"/>
        </w:rPr>
        <w:t>其中， 和  分别表示样本 i和样本j在第k个波段的光谱吸光度（或反射率），M为波段总数（本系统）。</w:t>
      </w:r>
    </w:p>
    <w:p w14:paraId="53D9CCA2">
      <w:pPr>
        <w:spacing w:line="279" w:lineRule="auto"/>
        <w:rPr>
          <w:rFonts w:hint="eastAsia"/>
        </w:rPr>
      </w:pPr>
      <w:r>
        <w:rPr>
          <w:rFonts w:hint="eastAsia"/>
        </w:rPr>
        <w:t xml:space="preserve">          </w:t>
      </w:r>
    </w:p>
    <w:p w14:paraId="3EE4743B">
      <w:pPr>
        <w:spacing w:line="279" w:lineRule="auto"/>
        <w:jc w:val="center"/>
        <w:rPr>
          <w:rFonts w:hint="eastAsia" w:ascii="黑体" w:hAnsi="黑体" w:eastAsia="黑体" w:cs="黑体"/>
          <w:b/>
          <w:bCs/>
          <w:sz w:val="21"/>
          <w:szCs w:val="21"/>
        </w:rPr>
      </w:pPr>
      <w:r>
        <w:rPr>
          <w:rFonts w:hint="eastAsia" w:ascii="黑体" w:hAnsi="黑体" w:eastAsia="黑体" w:cs="黑体"/>
          <w:b/>
          <w:bCs/>
          <w:sz w:val="21"/>
          <w:szCs w:val="21"/>
        </w:rPr>
        <w:t>图5-2 Kennard-Stone算法提取代表性样本空间拓扑示意图</w:t>
      </w:r>
    </w:p>
    <w:p w14:paraId="14521A46">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sz w:val="28"/>
          <w:szCs w:val="28"/>
          <w:lang w:eastAsia="zh"/>
        </w:rPr>
        <w:t>2</w:t>
      </w:r>
      <w:r>
        <w:rPr>
          <w:rFonts w:hint="eastAsia" w:ascii="宋体" w:hAnsi="宋体" w:eastAsia="宋体" w:cs="宋体"/>
          <w:sz w:val="28"/>
          <w:szCs w:val="28"/>
        </w:rPr>
        <w:t>）执行逻辑：</w:t>
      </w:r>
      <w:r>
        <w:rPr>
          <w:rFonts w:ascii="宋体" w:hAnsi="宋体" w:eastAsia="宋体" w:cs="宋体"/>
          <w:sz w:val="28"/>
          <w:szCs w:val="28"/>
        </w:rPr>
        <w:t>先选取空间距离最远的2个样本纳入校正集，后续每次迭代选择“与当前校正集最小距离最大”的样本加入，直至校正集样本量达到总样本的70%</w:t>
      </w:r>
      <w:r>
        <w:rPr>
          <w:rFonts w:hint="eastAsia" w:ascii="宋体" w:hAnsi="宋体" w:eastAsia="宋体" w:cs="宋体"/>
          <w:sz w:val="28"/>
          <w:szCs w:val="28"/>
        </w:rPr>
        <w:t>。</w:t>
      </w:r>
    </w:p>
    <w:p w14:paraId="279966D8">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sz w:val="28"/>
          <w:szCs w:val="28"/>
          <w:lang w:eastAsia="zh"/>
        </w:rPr>
        <w:t>3</w:t>
      </w:r>
      <w:r>
        <w:rPr>
          <w:rFonts w:hint="eastAsia" w:ascii="宋体" w:hAnsi="宋体" w:eastAsia="宋体" w:cs="宋体"/>
          <w:sz w:val="28"/>
          <w:szCs w:val="28"/>
        </w:rPr>
        <w:t>）划分结果：</w:t>
      </w:r>
      <w:r>
        <w:rPr>
          <w:rFonts w:hint="eastAsia" w:ascii="宋体" w:hAnsi="宋体" w:eastAsia="宋体" w:cs="宋体"/>
          <w:sz w:val="28"/>
          <w:szCs w:val="28"/>
          <w:lang w:eastAsia="zh"/>
        </w:rPr>
        <w:t>217</w:t>
      </w:r>
      <w:r>
        <w:rPr>
          <w:rFonts w:hint="eastAsia" w:ascii="宋体" w:hAnsi="宋体" w:eastAsia="宋体" w:cs="宋体"/>
          <w:sz w:val="28"/>
          <w:szCs w:val="28"/>
        </w:rPr>
        <w:t>个样本归入校正集</w:t>
      </w:r>
      <w:r>
        <w:rPr>
          <w:rFonts w:hint="eastAsia" w:ascii="宋体" w:hAnsi="宋体" w:eastAsia="宋体" w:cs="宋体"/>
          <w:sz w:val="28"/>
          <w:szCs w:val="28"/>
          <w:lang w:eastAsia="zh"/>
        </w:rPr>
        <w:t>，</w:t>
      </w:r>
      <w:r>
        <w:rPr>
          <w:rFonts w:hint="eastAsia" w:ascii="宋体" w:hAnsi="宋体" w:eastAsia="宋体" w:cs="宋体"/>
          <w:sz w:val="28"/>
          <w:szCs w:val="28"/>
        </w:rPr>
        <w:t>用于模型训练与超参数寻优，</w:t>
      </w:r>
      <w:r>
        <w:rPr>
          <w:rFonts w:hint="eastAsia" w:ascii="宋体" w:hAnsi="宋体" w:eastAsia="宋体" w:cs="宋体"/>
          <w:sz w:val="28"/>
          <w:szCs w:val="28"/>
          <w:lang w:eastAsia="zh"/>
        </w:rPr>
        <w:t>93</w:t>
      </w:r>
      <w:r>
        <w:rPr>
          <w:rFonts w:hint="eastAsia" w:ascii="宋体" w:hAnsi="宋体" w:eastAsia="宋体" w:cs="宋体"/>
          <w:sz w:val="28"/>
          <w:szCs w:val="28"/>
        </w:rPr>
        <w:t>个样本归入预测集</w:t>
      </w:r>
      <w:r>
        <w:rPr>
          <w:rFonts w:hint="eastAsia" w:ascii="宋体" w:hAnsi="宋体" w:eastAsia="宋体" w:cs="宋体"/>
          <w:sz w:val="28"/>
          <w:szCs w:val="28"/>
          <w:lang w:eastAsia="zh"/>
        </w:rPr>
        <w:t>，</w:t>
      </w:r>
      <w:r>
        <w:rPr>
          <w:rFonts w:hint="eastAsia" w:ascii="宋体" w:hAnsi="宋体" w:eastAsia="宋体" w:cs="宋体"/>
          <w:sz w:val="28"/>
          <w:szCs w:val="28"/>
        </w:rPr>
        <w:t>用于模型的盲测与外部泛化能力验证。</w:t>
      </w:r>
    </w:p>
    <w:p w14:paraId="3568BDF8">
      <w:pPr>
        <w:spacing w:after="0" w:line="240" w:lineRule="auto"/>
        <w:ind w:firstLine="562" w:firstLineChars="200"/>
        <w:jc w:val="both"/>
        <w:outlineLvl w:val="1"/>
        <w:rPr>
          <w:rFonts w:hint="eastAsia" w:ascii="黑体" w:hAnsi="黑体" w:eastAsia="黑体" w:cs="黑体"/>
          <w:b/>
          <w:bCs/>
          <w:sz w:val="28"/>
          <w:szCs w:val="28"/>
        </w:rPr>
      </w:pPr>
      <w:bookmarkStart w:id="104" w:name="_Toc941"/>
      <w:r>
        <w:rPr>
          <w:rFonts w:hint="eastAsia" w:ascii="黑体" w:hAnsi="黑体" w:eastAsia="黑体" w:cs="黑体"/>
          <w:b/>
          <w:bCs/>
          <w:sz w:val="28"/>
          <w:szCs w:val="28"/>
        </w:rPr>
        <w:t>5.2.4 光谱</w:t>
      </w:r>
      <w:r>
        <w:rPr>
          <w:rFonts w:hint="eastAsia" w:ascii="黑体" w:hAnsi="黑体" w:eastAsia="黑体" w:cs="黑体"/>
          <w:b/>
          <w:bCs/>
          <w:sz w:val="28"/>
          <w:szCs w:val="28"/>
          <w:lang w:eastAsia="zh"/>
        </w:rPr>
        <w:t>多维度</w:t>
      </w:r>
      <w:r>
        <w:rPr>
          <w:rFonts w:hint="eastAsia" w:ascii="黑体" w:hAnsi="黑体" w:eastAsia="黑体" w:cs="黑体"/>
          <w:b/>
          <w:bCs/>
          <w:sz w:val="28"/>
          <w:szCs w:val="28"/>
        </w:rPr>
        <w:t>校正机理</w:t>
      </w:r>
      <w:bookmarkEnd w:id="104"/>
    </w:p>
    <w:p w14:paraId="0E47B957">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针对液态饮料检测的特殊性，在黑白板归一化基础上增加多重校正，从物理底层消除系统误差：</w:t>
      </w:r>
    </w:p>
    <w:p w14:paraId="4017A0D7">
      <w:pPr>
        <w:spacing w:line="279" w:lineRule="auto"/>
        <w:ind w:firstLine="560" w:firstLineChars="200"/>
        <w:rPr>
          <w:rFonts w:hint="eastAsia" w:ascii="宋体" w:hAnsi="宋体" w:eastAsia="宋体" w:cs="宋体"/>
          <w:sz w:val="28"/>
          <w:szCs w:val="28"/>
          <w:lang w:eastAsia="zh"/>
        </w:rPr>
      </w:pPr>
      <w:r>
        <w:rPr>
          <w:rFonts w:hint="eastAsia" w:ascii="宋体" w:hAnsi="宋体" w:eastAsia="宋体" w:cs="宋体"/>
          <w:sz w:val="28"/>
          <w:szCs w:val="28"/>
          <w:lang w:eastAsia="zh"/>
        </w:rPr>
        <w:t>（1）黑白板归一化</w:t>
      </w:r>
      <w:r>
        <w:rPr>
          <w:rFonts w:hint="eastAsia" w:ascii="宋体" w:hAnsi="宋体" w:eastAsia="宋体" w:cs="宋体"/>
          <w:sz w:val="28"/>
          <w:szCs w:val="28"/>
        </w:rPr>
        <w:t>：</w:t>
      </w:r>
      <w:r>
        <w:rPr>
          <w:rFonts w:hint="eastAsia" w:ascii="宋体" w:hAnsi="宋体" w:eastAsia="宋体" w:cs="宋体"/>
          <w:sz w:val="28"/>
          <w:szCs w:val="28"/>
          <w:lang w:eastAsia="zh"/>
        </w:rPr>
        <w:t>将原始光强值转换为绝对反射率，公式如下：</w:t>
      </w:r>
    </w:p>
    <w:p w14:paraId="17228FCC">
      <w:pPr>
        <w:spacing w:line="279" w:lineRule="auto"/>
        <w:ind w:left="440" w:leftChars="200" w:firstLine="560" w:firstLineChars="200"/>
        <w:rPr>
          <w:rFonts w:hint="eastAsia" w:ascii="宋体" w:hAnsi="宋体" w:eastAsia="宋体" w:cs="宋体"/>
          <w:sz w:val="28"/>
          <w:szCs w:val="28"/>
        </w:rPr>
      </w:pPr>
    </w:p>
    <w:p w14:paraId="76CBB16D">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式中：</w:t>
      </w:r>
    </w:p>
    <w:p w14:paraId="1D145F0D">
      <w:pPr>
        <w:spacing w:line="279" w:lineRule="auto"/>
        <w:ind w:firstLine="1260" w:firstLineChars="600"/>
        <w:rPr>
          <w:rFonts w:hint="eastAsia" w:ascii="宋体" w:hAnsi="宋体" w:eastAsia="宋体" w:cs="宋体"/>
          <w:i/>
          <w:iCs/>
          <w:sz w:val="21"/>
          <w:szCs w:val="21"/>
        </w:rPr>
      </w:pPr>
      <w:r>
        <w:rPr>
          <w:rFonts w:hint="eastAsia" w:ascii="宋体" w:hAnsi="宋体" w:eastAsia="宋体" w:cs="宋体"/>
          <w:i/>
          <w:iCs/>
          <w:sz w:val="21"/>
          <w:szCs w:val="21"/>
        </w:rPr>
        <w:t xml:space="preserve"> 为样本的原始高光谱图像数字量化值（DN值）；</w:t>
      </w:r>
    </w:p>
    <w:p w14:paraId="3C448509">
      <w:pPr>
        <w:spacing w:line="279" w:lineRule="auto"/>
        <w:ind w:left="440" w:leftChars="200" w:firstLine="840" w:firstLineChars="400"/>
        <w:rPr>
          <w:rFonts w:hint="eastAsia" w:hAnsi="宋体" w:eastAsia="宋体" w:cs="宋体"/>
          <w:i/>
          <w:sz w:val="21"/>
          <w:szCs w:val="21"/>
        </w:rPr>
      </w:pPr>
      <w:r>
        <w:rPr>
          <w:rFonts w:hint="eastAsia" w:hAnsi="Cambria Math" w:eastAsia="宋体" w:cs="宋体"/>
          <w:i/>
          <w:iCs/>
          <w:sz w:val="21"/>
          <w:szCs w:val="21"/>
        </w:rPr>
        <w:t xml:space="preserve"> </w:t>
      </w:r>
    </w:p>
    <w:p w14:paraId="564FD9FB">
      <w:pPr>
        <w:spacing w:line="279" w:lineRule="auto"/>
        <w:ind w:left="440" w:leftChars="200" w:firstLine="840" w:firstLineChars="400"/>
        <w:rPr>
          <w:rFonts w:hint="eastAsia" w:hAnsi="宋体" w:eastAsia="宋体" w:cs="宋体"/>
          <w:i/>
          <w:sz w:val="21"/>
          <w:szCs w:val="21"/>
        </w:rPr>
      </w:pPr>
      <w:r>
        <w:rPr>
          <w:rFonts w:hint="eastAsia" w:hAnsi="Cambria Math" w:eastAsia="宋体" w:cs="宋体"/>
          <w:i/>
          <w:iCs/>
          <w:sz w:val="21"/>
          <w:szCs w:val="21"/>
        </w:rPr>
        <w:t xml:space="preserve"> </w:t>
      </w:r>
    </w:p>
    <w:p w14:paraId="198FCD92">
      <w:pPr>
        <w:numPr>
          <w:ilvl w:val="0"/>
          <w:numId w:val="0"/>
        </w:numPr>
        <w:spacing w:line="279" w:lineRule="auto"/>
        <w:ind w:left="0" w:leftChars="0" w:firstLine="560" w:firstLineChars="200"/>
        <w:rPr>
          <w:rFonts w:ascii="宋体" w:hAnsi="宋体" w:eastAsia="宋体" w:cs="宋体"/>
          <w:sz w:val="28"/>
          <w:szCs w:val="28"/>
        </w:rPr>
      </w:pPr>
      <w:r>
        <w:rPr>
          <w:rFonts w:ascii="宋体" w:hAnsi="宋体" w:eastAsia="宋体" w:cs="宋体"/>
          <w:kern w:val="2"/>
          <w:sz w:val="28"/>
          <w:szCs w:val="28"/>
          <w:lang w:val="en-US" w:eastAsia="zh-CN" w:bidi="ar-SA"/>
        </w:rPr>
        <w:t>（</w:t>
      </w:r>
      <w:r>
        <w:rPr>
          <w:rFonts w:hint="eastAsia" w:ascii="宋体" w:hAnsi="宋体" w:eastAsia="宋体" w:cs="宋体"/>
          <w:kern w:val="2"/>
          <w:sz w:val="28"/>
          <w:szCs w:val="28"/>
          <w:lang w:val="en-US" w:eastAsia="zh" w:bidi="ar-SA"/>
        </w:rPr>
        <w:t>2</w:t>
      </w:r>
      <w:r>
        <w:rPr>
          <w:rFonts w:ascii="宋体" w:hAnsi="宋体" w:eastAsia="宋体" w:cs="宋体"/>
          <w:kern w:val="2"/>
          <w:sz w:val="28"/>
          <w:szCs w:val="28"/>
          <w:lang w:val="en-US" w:eastAsia="zh-CN" w:bidi="ar-SA"/>
        </w:rPr>
        <w:t>）</w:t>
      </w:r>
      <w:r>
        <w:rPr>
          <w:rFonts w:ascii="宋体" w:hAnsi="宋体" w:eastAsia="宋体" w:cs="宋体"/>
          <w:sz w:val="28"/>
          <w:szCs w:val="28"/>
        </w:rPr>
        <w:t>溶剂空白校正：以去离子水为空白组，扣除饮料溶剂基底的光谱吸收；</w:t>
      </w:r>
    </w:p>
    <w:p w14:paraId="5563E477">
      <w:pPr>
        <w:numPr>
          <w:ilvl w:val="0"/>
          <w:numId w:val="0"/>
        </w:numPr>
        <w:spacing w:line="279" w:lineRule="auto"/>
        <w:ind w:left="0" w:leftChars="0" w:firstLine="560" w:firstLineChars="200"/>
        <w:rPr>
          <w:rFonts w:hint="eastAsia" w:ascii="宋体" w:hAnsi="宋体" w:eastAsia="宋体" w:cs="宋体"/>
          <w:i/>
          <w:iCs/>
          <w:sz w:val="21"/>
          <w:szCs w:val="21"/>
        </w:rPr>
      </w:pPr>
      <w:r>
        <w:rPr>
          <w:rFonts w:ascii="宋体" w:hAnsi="宋体" w:eastAsia="宋体" w:cs="宋体"/>
          <w:sz w:val="28"/>
          <w:szCs w:val="28"/>
        </w:rPr>
        <w:t>（3）温度校正：建立不同温度（10℃、20℃、30℃）下的光谱校正模型，将非标准温度下的光谱数据归一化至 20℃基准。</w:t>
      </w:r>
    </w:p>
    <w:p w14:paraId="4C9ECEF0">
      <w:pPr>
        <w:spacing w:line="279" w:lineRule="auto"/>
        <w:ind w:firstLine="602" w:firstLineChars="200"/>
        <w:outlineLvl w:val="0"/>
        <w:rPr>
          <w:rFonts w:hint="eastAsia" w:hAnsi="黑体" w:eastAsia="黑体" w:cs="黑体"/>
          <w:b/>
          <w:sz w:val="30"/>
          <w:szCs w:val="30"/>
        </w:rPr>
      </w:pPr>
      <w:bookmarkStart w:id="105" w:name="_Toc32762"/>
      <w:r>
        <w:rPr>
          <w:rFonts w:hint="eastAsia" w:ascii="黑体" w:hAnsi="黑体" w:eastAsia="黑体" w:cs="黑体"/>
          <w:b/>
          <w:bCs/>
          <w:sz w:val="30"/>
          <w:szCs w:val="30"/>
        </w:rPr>
        <w:t>5.3 核心算法与数学模型</w:t>
      </w:r>
      <w:bookmarkEnd w:id="105"/>
    </w:p>
    <w:p w14:paraId="72459B3A">
      <w:pPr>
        <w:spacing w:line="279" w:lineRule="auto"/>
        <w:ind w:firstLine="560" w:firstLineChars="200"/>
        <w:rPr>
          <w:rFonts w:hAnsi="Cambria Math" w:eastAsia="宋体" w:cs="宋体"/>
          <w:sz w:val="28"/>
          <w:szCs w:val="28"/>
        </w:rPr>
      </w:pPr>
      <w:r>
        <w:rPr>
          <w:rFonts w:ascii="宋体" w:hAnsi="宋体" w:eastAsia="宋体" w:cs="宋体"/>
          <w:sz w:val="28"/>
          <w:szCs w:val="28"/>
        </w:rPr>
        <w:t xml:space="preserve">原始高光谱数据包含色素特征信息、饮料基质背景吸收、仪器噪声等多重信号，本研究设计“多路径预处理—多算法降维—双模型决策”的算法流水线，实现色素的精准定性与痕量定量 </w:t>
      </w:r>
      <w:r>
        <w:rPr>
          <w:rFonts w:hint="eastAsia" w:hAnsi="Cambria Math" w:eastAsia="宋体" w:cs="宋体"/>
          <w:sz w:val="28"/>
          <w:szCs w:val="28"/>
        </w:rPr>
        <w:t>。</w:t>
      </w:r>
    </w:p>
    <w:p w14:paraId="4E854CE3">
      <w:pPr>
        <w:spacing w:line="279" w:lineRule="auto"/>
        <w:ind w:firstLine="562" w:firstLineChars="200"/>
        <w:outlineLvl w:val="1"/>
        <w:rPr>
          <w:rFonts w:hint="eastAsia" w:ascii="黑体" w:hAnsi="黑体" w:eastAsia="黑体" w:cs="黑体"/>
          <w:b/>
          <w:bCs/>
          <w:sz w:val="28"/>
          <w:szCs w:val="28"/>
        </w:rPr>
      </w:pPr>
      <w:bookmarkStart w:id="106" w:name="_Toc14802"/>
      <w:r>
        <w:rPr>
          <w:rFonts w:hint="eastAsia" w:ascii="黑体" w:hAnsi="黑体" w:eastAsia="黑体" w:cs="黑体"/>
          <w:b/>
          <w:bCs/>
          <w:sz w:val="28"/>
          <w:szCs w:val="28"/>
        </w:rPr>
        <w:t>5.3.1 多维光谱预处理（MSC/DFA）</w:t>
      </w:r>
      <w:bookmarkEnd w:id="106"/>
    </w:p>
    <w:p w14:paraId="58E6C84D">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首先从高光谱图像立方体中提取感兴趣区域（ROI），计算全像素平均光谱作为样本初始光谱指纹；针对液态饮料的基质干扰，设计并行预处理路径：</w:t>
      </w:r>
    </w:p>
    <w:p w14:paraId="286A0A4A">
      <w:pPr>
        <w:spacing w:line="279" w:lineRule="auto"/>
        <w:ind w:firstLine="562" w:firstLineChars="200"/>
        <w:outlineLvl w:val="2"/>
        <w:rPr>
          <w:rFonts w:hint="eastAsia" w:ascii="宋体" w:hAnsi="宋体" w:eastAsia="宋体" w:cs="宋体"/>
          <w:b/>
          <w:bCs/>
          <w:sz w:val="28"/>
          <w:szCs w:val="28"/>
        </w:rPr>
      </w:pPr>
      <w:bookmarkStart w:id="107" w:name="_Toc10422"/>
      <w:r>
        <w:rPr>
          <w:rFonts w:hint="eastAsia" w:ascii="宋体" w:hAnsi="宋体" w:eastAsia="宋体" w:cs="宋体"/>
          <w:b/>
          <w:bCs/>
          <w:sz w:val="28"/>
          <w:szCs w:val="28"/>
        </w:rPr>
        <w:t>（1）路径A：基于MSC</w:t>
      </w:r>
      <w:r>
        <w:rPr>
          <w:rFonts w:hint="eastAsia" w:ascii="宋体" w:hAnsi="宋体" w:eastAsia="宋体" w:cs="宋体"/>
          <w:b/>
          <w:bCs/>
          <w:sz w:val="28"/>
          <w:szCs w:val="28"/>
          <w:lang w:eastAsia="zh"/>
        </w:rPr>
        <w:t>/SNV</w:t>
      </w:r>
      <w:r>
        <w:rPr>
          <w:rFonts w:hint="eastAsia" w:ascii="宋体" w:hAnsi="宋体" w:eastAsia="宋体" w:cs="宋体"/>
          <w:b/>
          <w:bCs/>
          <w:sz w:val="28"/>
          <w:szCs w:val="28"/>
        </w:rPr>
        <w:t>的基线漂移抑制</w:t>
      </w:r>
      <w:bookmarkEnd w:id="107"/>
    </w:p>
    <w:p w14:paraId="1B7AFB52">
      <w:pPr>
        <w:spacing w:line="279" w:lineRule="auto"/>
        <w:ind w:firstLine="560" w:firstLineChars="200"/>
        <w:rPr>
          <w:rFonts w:hint="eastAsia" w:ascii="宋体" w:hAnsi="宋体" w:eastAsia="宋体" w:cs="宋体"/>
          <w:sz w:val="28"/>
          <w:szCs w:val="28"/>
        </w:rPr>
      </w:pPr>
      <w:r>
        <w:rPr>
          <w:rFonts w:ascii="宋体" w:hAnsi="宋体" w:eastAsia="宋体" w:cs="宋体"/>
          <w:sz w:val="28"/>
          <w:szCs w:val="28"/>
        </w:rPr>
        <w:t>液态饮料的糖分、蛋白质等成分易引发光散射效应，多元散射校正（MSC）通过构建理想参考系消除该干扰，核心步骤：</w:t>
      </w:r>
    </w:p>
    <w:p w14:paraId="00803AD5">
      <w:pPr>
        <w:widowControl/>
        <w:ind w:firstLine="560" w:firstLineChars="200"/>
        <w:rPr>
          <w:rFonts w:hint="eastAsia" w:ascii="宋体" w:hAnsi="宋体" w:eastAsia="宋体" w:cs="宋体"/>
          <w:sz w:val="28"/>
          <w:szCs w:val="28"/>
        </w:rPr>
      </w:pPr>
      <w:r>
        <w:rPr>
          <w:rFonts w:hint="eastAsia" w:ascii="宋体" w:hAnsi="宋体" w:eastAsia="宋体" w:cs="宋体"/>
          <w:sz w:val="28"/>
          <w:szCs w:val="28"/>
        </w:rPr>
        <w:t>①理想参考系构建：计算校正集的平均光谱 ；</w:t>
      </w:r>
    </w:p>
    <w:p w14:paraId="470DF30A">
      <w:pPr>
        <w:widowControl/>
        <w:ind w:firstLine="560" w:firstLineChars="200"/>
        <w:rPr>
          <w:rFonts w:hint="eastAsia" w:ascii="宋体" w:hAnsi="宋体" w:eastAsia="宋体" w:cs="宋体"/>
          <w:sz w:val="28"/>
          <w:szCs w:val="28"/>
        </w:rPr>
      </w:pPr>
      <w:r>
        <w:rPr>
          <w:rFonts w:hint="eastAsia" w:ascii="宋体" w:hAnsi="宋体" w:eastAsia="宋体" w:cs="宋体"/>
          <w:sz w:val="28"/>
          <w:szCs w:val="28"/>
        </w:rPr>
        <w:t>②线性拟合</w:t>
      </w:r>
      <w:r>
        <w:rPr>
          <w:rFonts w:hint="eastAsia" w:ascii="宋体" w:hAnsi="宋体" w:eastAsia="宋体" w:cs="宋体"/>
          <w:sz w:val="28"/>
          <w:szCs w:val="28"/>
          <w:lang w:eastAsia="zh"/>
        </w:rPr>
        <w:t>单样本光谱与平均光谱</w:t>
      </w:r>
      <w:r>
        <w:rPr>
          <w:rFonts w:hint="eastAsia" w:ascii="宋体" w:hAnsi="宋体" w:eastAsia="宋体" w:cs="宋体"/>
          <w:sz w:val="28"/>
          <w:szCs w:val="28"/>
        </w:rPr>
        <w:t>： ；</w:t>
      </w:r>
    </w:p>
    <w:p w14:paraId="57F9B693">
      <w:pPr>
        <w:pStyle w:val="6"/>
        <w:widowControl/>
        <w:spacing w:beforeAutospacing="0" w:line="12" w:lineRule="atLeast"/>
        <w:ind w:firstLine="560" w:firstLineChars="200"/>
        <w:rPr>
          <w:rFonts w:hint="eastAsia" w:ascii="宋体" w:hAnsi="宋体" w:eastAsia="宋体" w:cs="宋体"/>
          <w:kern w:val="2"/>
          <w:sz w:val="28"/>
          <w:szCs w:val="28"/>
        </w:rPr>
      </w:pPr>
      <w:r>
        <w:rPr>
          <w:rFonts w:hint="eastAsia" w:ascii="宋体" w:hAnsi="宋体" w:eastAsia="宋体" w:cs="宋体"/>
          <w:kern w:val="2"/>
          <w:sz w:val="28"/>
          <w:szCs w:val="28"/>
        </w:rPr>
        <w:t>③光谱重构：</w:t>
      </w:r>
    </w:p>
    <w:p w14:paraId="50E8259B">
      <w:pPr>
        <w:widowControl/>
        <w:spacing w:after="100" w:afterAutospacing="1" w:line="12" w:lineRule="atLeast"/>
        <w:ind w:firstLine="560" w:firstLineChars="200"/>
        <w:rPr>
          <w:rFonts w:hint="eastAsia" w:ascii="宋体" w:hAnsi="宋体" w:eastAsia="宋体" w:cs="宋体"/>
          <w:sz w:val="28"/>
          <w:szCs w:val="28"/>
        </w:rPr>
      </w:pPr>
    </w:p>
    <w:p w14:paraId="6302569F">
      <w:pPr>
        <w:widowControl/>
        <w:spacing w:after="100" w:afterAutospacing="1" w:line="12" w:lineRule="atLeast"/>
        <w:ind w:firstLine="562" w:firstLineChars="200"/>
        <w:outlineLvl w:val="2"/>
        <w:rPr>
          <w:rFonts w:hint="eastAsia" w:ascii="宋体" w:hAnsi="宋体" w:eastAsia="宋体" w:cs="宋体"/>
          <w:b/>
          <w:bCs/>
          <w:sz w:val="28"/>
          <w:szCs w:val="28"/>
        </w:rPr>
      </w:pPr>
      <w:bookmarkStart w:id="108" w:name="_Toc19665"/>
      <w:r>
        <w:rPr>
          <w:rFonts w:hint="eastAsia" w:ascii="宋体" w:hAnsi="宋体" w:eastAsia="宋体" w:cs="宋体"/>
          <w:b/>
          <w:bCs/>
          <w:sz w:val="28"/>
          <w:szCs w:val="28"/>
        </w:rPr>
        <w:t>（2）路径 B：</w:t>
      </w:r>
      <w:bookmarkEnd w:id="108"/>
      <w:r>
        <w:rPr>
          <w:rFonts w:ascii="宋体" w:hAnsi="宋体" w:eastAsia="宋体" w:cs="宋体"/>
          <w:sz w:val="28"/>
          <w:szCs w:val="28"/>
        </w:rPr>
        <w:t>SG 平滑+去趋势校正剥离噪声</w:t>
      </w:r>
    </w:p>
    <w:p w14:paraId="44A34341">
      <w:pPr>
        <w:widowControl/>
        <w:spacing w:after="100" w:afterAutospacing="1" w:line="12" w:lineRule="atLeast"/>
        <w:ind w:firstLine="560" w:firstLineChars="200"/>
        <w:rPr>
          <w:rFonts w:hint="eastAsia" w:ascii="宋体" w:hAnsi="宋体" w:eastAsia="宋体" w:cs="宋体"/>
          <w:sz w:val="28"/>
          <w:szCs w:val="28"/>
        </w:rPr>
      </w:pPr>
      <w:r>
        <w:rPr>
          <w:rFonts w:hint="eastAsia" w:ascii="宋体" w:hAnsi="宋体" w:eastAsia="宋体" w:cs="宋体"/>
          <w:sz w:val="28"/>
          <w:szCs w:val="28"/>
        </w:rPr>
        <w:t>针对复杂基质的生化背景强吸收干扰，引入去趋势波动分析(Detrended Fluctuation Analysis, DFA)。DFA通过计算不同时间尺度下的波动函数F(s)来消除局部趋势项，其核心在于拟合波动函数与尺度的幂律关系：</w:t>
      </w:r>
    </w:p>
    <w:p w14:paraId="542618AF">
      <w:pPr>
        <w:widowControl/>
        <w:spacing w:after="100" w:afterAutospacing="1" w:line="12" w:lineRule="atLeast"/>
        <w:ind w:firstLine="560" w:firstLineChars="200"/>
        <w:rPr>
          <w:rFonts w:hint="eastAsia" w:ascii="宋体" w:hAnsi="宋体" w:eastAsia="宋体" w:cs="宋体"/>
          <w:sz w:val="28"/>
          <w:szCs w:val="28"/>
        </w:rPr>
      </w:pPr>
    </w:p>
    <w:p w14:paraId="25E4FDF3">
      <w:pPr>
        <w:widowControl/>
        <w:spacing w:after="100" w:afterAutospacing="1" w:line="12" w:lineRule="atLeast"/>
        <w:ind w:firstLine="560" w:firstLineChars="200"/>
        <w:rPr>
          <w:rFonts w:hint="eastAsia" w:ascii="宋体" w:hAnsi="宋体" w:eastAsia="宋体" w:cs="宋体"/>
          <w:sz w:val="28"/>
          <w:szCs w:val="28"/>
        </w:rPr>
      </w:pPr>
      <w:r>
        <w:rPr>
          <w:rFonts w:hint="eastAsia" w:ascii="宋体" w:hAnsi="宋体" w:eastAsia="宋体" w:cs="宋体"/>
          <w:sz w:val="28"/>
          <w:szCs w:val="28"/>
        </w:rPr>
        <w:t>其中，标度指数  决定了序列的动力学特征。当时表明光谱序列存在长程相关性，系统据此对偏离本征信号的背景波段进行剥离。实验量化数据表明，经DFA处理后，系统在600-800nm易受背景干扰波段的变异系数(CV)大幅降低了约4</w:t>
      </w:r>
      <w:r>
        <w:rPr>
          <w:rFonts w:hint="eastAsia" w:ascii="宋体" w:hAnsi="宋体" w:eastAsia="宋体" w:cs="宋体"/>
          <w:sz w:val="28"/>
          <w:szCs w:val="28"/>
          <w:lang w:eastAsia="zh"/>
        </w:rPr>
        <w:t>5</w:t>
      </w:r>
      <w:r>
        <w:rPr>
          <w:rFonts w:hint="eastAsia" w:ascii="宋体" w:hAnsi="宋体" w:eastAsia="宋体" w:cs="宋体"/>
          <w:sz w:val="28"/>
          <w:szCs w:val="28"/>
        </w:rPr>
        <w:t>%，极大提升了微弱特征信号的信噪比。</w:t>
      </w:r>
    </w:p>
    <w:p w14:paraId="0EBE687C">
      <w:pPr>
        <w:spacing w:line="279" w:lineRule="auto"/>
        <w:ind w:firstLine="602" w:firstLineChars="200"/>
        <w:outlineLvl w:val="1"/>
        <w:rPr>
          <w:rFonts w:hint="eastAsia" w:ascii="黑体" w:hAnsi="黑体" w:eastAsia="黑体" w:cs="黑体"/>
          <w:b/>
          <w:sz w:val="30"/>
          <w:szCs w:val="30"/>
        </w:rPr>
      </w:pPr>
      <w:bookmarkStart w:id="109" w:name="_Toc3743"/>
      <w:r>
        <w:rPr>
          <w:rFonts w:hint="eastAsia" w:ascii="黑体" w:hAnsi="黑体" w:eastAsia="黑体" w:cs="黑体"/>
          <w:b/>
          <w:sz w:val="30"/>
          <w:szCs w:val="30"/>
        </w:rPr>
        <w:t>5.3.2 稀疏化特征降维（PCA/Lasso）</w:t>
      </w:r>
      <w:bookmarkEnd w:id="109"/>
    </w:p>
    <w:p w14:paraId="4718E1D9">
      <w:pPr>
        <w:spacing w:line="279" w:lineRule="auto"/>
        <w:ind w:firstLine="560" w:firstLineChars="200"/>
        <w:rPr>
          <w:rFonts w:hint="eastAsia" w:hAnsi="宋体" w:eastAsia="宋体" w:cs="宋体"/>
          <w:sz w:val="28"/>
          <w:szCs w:val="28"/>
        </w:rPr>
      </w:pPr>
      <w:r>
        <w:rPr>
          <w:rFonts w:hint="eastAsia" w:hAnsi="宋体" w:eastAsia="宋体" w:cs="宋体"/>
          <w:sz w:val="28"/>
          <w:szCs w:val="28"/>
        </w:rPr>
        <w:t>高光谱设备采集的 480 个波段（391−1001 nm）中存在大量共线性冗余信息，直接输入模型会导致严重的“维数灾难”与过拟合。本系统采用无监督与有监督结合的降维策略：</w:t>
      </w:r>
    </w:p>
    <w:p w14:paraId="1EEB5D64">
      <w:pPr>
        <w:spacing w:line="279" w:lineRule="auto"/>
        <w:ind w:firstLine="440" w:firstLineChars="200"/>
        <w:rPr>
          <w:rFonts w:hint="eastAsia"/>
        </w:rPr>
      </w:pPr>
    </w:p>
    <w:p w14:paraId="733CD9F3">
      <w:pPr>
        <w:spacing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图5-3 级联信号纯化与Lasso黄金特征强锁定空间全景图</w:t>
      </w:r>
    </w:p>
    <w:p w14:paraId="14A33367">
      <w:pPr>
        <w:spacing w:line="279" w:lineRule="auto"/>
        <w:ind w:firstLine="562" w:firstLineChars="200"/>
        <w:outlineLvl w:val="2"/>
        <w:rPr>
          <w:rFonts w:hint="eastAsia" w:ascii="宋体" w:hAnsi="宋体" w:eastAsia="宋体" w:cs="宋体"/>
          <w:b/>
          <w:sz w:val="28"/>
          <w:szCs w:val="28"/>
        </w:rPr>
      </w:pPr>
      <w:bookmarkStart w:id="110" w:name="_Toc32133"/>
      <w:r>
        <w:rPr>
          <w:rFonts w:hint="eastAsia" w:ascii="宋体" w:hAnsi="宋体" w:eastAsia="宋体" w:cs="宋体"/>
          <w:b/>
          <w:sz w:val="28"/>
          <w:szCs w:val="28"/>
        </w:rPr>
        <w:t>（1）PCA 主成分空间映射 (无监督)</w:t>
      </w:r>
      <w:bookmarkEnd w:id="110"/>
    </w:p>
    <w:p w14:paraId="17A61A87">
      <w:pPr>
        <w:spacing w:line="279" w:lineRule="auto"/>
        <w:ind w:firstLine="560" w:firstLineChars="200"/>
        <w:rPr>
          <w:rFonts w:hint="eastAsia" w:hAnsi="宋体" w:eastAsia="宋体" w:cs="宋体"/>
          <w:sz w:val="28"/>
          <w:szCs w:val="28"/>
        </w:rPr>
      </w:pPr>
      <w:r>
        <w:rPr>
          <w:rFonts w:hint="eastAsia" w:hAnsi="宋体" w:eastAsia="宋体" w:cs="宋体"/>
          <w:sz w:val="28"/>
          <w:szCs w:val="28"/>
        </w:rPr>
        <w:t>主成分分析 (PCA) 通过正交变换将原始高维光谱矩阵映射至低维子空间，其核心是求解数据协方差矩阵的特征值分解：</w:t>
      </w:r>
    </w:p>
    <w:p w14:paraId="1E759320">
      <w:pPr>
        <w:widowControl/>
        <w:spacing w:line="12" w:lineRule="atLeast"/>
        <w:rPr>
          <w:rFonts w:hint="eastAsia" w:ascii="宋体" w:hAnsi="宋体" w:eastAsia="宋体" w:cs="宋体"/>
          <w:sz w:val="28"/>
          <w:szCs w:val="28"/>
        </w:rPr>
      </w:pPr>
    </w:p>
    <w:p w14:paraId="3B085D1E">
      <w:pPr>
        <w:widowControl/>
        <w:spacing w:line="12" w:lineRule="atLeast"/>
        <w:ind w:firstLine="560" w:firstLineChars="200"/>
        <w:rPr>
          <w:rFonts w:hint="eastAsia" w:ascii="宋体" w:hAnsi="宋体" w:eastAsia="宋体" w:cs="宋体"/>
          <w:sz w:val="28"/>
          <w:szCs w:val="28"/>
        </w:rPr>
      </w:pPr>
    </w:p>
    <w:p w14:paraId="3914574A">
      <w:pPr>
        <w:spacing w:line="279" w:lineRule="auto"/>
        <w:ind w:firstLine="560" w:firstLineChars="200"/>
        <w:rPr>
          <w:rFonts w:hint="eastAsia" w:ascii="宋体" w:hAnsi="宋体" w:eastAsia="宋体" w:cs="宋体"/>
          <w:bCs/>
          <w:sz w:val="28"/>
          <w:szCs w:val="28"/>
        </w:rPr>
      </w:pPr>
      <w:bookmarkStart w:id="111" w:name="_Toc6098"/>
      <w:r>
        <w:rPr>
          <w:rFonts w:hint="eastAsia" w:ascii="宋体" w:hAnsi="宋体" w:eastAsia="宋体" w:cs="宋体"/>
          <w:bCs/>
          <w:sz w:val="28"/>
          <w:szCs w:val="28"/>
        </w:rPr>
        <w:t>研究提取了累计方差贡献率 &gt;95%的前k个主成分。投影空间分析揭示：尽管PC1解释了绝大部分方差，但在区分柠檬黄与日落黄时存在重叠（二者均含偶氮基团共轭结构），系统通过引入PC2的正交维度，成功实现了两者的空间解耦。</w:t>
      </w:r>
    </w:p>
    <w:p w14:paraId="1C973A0C">
      <w:pPr>
        <w:spacing w:line="279" w:lineRule="auto"/>
        <w:ind w:left="880" w:leftChars="400"/>
        <w:outlineLvl w:val="2"/>
        <w:rPr>
          <w:rFonts w:hint="eastAsia" w:ascii="宋体" w:hAnsi="宋体" w:eastAsia="宋体" w:cs="宋体"/>
          <w:b/>
          <w:sz w:val="30"/>
          <w:szCs w:val="30"/>
        </w:rPr>
      </w:pPr>
      <w:r>
        <w:rPr>
          <w:rFonts w:hint="eastAsia" w:ascii="宋体" w:hAnsi="宋体" w:eastAsia="宋体" w:cs="宋体"/>
          <w:b/>
          <w:sz w:val="30"/>
          <w:szCs w:val="30"/>
        </w:rPr>
        <w:t>（2）Lasso 稀疏特征筛选 (有监督)</w:t>
      </w:r>
      <w:bookmarkEnd w:id="111"/>
    </w:p>
    <w:p w14:paraId="3701F53C">
      <w:pPr>
        <w:spacing w:line="279" w:lineRule="auto"/>
        <w:ind w:firstLine="560" w:firstLineChars="200"/>
        <w:rPr>
          <w:rFonts w:hint="eastAsia" w:hAnsi="宋体" w:eastAsia="宋体" w:cs="宋体"/>
          <w:sz w:val="28"/>
          <w:szCs w:val="28"/>
        </w:rPr>
      </w:pPr>
      <w:r>
        <w:rPr>
          <w:rFonts w:hint="eastAsia" w:hAnsi="宋体" w:eastAsia="宋体" w:cs="宋体"/>
          <w:sz w:val="28"/>
          <w:szCs w:val="28"/>
        </w:rPr>
        <w:t>为了给后续的硬件微型化与多光谱传感器定制提供理论依据，本研究摒弃了传统的逐步回归，采用 Lasso (Least Absolute Shrinkage and Selection Operator) 算法。Lasso 在标准最小二乘损失函数中引入了 L1 范数惩罚项，其最优化目标函数为：</w:t>
      </w:r>
    </w:p>
    <w:p w14:paraId="0B185C39">
      <w:pPr>
        <w:widowControl/>
        <w:spacing w:line="12" w:lineRule="atLeast"/>
        <w:ind w:firstLine="560" w:firstLineChars="200"/>
        <w:rPr>
          <w:rFonts w:hint="eastAsia" w:ascii="宋体" w:hAnsi="宋体" w:eastAsia="宋体" w:cs="宋体"/>
          <w:sz w:val="28"/>
          <w:szCs w:val="28"/>
        </w:rPr>
      </w:pPr>
    </w:p>
    <w:p w14:paraId="377D9D33">
      <w:pPr>
        <w:widowControl/>
        <w:spacing w:line="12" w:lineRule="atLeast"/>
        <w:ind w:firstLine="560" w:firstLineChars="200"/>
        <w:rPr>
          <w:rFonts w:hint="eastAsia" w:hAnsi="宋体" w:eastAsia="宋体" w:cs="宋体"/>
          <w:sz w:val="28"/>
          <w:szCs w:val="28"/>
        </w:rPr>
      </w:pPr>
      <w:r>
        <w:rPr>
          <w:rFonts w:ascii="宋体" w:hAnsi="宋体" w:eastAsia="宋体" w:cs="宋体"/>
          <w:sz w:val="28"/>
          <w:szCs w:val="28"/>
        </w:rPr>
        <w:t>通过调优正则化参数</w:t>
      </w:r>
      <w:r>
        <w:rPr>
          <w:rFonts w:ascii="宋体" w:hAnsi="宋体" w:eastAsia="宋体" w:cs="宋体"/>
          <w:color w:val="000000"/>
          <w:sz w:val="28"/>
          <w:szCs w:val="28"/>
        </w:rPr>
        <w:t>λ</w:t>
      </w:r>
      <w:r>
        <w:rPr>
          <w:rFonts w:ascii="宋体" w:hAnsi="宋体" w:eastAsia="宋体" w:cs="宋体"/>
          <w:sz w:val="28"/>
          <w:szCs w:val="28"/>
        </w:rPr>
        <w:t>，将 300 个原始波段压缩至 15~25 个核心特征波段，覆盖 5 种色素的特征吸收峰（柠檬黄 420~440 nm、日落黄 480~500 nm、胭脂红 500~520 nm、苋菜红 520~540 nm、亮蓝 620~640 nm）</w:t>
      </w:r>
      <w:r>
        <w:rPr>
          <w:rFonts w:hint="eastAsia" w:hAnsi="宋体" w:eastAsia="宋体" w:cs="宋体"/>
          <w:sz w:val="28"/>
          <w:szCs w:val="28"/>
        </w:rPr>
        <w:t>。</w:t>
      </w:r>
    </w:p>
    <w:p w14:paraId="53275760">
      <w:pPr>
        <w:spacing w:line="279" w:lineRule="auto"/>
        <w:ind w:firstLine="602" w:firstLineChars="200"/>
        <w:outlineLvl w:val="1"/>
        <w:rPr>
          <w:rFonts w:hint="eastAsia" w:hAnsi="黑体" w:eastAsia="黑体" w:cs="黑体"/>
          <w:b/>
          <w:sz w:val="30"/>
          <w:szCs w:val="30"/>
        </w:rPr>
      </w:pPr>
      <w:bookmarkStart w:id="112" w:name="_Toc18462"/>
      <w:r>
        <w:rPr>
          <w:rFonts w:hint="eastAsia" w:ascii="黑体" w:hAnsi="黑体" w:eastAsia="黑体" w:cs="黑体"/>
          <w:b/>
          <w:sz w:val="30"/>
          <w:szCs w:val="30"/>
        </w:rPr>
        <w:t>5.3.3 智能识别与回归建模</w:t>
      </w:r>
      <w:bookmarkEnd w:id="112"/>
    </w:p>
    <w:p w14:paraId="09EEE9BA">
      <w:pPr>
        <w:spacing w:line="279" w:lineRule="auto"/>
        <w:ind w:left="0" w:leftChars="0" w:firstLine="560" w:firstLineChars="200"/>
        <w:rPr>
          <w:rFonts w:hint="eastAsia" w:ascii="宋体" w:hAnsi="宋体" w:eastAsia="宋体" w:cs="宋体"/>
          <w:sz w:val="28"/>
          <w:szCs w:val="28"/>
        </w:rPr>
      </w:pPr>
      <w:r>
        <w:rPr>
          <w:rFonts w:ascii="宋体" w:hAnsi="宋体" w:eastAsia="宋体" w:cs="宋体"/>
          <w:sz w:val="28"/>
          <w:szCs w:val="28"/>
        </w:rPr>
        <w:t>基于优化后的特征子集，在 Python 3.x 环境（结合 scikit-learn、PyTorch 库）构建智能决策模型，评估指标贴合食品检测行业标准：</w:t>
      </w:r>
      <w:r>
        <w:rPr>
          <w:rFonts w:ascii="宋体" w:hAnsi="宋体" w:eastAsia="宋体" w:cs="宋体"/>
          <w:sz w:val="24"/>
          <w:szCs w:val="24"/>
        </w:rPr>
        <w:t xml:space="preserve"> </w:t>
      </w:r>
    </w:p>
    <w:p w14:paraId="260FCAA1">
      <w:pPr>
        <w:spacing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图5-4 痕量定量预测效果散点拟合图</w:t>
      </w:r>
    </w:p>
    <w:p w14:paraId="70C40DF8">
      <w:pPr>
        <w:spacing w:line="279" w:lineRule="auto"/>
        <w:ind w:firstLine="562" w:firstLineChars="200"/>
        <w:outlineLvl w:val="2"/>
        <w:rPr>
          <w:rFonts w:hint="eastAsia" w:ascii="宋体" w:hAnsi="宋体" w:eastAsia="宋体" w:cs="宋体"/>
          <w:b/>
          <w:sz w:val="28"/>
          <w:szCs w:val="28"/>
        </w:rPr>
      </w:pPr>
      <w:bookmarkStart w:id="113" w:name="_Toc23827"/>
      <w:r>
        <w:rPr>
          <w:rFonts w:hint="eastAsia" w:ascii="宋体" w:hAnsi="宋体" w:eastAsia="宋体" w:cs="宋体"/>
          <w:b/>
          <w:sz w:val="28"/>
          <w:szCs w:val="28"/>
        </w:rPr>
        <w:t>（1）定性判别模型分析</w:t>
      </w:r>
      <w:bookmarkEnd w:id="113"/>
    </w:p>
    <w:p w14:paraId="703F708B">
      <w:pPr>
        <w:widowControl/>
        <w:spacing w:line="12" w:lineRule="atLeast"/>
        <w:ind w:firstLine="560" w:firstLineChars="200"/>
        <w:rPr>
          <w:rFonts w:hint="eastAsia" w:ascii="宋体" w:hAnsi="宋体" w:eastAsia="宋体" w:cs="宋体"/>
          <w:sz w:val="28"/>
          <w:szCs w:val="28"/>
        </w:rPr>
      </w:pPr>
      <w:r>
        <w:rPr>
          <w:rFonts w:hint="eastAsia" w:ascii="宋体" w:hAnsi="宋体" w:eastAsia="宋体" w:cs="宋体"/>
          <w:sz w:val="28"/>
          <w:szCs w:val="28"/>
        </w:rPr>
        <w:t>针对“纯茶、柠檬黄茶、胭脂红茶、日落黄茶”四分类任务，系统对比了三种主流分类器的泛化性能（见表 5−3）。</w:t>
      </w:r>
    </w:p>
    <w:p w14:paraId="74391F18">
      <w:pPr>
        <w:widowControl/>
        <w:spacing w:line="12" w:lineRule="atLeast"/>
        <w:ind w:firstLine="422" w:firstLineChars="200"/>
        <w:jc w:val="center"/>
        <w:rPr>
          <w:rFonts w:hint="eastAsia" w:ascii="黑体" w:hAnsi="黑体" w:eastAsia="黑体" w:cs="黑体"/>
          <w:b/>
          <w:bCs/>
          <w:sz w:val="21"/>
          <w:szCs w:val="21"/>
        </w:rPr>
      </w:pPr>
      <w:r>
        <w:rPr>
          <w:rFonts w:hint="eastAsia" w:hAnsi="黑体" w:eastAsia="黑体" w:cs="黑体"/>
          <w:b/>
          <w:bCs/>
          <w:sz w:val="21"/>
          <w:szCs w:val="21"/>
        </w:rPr>
        <w:t>3</w:t>
      </w:r>
    </w:p>
    <w:p w14:paraId="5DD05499">
      <w:pPr>
        <w:widowControl/>
        <w:spacing w:line="12" w:lineRule="atLeast"/>
        <w:ind w:firstLine="560" w:firstLineChars="200"/>
        <w:rPr>
          <w:rFonts w:hint="eastAsia" w:hAnsi="宋体" w:eastAsia="宋体" w:cs="宋体"/>
          <w:sz w:val="28"/>
          <w:szCs w:val="28"/>
        </w:rPr>
      </w:pPr>
    </w:p>
    <w:p w14:paraId="0BB1A41E">
      <w:pPr>
        <w:spacing w:line="279" w:lineRule="auto"/>
        <w:ind w:firstLine="562" w:firstLineChars="200"/>
        <w:outlineLvl w:val="2"/>
        <w:rPr>
          <w:rFonts w:hint="eastAsia" w:ascii="宋体" w:hAnsi="宋体" w:eastAsia="宋体" w:cs="宋体"/>
          <w:b/>
          <w:sz w:val="28"/>
          <w:szCs w:val="28"/>
        </w:rPr>
      </w:pPr>
      <w:bookmarkStart w:id="114" w:name="_Toc601"/>
      <w:r>
        <w:rPr>
          <w:rFonts w:hint="eastAsia" w:ascii="宋体" w:hAnsi="宋体" w:eastAsia="宋体" w:cs="宋体"/>
          <w:b/>
          <w:sz w:val="28"/>
          <w:szCs w:val="28"/>
        </w:rPr>
        <w:t>（2）痕量定量回归模型</w:t>
      </w:r>
      <w:bookmarkEnd w:id="114"/>
    </w:p>
    <w:p w14:paraId="3C3A9CA4">
      <w:pPr>
        <w:widowControl/>
        <w:spacing w:line="12" w:lineRule="atLeast"/>
        <w:ind w:firstLine="560" w:firstLineChars="200"/>
        <w:rPr>
          <w:rFonts w:hint="eastAsia" w:hAnsi="宋体" w:eastAsia="宋体" w:cs="宋体"/>
          <w:sz w:val="28"/>
          <w:szCs w:val="28"/>
        </w:rPr>
      </w:pPr>
      <w:r>
        <w:rPr>
          <w:rFonts w:hint="eastAsia" w:hAnsi="宋体" w:eastAsia="宋体" w:cs="宋体"/>
          <w:sz w:val="28"/>
          <w:szCs w:val="28"/>
        </w:rPr>
        <w:t>针对色素添加比例的精确测算，系统独创了 DFA−Lasso−LM 级联回归策略。其中，Levenberg−Marquardt(LM)算法在梯度下降与高斯−牛顿法之间动态自适应寻优，建立了特征波长群与真实浓度间的高次非线性映射。</w:t>
      </w:r>
    </w:p>
    <w:p w14:paraId="221D7236">
      <w:pPr>
        <w:widowControl/>
        <w:spacing w:line="12" w:lineRule="atLeast"/>
        <w:ind w:firstLine="560" w:firstLineChars="200"/>
        <w:rPr>
          <w:rFonts w:hint="eastAsia" w:hAnsi="宋体" w:eastAsia="宋体" w:cs="宋体"/>
          <w:sz w:val="28"/>
          <w:szCs w:val="28"/>
        </w:rPr>
      </w:pPr>
      <w:r>
        <w:rPr>
          <w:rFonts w:hint="eastAsia" w:hAnsi="宋体" w:eastAsia="宋体" w:cs="宋体"/>
          <w:sz w:val="28"/>
          <w:szCs w:val="28"/>
        </w:rPr>
        <w:t>模型预测精度采用决定系数(Rp2)与预测均方根误差(RMSEP)进行量化评估：</w:t>
      </w:r>
    </w:p>
    <w:p w14:paraId="6093F89B">
      <w:pPr>
        <w:widowControl/>
        <w:spacing w:line="12" w:lineRule="atLeast"/>
        <w:ind w:firstLine="560" w:firstLineChars="200"/>
        <w:rPr>
          <w:rFonts w:hAnsi="Cambria Math" w:eastAsia="宋体" w:cs="宋体"/>
          <w:sz w:val="28"/>
          <w:szCs w:val="28"/>
        </w:rPr>
      </w:pPr>
    </w:p>
    <w:p w14:paraId="6215774D">
      <w:pPr>
        <w:widowControl/>
        <w:spacing w:line="12" w:lineRule="atLeast"/>
        <w:ind w:firstLine="560" w:firstLineChars="200"/>
        <w:rPr>
          <w:rFonts w:hAnsi="Cambria Math" w:eastAsia="宋体" w:cs="宋体"/>
          <w:sz w:val="28"/>
          <w:szCs w:val="28"/>
        </w:rPr>
      </w:pPr>
    </w:p>
    <w:p w14:paraId="0C6818CE">
      <w:pPr>
        <w:widowControl/>
        <w:spacing w:line="12" w:lineRule="atLeast"/>
        <w:ind w:firstLine="560" w:firstLineChars="200"/>
        <w:rPr>
          <w:rFonts w:hint="eastAsia" w:ascii="宋体" w:hAnsi="宋体" w:eastAsia="宋体" w:cs="宋体"/>
          <w:sz w:val="28"/>
          <w:szCs w:val="28"/>
        </w:rPr>
      </w:pPr>
      <w:r>
        <w:rPr>
          <w:rFonts w:hint="eastAsia" w:ascii="宋体" w:hAnsi="宋体" w:eastAsia="宋体" w:cs="宋体"/>
          <w:sz w:val="28"/>
          <w:szCs w:val="28"/>
        </w:rPr>
        <w:t>盲测结果显示：</w:t>
      </w:r>
    </w:p>
    <w:p w14:paraId="5A7648B8">
      <w:pPr>
        <w:widowControl/>
        <w:spacing w:line="12" w:lineRule="atLeast"/>
        <w:ind w:firstLine="560" w:firstLineChars="200"/>
        <w:rPr>
          <w:rFonts w:hint="eastAsia" w:ascii="宋体" w:hAnsi="宋体" w:eastAsia="宋体" w:cs="宋体"/>
          <w:sz w:val="28"/>
          <w:szCs w:val="28"/>
        </w:rPr>
      </w:pPr>
      <w:r>
        <w:rPr>
          <w:rFonts w:hint="eastAsia" w:ascii="宋体" w:hAnsi="宋体" w:eastAsia="宋体" w:cs="宋体"/>
          <w:sz w:val="28"/>
          <w:szCs w:val="28"/>
        </w:rPr>
        <w:t>预测相关系数(Rp)：&gt;0.95</w:t>
      </w:r>
    </w:p>
    <w:p w14:paraId="4E1349E8">
      <w:pPr>
        <w:widowControl/>
        <w:spacing w:line="12" w:lineRule="atLeast"/>
        <w:ind w:firstLine="560" w:firstLineChars="200"/>
        <w:rPr>
          <w:rFonts w:hint="eastAsia" w:ascii="宋体" w:hAnsi="宋体" w:eastAsia="宋体" w:cs="宋体"/>
          <w:sz w:val="28"/>
          <w:szCs w:val="28"/>
        </w:rPr>
      </w:pPr>
      <w:r>
        <w:rPr>
          <w:rFonts w:hint="eastAsia" w:ascii="宋体" w:hAnsi="宋体" w:eastAsia="宋体" w:cs="宋体"/>
          <w:sz w:val="28"/>
          <w:szCs w:val="28"/>
        </w:rPr>
        <w:t>预测均方根误差 (RMSEP)：&lt;0.025</w:t>
      </w:r>
    </w:p>
    <w:p w14:paraId="16032D5D">
      <w:pPr>
        <w:widowControl/>
        <w:spacing w:line="12" w:lineRule="atLeast"/>
        <w:ind w:firstLine="560" w:firstLineChars="200"/>
        <w:rPr>
          <w:rFonts w:hint="eastAsia" w:hAnsi="宋体" w:eastAsia="宋体" w:cs="宋体"/>
          <w:sz w:val="28"/>
          <w:szCs w:val="28"/>
        </w:rPr>
      </w:pPr>
      <w:r>
        <w:rPr>
          <w:rFonts w:hint="eastAsia" w:hAnsi="宋体" w:eastAsia="宋体" w:cs="宋体"/>
          <w:sz w:val="28"/>
          <w:szCs w:val="28"/>
        </w:rPr>
        <w:t>该数据力证：系统不仅能定性“有没有”，更能定量“有多少”，且在极限低浓度（0.1%）边界下，回归曲线依然保持了优异的线性拟合度，完全满足替代传统理化初筛的技术要求。</w:t>
      </w:r>
    </w:p>
    <w:p w14:paraId="656F66A4">
      <w:pPr>
        <w:widowControl/>
        <w:spacing w:line="12" w:lineRule="atLeast"/>
        <w:ind w:firstLine="602" w:firstLineChars="200"/>
        <w:outlineLvl w:val="0"/>
        <w:rPr>
          <w:rFonts w:hint="eastAsia" w:ascii="黑体" w:hAnsi="黑体" w:eastAsia="黑体" w:cs="黑体"/>
          <w:b/>
          <w:sz w:val="30"/>
          <w:szCs w:val="30"/>
        </w:rPr>
      </w:pPr>
      <w:bookmarkStart w:id="115" w:name="_Toc17951"/>
      <w:r>
        <w:rPr>
          <w:rFonts w:hint="eastAsia" w:ascii="黑体" w:hAnsi="黑体" w:eastAsia="黑体" w:cs="黑体"/>
          <w:b/>
          <w:sz w:val="30"/>
          <w:szCs w:val="30"/>
        </w:rPr>
        <w:t>5.4 光谱机理与特征指纹</w:t>
      </w:r>
      <w:bookmarkEnd w:id="115"/>
    </w:p>
    <w:p w14:paraId="10171FD8">
      <w:pPr>
        <w:widowControl/>
        <w:spacing w:line="12" w:lineRule="atLeast"/>
        <w:ind w:firstLine="560" w:firstLineChars="200"/>
        <w:rPr>
          <w:rFonts w:hint="eastAsia" w:hAnsi="宋体" w:eastAsia="宋体" w:cs="宋体"/>
          <w:sz w:val="28"/>
          <w:szCs w:val="28"/>
        </w:rPr>
      </w:pPr>
      <w:r>
        <w:rPr>
          <w:rFonts w:hint="eastAsia" w:hAnsi="宋体" w:eastAsia="宋体" w:cs="宋体"/>
          <w:sz w:val="28"/>
          <w:szCs w:val="28"/>
        </w:rPr>
        <w:t>深度学习与高光谱技术的结合往往面临“黑盒效应”的质疑。为验证数据驱动下特征提取的科学性与化学可靠性，本研究跨学科引入有机化学分子轨道理论，对Lasso算法筛选出的核心波段群进行了微观尺度的归属标定，构建了具有明确物理意义的目标色素特异性光谱指纹库。</w:t>
      </w:r>
    </w:p>
    <w:p w14:paraId="5E4288E5">
      <w:pPr>
        <w:widowControl/>
        <w:spacing w:line="12" w:lineRule="atLeast"/>
        <w:ind w:firstLine="562" w:firstLineChars="200"/>
        <w:outlineLvl w:val="1"/>
        <w:rPr>
          <w:rFonts w:hint="eastAsia" w:ascii="黑体" w:hAnsi="黑体" w:eastAsia="黑体" w:cs="黑体"/>
          <w:b/>
          <w:sz w:val="28"/>
          <w:szCs w:val="28"/>
        </w:rPr>
      </w:pPr>
      <w:bookmarkStart w:id="116" w:name="_Toc2185"/>
      <w:r>
        <w:rPr>
          <w:rFonts w:hint="eastAsia" w:ascii="黑体" w:hAnsi="黑体" w:eastAsia="黑体" w:cs="黑体"/>
          <w:b/>
          <w:sz w:val="28"/>
          <w:szCs w:val="28"/>
        </w:rPr>
        <w:t>5.4.1 目标色素响应机制</w:t>
      </w:r>
      <w:bookmarkEnd w:id="116"/>
    </w:p>
    <w:p w14:paraId="0E7E0C12">
      <w:pPr>
        <w:widowControl/>
        <w:spacing w:line="12" w:lineRule="atLeast"/>
        <w:ind w:firstLine="560" w:firstLineChars="200"/>
        <w:rPr>
          <w:rFonts w:hint="eastAsia" w:hAnsi="宋体" w:eastAsia="宋体" w:cs="宋体"/>
          <w:sz w:val="28"/>
          <w:szCs w:val="28"/>
        </w:rPr>
      </w:pPr>
      <w:r>
        <w:rPr>
          <w:rFonts w:hint="eastAsia" w:hAnsi="宋体" w:eastAsia="宋体" w:cs="宋体"/>
          <w:sz w:val="28"/>
          <w:szCs w:val="28"/>
        </w:rPr>
        <w:t>通过提取纯净武夷岩茶与掺杂样本的平均反射率光谱并进行差异化对比，系统精准锁定了违规添加色素引发的非线性吸收畸变。表 5−3建立了微观分子结构与宏观光谱特征之间的因果映射关系，证明了特征波段的选择排除了随机噪声的干扰。</w:t>
      </w:r>
    </w:p>
    <w:p w14:paraId="5BD9B382">
      <w:pPr>
        <w:widowControl/>
        <w:spacing w:line="12" w:lineRule="atLeast"/>
        <w:ind w:firstLine="422" w:firstLineChars="200"/>
        <w:jc w:val="center"/>
        <w:rPr>
          <w:rFonts w:hint="eastAsia" w:hAnsi="宋体" w:eastAsia="宋体" w:cs="宋体"/>
          <w:sz w:val="28"/>
          <w:szCs w:val="28"/>
        </w:rPr>
      </w:pPr>
      <w:r>
        <w:rPr>
          <w:rFonts w:hint="eastAsia" w:ascii="黑体" w:hAnsi="黑体" w:eastAsia="黑体" w:cs="黑体"/>
          <w:b/>
          <w:bCs/>
          <w:sz w:val="21"/>
          <w:szCs w:val="21"/>
        </w:rPr>
        <w:t>表 5-4 目标色素特征波段的微观化学基团归属</w:t>
      </w:r>
    </w:p>
    <w:p w14:paraId="7370F681">
      <w:pPr>
        <w:widowControl/>
        <w:spacing w:line="12" w:lineRule="atLeast"/>
        <w:ind w:firstLine="560" w:firstLineChars="200"/>
        <w:rPr>
          <w:rFonts w:hint="eastAsia" w:hAnsi="宋体" w:eastAsia="宋体" w:cs="宋体"/>
          <w:sz w:val="28"/>
          <w:szCs w:val="28"/>
        </w:rPr>
      </w:pPr>
    </w:p>
    <w:p w14:paraId="598A3800">
      <w:pPr>
        <w:widowControl/>
        <w:spacing w:line="12" w:lineRule="atLeast"/>
        <w:ind w:firstLine="560" w:firstLineChars="200"/>
        <w:rPr>
          <w:rFonts w:hint="eastAsia" w:hAnsi="宋体" w:eastAsia="宋体" w:cs="宋体"/>
          <w:sz w:val="28"/>
          <w:szCs w:val="28"/>
        </w:rPr>
      </w:pPr>
      <w:r>
        <w:rPr>
          <w:rFonts w:hint="eastAsia" w:hAnsi="宋体" w:eastAsia="宋体" w:cs="宋体"/>
          <w:sz w:val="28"/>
          <w:szCs w:val="28"/>
        </w:rPr>
        <w:t>上述分析证明：算法选定的特征波段精准对应了色素分子的发色团与助色团的电子跃迁能级，赋予了模型高度的可解释性。</w:t>
      </w:r>
    </w:p>
    <w:p w14:paraId="02939CBF">
      <w:pPr>
        <w:widowControl/>
        <w:spacing w:line="12" w:lineRule="atLeast"/>
        <w:ind w:firstLine="562" w:firstLineChars="200"/>
        <w:outlineLvl w:val="1"/>
        <w:rPr>
          <w:rFonts w:hint="eastAsia" w:hAnsi="黑体" w:eastAsia="黑体" w:cs="黑体"/>
          <w:b/>
          <w:sz w:val="28"/>
          <w:szCs w:val="28"/>
        </w:rPr>
      </w:pPr>
      <w:bookmarkStart w:id="117" w:name="_Toc12726"/>
      <w:r>
        <w:rPr>
          <w:rFonts w:hint="eastAsia" w:hAnsi="黑体" w:eastAsia="黑体" w:cs="黑体"/>
          <w:b/>
          <w:sz w:val="28"/>
          <w:szCs w:val="28"/>
        </w:rPr>
        <w:t>5.4.2 基质背景干扰抑制</w:t>
      </w:r>
      <w:bookmarkEnd w:id="117"/>
    </w:p>
    <w:p w14:paraId="271A1665">
      <w:pPr>
        <w:widowControl/>
        <w:spacing w:line="12" w:lineRule="atLeast"/>
        <w:ind w:firstLine="560" w:firstLineChars="200"/>
        <w:rPr>
          <w:rFonts w:hint="eastAsia" w:hAnsi="宋体" w:eastAsia="宋体" w:cs="宋体"/>
          <w:sz w:val="28"/>
          <w:szCs w:val="28"/>
        </w:rPr>
      </w:pPr>
      <w:r>
        <w:rPr>
          <w:rFonts w:hint="eastAsia" w:hAnsi="宋体" w:eastAsia="宋体" w:cs="宋体"/>
          <w:sz w:val="28"/>
          <w:szCs w:val="28"/>
        </w:rPr>
        <w:t>在食品与农产品的无损检测中，基质自身复杂的生化成分往往构成难以逾越的背景噪声。武夷岩茶等复杂基质中存在两大强干扰源：</w:t>
      </w:r>
    </w:p>
    <w:p w14:paraId="38E1047B">
      <w:pPr>
        <w:widowControl/>
        <w:numPr>
          <w:ilvl w:val="0"/>
          <w:numId w:val="8"/>
        </w:numPr>
        <w:ind w:firstLine="560" w:firstLineChars="200"/>
        <w:rPr>
          <w:rFonts w:hint="eastAsia" w:hAnsi="宋体" w:eastAsia="宋体" w:cs="宋体"/>
          <w:sz w:val="28"/>
          <w:szCs w:val="28"/>
        </w:rPr>
      </w:pPr>
      <w:r>
        <w:rPr>
          <w:rFonts w:hint="eastAsia" w:hAnsi="宋体" w:eastAsia="宋体" w:cs="宋体"/>
          <w:sz w:val="28"/>
          <w:szCs w:val="28"/>
        </w:rPr>
        <w:t>叶绿素：其卟啉环结构在红光区（</w:t>
      </w:r>
      <w:r>
        <w:rPr>
          <w:rFonts w:hAnsi="宋体" w:eastAsia="宋体" w:cs="宋体"/>
          <w:sz w:val="28"/>
          <w:szCs w:val="28"/>
        </w:rPr>
        <w:t>670nm</w:t>
      </w:r>
      <w:r>
        <w:rPr>
          <w:rFonts w:hint="eastAsia" w:hAnsi="宋体" w:eastAsia="宋体" w:cs="宋体"/>
          <w:sz w:val="28"/>
          <w:szCs w:val="28"/>
        </w:rPr>
        <w:t>附近）具有极强的特征吸收峰。</w:t>
      </w:r>
    </w:p>
    <w:p w14:paraId="63C3AA28">
      <w:pPr>
        <w:widowControl/>
        <w:numPr>
          <w:ilvl w:val="0"/>
          <w:numId w:val="8"/>
        </w:numPr>
        <w:ind w:firstLine="560" w:firstLineChars="200"/>
        <w:rPr>
          <w:rFonts w:hint="eastAsia" w:hAnsi="宋体" w:eastAsia="宋体" w:cs="宋体"/>
          <w:sz w:val="28"/>
          <w:szCs w:val="28"/>
        </w:rPr>
      </w:pPr>
      <w:r>
        <w:rPr>
          <w:rFonts w:hint="eastAsia" w:hAnsi="宋体" w:eastAsia="宋体" w:cs="宋体"/>
          <w:sz w:val="28"/>
          <w:szCs w:val="28"/>
        </w:rPr>
        <w:t>水分 (</w:t>
      </w:r>
      <w:r>
        <w:rPr>
          <w:rFonts w:hAnsi="宋体" w:eastAsia="宋体" w:cs="宋体"/>
          <w:sz w:val="28"/>
          <w:szCs w:val="28"/>
        </w:rPr>
        <w:t xml:space="preserve"> 键)</w:t>
      </w:r>
      <w:r>
        <w:rPr>
          <w:rFonts w:hint="eastAsia" w:hAnsi="宋体" w:eastAsia="宋体" w:cs="宋体"/>
          <w:sz w:val="28"/>
          <w:szCs w:val="28"/>
        </w:rPr>
        <w:t>：在近红外区（</w:t>
      </w:r>
      <w:r>
        <w:rPr>
          <w:rFonts w:hAnsi="宋体" w:eastAsia="宋体" w:cs="宋体"/>
          <w:sz w:val="28"/>
          <w:szCs w:val="28"/>
        </w:rPr>
        <w:t>970nm</w:t>
      </w:r>
      <w:r>
        <w:rPr>
          <w:rFonts w:hint="eastAsia" w:hAnsi="宋体" w:eastAsia="宋体" w:cs="宋体"/>
          <w:sz w:val="28"/>
          <w:szCs w:val="28"/>
        </w:rPr>
        <w:t>附近）存在强烈的倍频吸收带</w:t>
      </w:r>
    </w:p>
    <w:p w14:paraId="5795F120">
      <w:pPr>
        <w:widowControl/>
        <w:spacing w:line="279" w:lineRule="auto"/>
        <w:ind w:firstLine="560" w:firstLineChars="200"/>
        <w:rPr>
          <w:rFonts w:hint="eastAsia" w:hAnsi="宋体" w:eastAsia="宋体" w:cs="宋体"/>
          <w:sz w:val="28"/>
          <w:szCs w:val="28"/>
        </w:rPr>
      </w:pPr>
      <w:r>
        <w:rPr>
          <w:rFonts w:hAnsi="宋体" w:eastAsia="宋体" w:cs="宋体"/>
          <w:sz w:val="28"/>
          <w:szCs w:val="28"/>
        </w:rPr>
        <w:t>本系统的技术精妙之处在于：经过 Lasso 算法稀疏化降维后，最终保留的核心鉴别波段（）完美避开了上述两大高背景干扰区。这一结果意味着，在实际应用中，即使茶叶的嫩度（叶绿素含量差异）或仓储环境湿度（含水量波动）发生剧烈变化，也不会越界触发色素检测特征组的响应。这种基于物理光学窗口的设计，从根本机理层面杜绝了“假阳性”警报，保障了检测的极高信噪比。</w:t>
      </w:r>
    </w:p>
    <w:p w14:paraId="4DB1FAEB">
      <w:pPr>
        <w:widowControl/>
        <w:spacing w:line="12" w:lineRule="atLeast"/>
        <w:ind w:firstLine="562" w:firstLineChars="200"/>
        <w:outlineLvl w:val="1"/>
        <w:rPr>
          <w:rFonts w:hint="eastAsia" w:ascii="黑体" w:hAnsi="黑体" w:eastAsia="黑体" w:cs="黑体"/>
          <w:b/>
          <w:sz w:val="28"/>
          <w:szCs w:val="28"/>
        </w:rPr>
      </w:pPr>
      <w:bookmarkStart w:id="118" w:name="_Toc22530"/>
      <w:r>
        <w:rPr>
          <w:rFonts w:hint="eastAsia" w:ascii="黑体" w:hAnsi="黑体" w:eastAsia="黑体" w:cs="黑体"/>
          <w:b/>
          <w:sz w:val="28"/>
          <w:szCs w:val="28"/>
        </w:rPr>
        <w:t>5.4.3 SAM光谱匹配算法</w:t>
      </w:r>
      <w:bookmarkEnd w:id="118"/>
    </w:p>
    <w:p w14:paraId="56FEC46E">
      <w:pPr>
        <w:widowControl/>
        <w:spacing w:line="12" w:lineRule="atLeast"/>
        <w:ind w:firstLine="560" w:firstLineChars="200"/>
        <w:rPr>
          <w:rFonts w:hint="eastAsia" w:hAnsi="宋体" w:eastAsia="宋体" w:cs="宋体"/>
          <w:sz w:val="28"/>
          <w:szCs w:val="28"/>
        </w:rPr>
      </w:pPr>
      <w:r>
        <w:rPr>
          <w:rFonts w:hAnsi="宋体" w:eastAsia="宋体" w:cs="宋体"/>
          <w:sz w:val="28"/>
          <w:szCs w:val="28"/>
        </w:rPr>
        <w:t>在明确了特征响应机理后，为实现未知测试样本与标准指纹库的高效、自动化比对，系统在应用层引入了光谱角制图(Spectral Angle Mapper, SAM)匹配算法。</w:t>
      </w:r>
    </w:p>
    <w:p w14:paraId="1EE3A3E3">
      <w:pPr>
        <w:widowControl/>
        <w:spacing w:line="12" w:lineRule="atLeast"/>
        <w:ind w:firstLine="440" w:firstLineChars="200"/>
        <w:rPr>
          <w:rFonts w:hint="eastAsia"/>
        </w:rPr>
      </w:pPr>
      <w:r>
        <w:rPr>
          <w:rFonts w:hint="eastAsia"/>
        </w:rPr>
        <w:t xml:space="preserve">         </w:t>
      </w:r>
    </w:p>
    <w:p w14:paraId="1ED52831">
      <w:pPr>
        <w:widowControl/>
        <w:spacing w:line="12" w:lineRule="atLeast"/>
        <w:ind w:firstLine="422" w:firstLineChars="200"/>
        <w:jc w:val="center"/>
        <w:rPr>
          <w:rFonts w:hint="eastAsia" w:ascii="黑体" w:hAnsi="黑体" w:eastAsia="黑体" w:cs="黑体"/>
          <w:sz w:val="21"/>
          <w:szCs w:val="21"/>
        </w:rPr>
      </w:pPr>
      <w:r>
        <w:rPr>
          <w:rFonts w:hint="eastAsia" w:ascii="黑体" w:hAnsi="黑体" w:eastAsia="黑体" w:cs="黑体"/>
          <w:b/>
          <w:bCs/>
          <w:sz w:val="21"/>
          <w:szCs w:val="21"/>
        </w:rPr>
        <w:t>图5-4  SAM分类算法容忍散射的光谱角抗干扰空间原理</w:t>
      </w:r>
    </w:p>
    <w:p w14:paraId="422F73F7">
      <w:pPr>
        <w:widowControl/>
        <w:spacing w:line="12" w:lineRule="atLeast"/>
        <w:ind w:firstLine="560" w:firstLineChars="200"/>
        <w:rPr>
          <w:rFonts w:hint="eastAsia" w:ascii="宋体" w:hAnsi="宋体" w:eastAsia="宋体" w:cs="宋体"/>
          <w:sz w:val="28"/>
          <w:szCs w:val="28"/>
        </w:rPr>
      </w:pPr>
      <w:r>
        <w:rPr>
          <w:rFonts w:hint="eastAsia" w:ascii="宋体" w:hAnsi="宋体" w:eastAsia="宋体" w:cs="宋体"/>
          <w:sz w:val="28"/>
          <w:szCs w:val="28"/>
        </w:rPr>
        <w:t>在实际工业产线或手持检测场景中，由于茶叶表面颗粒的不平整或饮料瓶身曲率的变化，极易产生阴影和光照强度的不均匀，导致光谱整体幅值缩放（即漫反射误差）。SAM算法通过将每个像素的光谱等效为n维特征空间中的一个向量，通过计算待测光谱向量T与参考指纹光谱向量R之间的广义几何夹角 α 来判定相似度。其数学定义如下：</w:t>
      </w:r>
    </w:p>
    <w:p w14:paraId="699C8B9F">
      <w:pPr>
        <w:widowControl/>
        <w:spacing w:line="12" w:lineRule="atLeast"/>
        <w:ind w:firstLine="440" w:firstLineChars="200"/>
        <w:rPr>
          <w:rFonts w:hAnsi="Cambria Math"/>
          <w:i/>
        </w:rPr>
      </w:pPr>
    </w:p>
    <w:p w14:paraId="169E7759">
      <w:pPr>
        <w:widowControl/>
        <w:spacing w:line="12" w:lineRule="atLeast"/>
        <w:ind w:firstLine="420" w:firstLineChars="200"/>
        <w:rPr>
          <w:rFonts w:hint="eastAsia" w:hAnsi="宋体" w:eastAsia="宋体" w:cs="宋体"/>
          <w:i/>
          <w:iCs/>
          <w:sz w:val="21"/>
          <w:szCs w:val="21"/>
        </w:rPr>
      </w:pPr>
    </w:p>
    <w:p w14:paraId="06DA6064">
      <w:pPr>
        <w:outlineLvl w:val="0"/>
        <w:rPr>
          <w:rFonts w:hint="eastAsia" w:ascii="黑体" w:hAnsi="黑体" w:eastAsia="黑体" w:cs="黑体"/>
          <w:b/>
          <w:sz w:val="32"/>
          <w:szCs w:val="32"/>
        </w:rPr>
      </w:pPr>
      <w:bookmarkStart w:id="119" w:name="_Toc26852"/>
      <w:r>
        <w:rPr>
          <w:rFonts w:hint="eastAsia" w:ascii="黑体" w:hAnsi="黑体" w:eastAsia="黑体" w:cs="黑体"/>
          <w:b/>
          <w:sz w:val="32"/>
          <w:szCs w:val="32"/>
        </w:rPr>
        <w:t>第六章：产品策略</w:t>
      </w:r>
      <w:bookmarkEnd w:id="119"/>
    </w:p>
    <w:p w14:paraId="57479A15">
      <w:pPr>
        <w:ind w:firstLine="602" w:firstLineChars="200"/>
        <w:outlineLvl w:val="0"/>
        <w:rPr>
          <w:rFonts w:hint="eastAsia" w:ascii="黑体" w:hAnsi="黑体" w:eastAsia="黑体" w:cs="黑体"/>
          <w:b/>
          <w:sz w:val="30"/>
          <w:szCs w:val="30"/>
        </w:rPr>
      </w:pPr>
      <w:bookmarkStart w:id="120" w:name="_Toc20903"/>
      <w:r>
        <w:rPr>
          <w:rFonts w:hint="eastAsia" w:ascii="黑体" w:hAnsi="黑体" w:eastAsia="黑体" w:cs="黑体"/>
          <w:b/>
          <w:sz w:val="30"/>
          <w:szCs w:val="30"/>
        </w:rPr>
        <w:t>6.1 商业模式</w:t>
      </w:r>
      <w:bookmarkEnd w:id="120"/>
    </w:p>
    <w:p w14:paraId="62434E26">
      <w:pPr>
        <w:ind w:firstLine="560" w:firstLineChars="200"/>
        <w:rPr>
          <w:rFonts w:hint="eastAsia" w:ascii="宋体" w:hAnsi="宋体" w:eastAsia="宋体" w:cs="宋体"/>
          <w:bCs/>
          <w:sz w:val="28"/>
          <w:szCs w:val="28"/>
        </w:rPr>
      </w:pPr>
      <w:r>
        <w:rPr>
          <w:rFonts w:hint="eastAsia" w:ascii="宋体" w:hAnsi="宋体" w:eastAsia="宋体" w:cs="宋体"/>
          <w:bCs/>
          <w:sz w:val="28"/>
          <w:szCs w:val="28"/>
        </w:rPr>
        <w:t>我们将业务重心100%聚焦于“高光谱特征提取与深度学习模型”，通过整合上游成熟硬件，向行业输出软硬一体的智能解决方案。</w:t>
      </w:r>
    </w:p>
    <w:p w14:paraId="0E12D8CC">
      <w:pPr>
        <w:spacing w:line="279" w:lineRule="auto"/>
        <w:ind w:firstLine="562" w:firstLineChars="200"/>
        <w:outlineLvl w:val="1"/>
        <w:rPr>
          <w:rFonts w:hint="eastAsia" w:ascii="宋体" w:hAnsi="宋体" w:eastAsia="宋体" w:cs="宋体"/>
          <w:sz w:val="28"/>
          <w:szCs w:val="28"/>
        </w:rPr>
      </w:pPr>
      <w:bookmarkStart w:id="121" w:name="_Toc17611"/>
      <w:r>
        <w:rPr>
          <w:rFonts w:hint="eastAsia" w:ascii="黑体" w:hAnsi="黑体" w:eastAsia="黑体" w:cs="黑体"/>
          <w:b/>
          <w:sz w:val="28"/>
          <w:szCs w:val="28"/>
        </w:rPr>
        <w:t xml:space="preserve">6.1.1 </w:t>
      </w:r>
      <w:r>
        <w:rPr>
          <w:rFonts w:hint="eastAsia" w:ascii="黑体" w:hAnsi="黑体" w:eastAsia="黑体" w:cs="黑体"/>
          <w:b/>
          <w:bCs/>
          <w:sz w:val="28"/>
          <w:szCs w:val="28"/>
        </w:rPr>
        <w:t>核心自持</w:t>
      </w:r>
      <w:bookmarkEnd w:id="121"/>
    </w:p>
    <w:p w14:paraId="01DF1D78">
      <w:pPr>
        <w:widowControl/>
        <w:spacing w:line="12" w:lineRule="atLeast"/>
        <w:ind w:firstLine="560" w:firstLineChars="200"/>
        <w:rPr>
          <w:rFonts w:hint="eastAsia" w:hAnsi="宋体" w:eastAsia="宋体" w:cs="宋体"/>
          <w:sz w:val="28"/>
          <w:szCs w:val="28"/>
        </w:rPr>
      </w:pPr>
      <w:r>
        <w:rPr>
          <w:rFonts w:hAnsi="宋体" w:eastAsia="宋体" w:cs="宋体"/>
          <w:sz w:val="28"/>
          <w:szCs w:val="28"/>
        </w:rPr>
        <w:t>市面上的通用高光谱相机只能输出极其复杂的原始三维数据立方体，面对现制茶饮中果肉、茶多酚、奶底造成的严重光谱干扰，纯硬件厂商束手无策。这正是我们的核心护城河。 我们将全量资金与精力投入于“算法研发与图谱库建设”。在公司内部，我们建立的不是制造工厂，而是“算法标定与数据标注中心”。我们集中采购市面上成熟的高保真光谱相机，并导入我们独家积累的“典型饮料人工合成色素图谱库”。通过多任务深度学习模型（如背景自动扣除、光谱解混算法），我们将冰冷的硬件点石成金，使其能够在极短时间内精准解算出 ±0.01mg/kg 级别的色素浓度。硬件可以被轻易买到，但我们在新茶饮和下沉市场跑通的真实检测数据，以及越喂越准的 AI 模型，是任何竞争对手短期内无法跨越的壁垒。</w:t>
      </w:r>
    </w:p>
    <w:p w14:paraId="124F3FFF">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我们必须在自建体系内，亲自完成“一机一标定”的精密校准工序，针对不同饮料基质（如茶汤、果汁、奶底）进行背景扣除与抗干扰调校，从源头死守 ±0.01mg/kg 的检测精度。另一方面，边缘计算板卡的程序烧录全在内部闭环完成，从物理层面上彻底切断了底层 AI 模型和图谱数据库泄露的风险。同时，在项目前期主推手持设备、开拓中小企业与政务市场时，非标需求较多，自建产线能让我们具备极强的敏捷交付与快速迭代能力。</w:t>
      </w:r>
    </w:p>
    <w:p w14:paraId="671657B6">
      <w:pPr>
        <w:spacing w:line="279" w:lineRule="auto"/>
        <w:ind w:firstLine="562" w:firstLineChars="200"/>
        <w:outlineLvl w:val="1"/>
        <w:rPr>
          <w:rFonts w:hint="eastAsia" w:ascii="黑体" w:hAnsi="黑体" w:eastAsia="黑体" w:cs="黑体"/>
          <w:b/>
          <w:sz w:val="28"/>
          <w:szCs w:val="28"/>
        </w:rPr>
      </w:pPr>
      <w:bookmarkStart w:id="122" w:name="_Toc30026"/>
      <w:r>
        <w:rPr>
          <w:rFonts w:hint="eastAsia" w:ascii="黑体" w:hAnsi="黑体" w:eastAsia="黑体" w:cs="黑体"/>
          <w:b/>
          <w:sz w:val="28"/>
          <w:szCs w:val="28"/>
        </w:rPr>
        <w:t>6.1.2 生态集成</w:t>
      </w:r>
      <w:bookmarkEnd w:id="122"/>
    </w:p>
    <w:p w14:paraId="104902DF">
      <w:pPr>
        <w:widowControl/>
        <w:spacing w:line="12" w:lineRule="atLeast"/>
        <w:ind w:firstLine="560" w:firstLineChars="200"/>
        <w:rPr>
          <w:rFonts w:hint="eastAsia" w:hAnsi="宋体" w:eastAsia="宋体" w:cs="宋体"/>
          <w:sz w:val="28"/>
          <w:szCs w:val="28"/>
        </w:rPr>
      </w:pPr>
      <w:r>
        <w:rPr>
          <w:rFonts w:hAnsi="宋体" w:eastAsia="宋体" w:cs="宋体"/>
          <w:sz w:val="28"/>
          <w:szCs w:val="28"/>
        </w:rPr>
        <w:t>当核心技术打磨成熟、订单进入放量期后，如果继续死磕自建产线，极易陷入重资产泥潭。因此，我们将全面引入成熟的产业生态来放大产能。对于设备的外壳压铸、基础电路板和显示屏等通用型零配件，我们会直接交由长三角或珠三角经验丰富的工业自动化代工厂（OEM/ODM）进行批量生产，从而大幅压低单台设备的物料成本，宝贵的资金留在算法优化和市场推广上。</w:t>
      </w:r>
    </w:p>
    <w:p w14:paraId="718B6C59">
      <w:pPr>
        <w:widowControl/>
        <w:spacing w:line="12" w:lineRule="atLeast"/>
        <w:rPr>
          <w:rFonts w:hint="eastAsia"/>
        </w:rPr>
      </w:pPr>
    </w:p>
    <w:p w14:paraId="75886DDD">
      <w:pPr>
        <w:widowControl/>
        <w:spacing w:line="12" w:lineRule="atLeast"/>
        <w:jc w:val="center"/>
        <w:rPr>
          <w:rFonts w:hint="eastAsia" w:ascii="黑体" w:hAnsi="黑体" w:eastAsia="黑体" w:cs="黑体"/>
          <w:b/>
          <w:bCs/>
          <w:sz w:val="21"/>
          <w:szCs w:val="21"/>
        </w:rPr>
      </w:pPr>
      <w:r>
        <w:rPr>
          <w:rFonts w:hint="eastAsia" w:ascii="黑体" w:hAnsi="黑体" w:eastAsia="黑体" w:cs="黑体"/>
          <w:b/>
          <w:bCs/>
          <w:sz w:val="21"/>
          <w:szCs w:val="21"/>
        </w:rPr>
        <w:t>图6-1 项目全链路生态架构图</w:t>
      </w:r>
    </w:p>
    <w:p w14:paraId="7D79D3E0">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具体的交付形态上，我们彻底摒弃了自建产线，转而采取“生态集成”的柔性供应链策略。 对于便携式/桌面级快检设备，我们采用“白牌定制+算法烧录”的模式。直接向上游优质的光学仪器厂商下达 OEM 订单，采购标准化的硬件外壳与镜头模组，随后在边缘计算核心板卡中加密烧录我们的 AI 算法，打包交付给中小客户。 而面对头部饮料大厂 72,000 瓶/小时的高速产线，我们甚至连外壳都不需要做。我们直接将检测算法封装为标准的 API/SDK 接口，或者提供一个搭载了核心算法的边缘计算盒子。联合国内老牌的食品灌装机械巨头，将我们的算法与他们的高速工业相机和分拣剔除系统进行底层打通。我们不碰笨重的机械臂和传送带，只负责在毫秒间下达“违规拦截指令”，实现极致的利润率。</w:t>
      </w:r>
    </w:p>
    <w:p w14:paraId="27596E11">
      <w:pPr>
        <w:spacing w:line="279" w:lineRule="auto"/>
        <w:ind w:firstLine="602" w:firstLineChars="200"/>
        <w:outlineLvl w:val="0"/>
        <w:rPr>
          <w:rFonts w:hint="eastAsia" w:ascii="黑体" w:hAnsi="黑体" w:eastAsia="黑体" w:cs="黑体"/>
          <w:b/>
          <w:sz w:val="30"/>
          <w:szCs w:val="30"/>
        </w:rPr>
      </w:pPr>
      <w:bookmarkStart w:id="123" w:name="_Toc21014"/>
      <w:r>
        <w:rPr>
          <w:rFonts w:hint="eastAsia" w:ascii="黑体" w:hAnsi="黑体" w:eastAsia="黑体" w:cs="黑体"/>
          <w:b/>
          <w:sz w:val="30"/>
          <w:szCs w:val="30"/>
        </w:rPr>
        <w:t>6.2 设备营销策略</w:t>
      </w:r>
      <w:bookmarkEnd w:id="123"/>
      <w:r>
        <w:rPr>
          <w:rFonts w:hint="eastAsia" w:ascii="黑体" w:hAnsi="黑体" w:eastAsia="黑体" w:cs="黑体"/>
          <w:b/>
          <w:sz w:val="30"/>
          <w:szCs w:val="30"/>
        </w:rPr>
        <w:t xml:space="preserve"> </w:t>
      </w:r>
    </w:p>
    <w:p w14:paraId="56E1F269">
      <w:pPr>
        <w:spacing w:line="279" w:lineRule="auto"/>
        <w:ind w:firstLine="560" w:firstLineChars="200"/>
        <w:rPr>
          <w:rFonts w:hint="eastAsia"/>
        </w:rPr>
      </w:pPr>
      <w:r>
        <w:rPr>
          <w:rFonts w:hint="eastAsia" w:ascii="宋体" w:hAnsi="宋体" w:eastAsia="宋体" w:cs="宋体"/>
          <w:bCs/>
          <w:sz w:val="28"/>
          <w:szCs w:val="28"/>
        </w:rPr>
        <w:t>硬件本身不是我们赚取暴利的工具，而是获取客户数据、建立行业粘性的“敲门砖”。我们采取“以硬件极低门槛获客，靠软件服务和数据变现”的 MaaS（模型即服务）策略。</w:t>
      </w:r>
      <w:r>
        <w:rPr>
          <w:rFonts w:hint="eastAsia"/>
        </w:rPr>
        <w:t xml:space="preserve"> </w:t>
      </w:r>
    </w:p>
    <w:p w14:paraId="471E4CF9">
      <w:pPr>
        <w:spacing w:line="279" w:lineRule="auto"/>
        <w:rPr>
          <w:rFonts w:hint="eastAsia"/>
        </w:rPr>
      </w:pPr>
    </w:p>
    <w:p w14:paraId="657ED5C0">
      <w:pPr>
        <w:spacing w:line="279" w:lineRule="auto"/>
        <w:jc w:val="center"/>
        <w:rPr>
          <w:rFonts w:hint="eastAsia" w:ascii="黑体" w:hAnsi="黑体" w:eastAsia="黑体" w:cs="黑体"/>
          <w:b/>
          <w:bCs/>
          <w:sz w:val="21"/>
          <w:szCs w:val="21"/>
        </w:rPr>
      </w:pPr>
      <w:r>
        <w:rPr>
          <w:rFonts w:hint="eastAsia" w:ascii="黑体" w:hAnsi="黑体" w:eastAsia="黑体" w:cs="黑体"/>
          <w:b/>
          <w:bCs/>
          <w:sz w:val="21"/>
          <w:szCs w:val="21"/>
        </w:rPr>
        <w:t>图6-2 设备营销策略</w:t>
      </w:r>
    </w:p>
    <w:p w14:paraId="793E4CBE">
      <w:pPr>
        <w:spacing w:line="279" w:lineRule="auto"/>
        <w:ind w:firstLine="562" w:firstLineChars="200"/>
        <w:outlineLvl w:val="1"/>
        <w:rPr>
          <w:rFonts w:hint="eastAsia" w:ascii="黑体" w:hAnsi="黑体" w:eastAsia="黑体" w:cs="黑体"/>
          <w:b/>
          <w:sz w:val="28"/>
          <w:szCs w:val="28"/>
        </w:rPr>
      </w:pPr>
      <w:bookmarkStart w:id="124" w:name="_Toc20591"/>
      <w:r>
        <w:rPr>
          <w:rFonts w:hint="eastAsia" w:ascii="黑体" w:hAnsi="黑体" w:eastAsia="黑体" w:cs="黑体"/>
          <w:b/>
          <w:sz w:val="28"/>
          <w:szCs w:val="28"/>
        </w:rPr>
        <w:t>6.2.1 软硬一体化租赁</w:t>
      </w:r>
      <w:bookmarkEnd w:id="124"/>
    </w:p>
    <w:p w14:paraId="71C9EF9E">
      <w:pPr>
        <w:widowControl/>
        <w:spacing w:line="12" w:lineRule="atLeast"/>
        <w:ind w:firstLine="560" w:firstLineChars="200"/>
        <w:rPr>
          <w:rFonts w:hint="eastAsia" w:ascii="宋体" w:hAnsi="宋体" w:eastAsia="宋体" w:cs="宋体"/>
          <w:sz w:val="28"/>
          <w:szCs w:val="28"/>
        </w:rPr>
      </w:pPr>
      <w:r>
        <w:rPr>
          <w:rFonts w:hint="eastAsia" w:ascii="宋体" w:hAnsi="宋体" w:eastAsia="宋体" w:cs="宋体"/>
          <w:sz w:val="28"/>
          <w:szCs w:val="28"/>
        </w:rPr>
        <w:t xml:space="preserve">针对资金链紧张、价格敏感的中小饮料厂及新茶饮门店，我们绝不推销昂贵的买断设备，而是提供预装了我们算法的“集成设备租赁服务”。 基础套餐定价仅为 1500 元/月，包含硬件使用权及每月75次云端 AI 分析服务（折合单次诊断成本仅20元，远低于传统 HPLC 的500元以上），这能极大地刺激中小企业的品控升级需求。 </w:t>
      </w:r>
    </w:p>
    <w:p w14:paraId="5582E5C7">
      <w:pPr>
        <w:widowControl/>
        <w:spacing w:line="12" w:lineRule="atLeast"/>
        <w:ind w:firstLine="560" w:firstLineChars="200"/>
        <w:rPr>
          <w:rFonts w:hint="eastAsia" w:ascii="宋体" w:hAnsi="宋体" w:eastAsia="宋体" w:cs="宋体"/>
          <w:sz w:val="28"/>
          <w:szCs w:val="28"/>
        </w:rPr>
      </w:pPr>
      <w:r>
        <w:rPr>
          <w:rFonts w:hint="eastAsia" w:ascii="宋体" w:hAnsi="宋体" w:eastAsia="宋体" w:cs="宋体"/>
          <w:sz w:val="28"/>
          <w:szCs w:val="28"/>
        </w:rPr>
        <w:t>同时，我们敏锐捕捉到了电商直播带货的合规痛点，首创“直播间专属短租包”（4500元/3个月）。我们租赁的不仅是一台机器，更是“科技防翻车”的信任背书。主播在镜头前花 20 秒现场测色素，后台 AI 算法实时生成带时间戳的《防伪检测证书》。这把原本只能待在实验室的检测技术，变成了直播间最具转化率的营销利器，开辟了全新的商业应用场景。</w:t>
      </w:r>
    </w:p>
    <w:p w14:paraId="03573543">
      <w:pPr>
        <w:spacing w:line="279" w:lineRule="auto"/>
        <w:ind w:firstLine="562" w:firstLineChars="200"/>
        <w:outlineLvl w:val="1"/>
        <w:rPr>
          <w:rFonts w:hint="eastAsia" w:ascii="黑体" w:hAnsi="黑体" w:eastAsia="黑体" w:cs="黑体"/>
          <w:b/>
          <w:sz w:val="28"/>
          <w:szCs w:val="28"/>
        </w:rPr>
      </w:pPr>
      <w:bookmarkStart w:id="125" w:name="_Toc4777"/>
      <w:r>
        <w:rPr>
          <w:rFonts w:hint="eastAsia" w:ascii="黑体" w:hAnsi="黑体" w:eastAsia="黑体" w:cs="黑体"/>
          <w:b/>
          <w:sz w:val="28"/>
          <w:szCs w:val="28"/>
        </w:rPr>
        <w:t>6.2.2 核心利润引擎</w:t>
      </w:r>
      <w:bookmarkEnd w:id="125"/>
    </w:p>
    <w:p w14:paraId="36E29B58">
      <w:pPr>
        <w:widowControl/>
        <w:spacing w:line="12" w:lineRule="atLeast"/>
        <w:ind w:firstLine="560" w:firstLineChars="200"/>
        <w:rPr>
          <w:rFonts w:hint="eastAsia" w:ascii="宋体" w:hAnsi="宋体" w:eastAsia="宋体" w:cs="宋体"/>
          <w:sz w:val="28"/>
          <w:szCs w:val="28"/>
        </w:rPr>
      </w:pPr>
      <w:r>
        <w:rPr>
          <w:rFonts w:hint="eastAsia" w:ascii="宋体" w:hAnsi="宋体" w:eastAsia="宋体" w:cs="宋体"/>
          <w:sz w:val="28"/>
          <w:szCs w:val="28"/>
        </w:rPr>
        <w:t xml:space="preserve">当设备大面积铺开后，我们的营收主力将转向高毛利的软件订阅服务。大企业和政府监管机构需要的不是一台测色仪，而是一个能接入全局的“数字化品控大脑”。 </w:t>
      </w:r>
    </w:p>
    <w:p w14:paraId="37E9D6AC">
      <w:pPr>
        <w:widowControl/>
        <w:spacing w:line="12" w:lineRule="atLeast"/>
        <w:ind w:firstLine="560" w:firstLineChars="200"/>
        <w:rPr>
          <w:rFonts w:hint="eastAsia" w:ascii="宋体" w:hAnsi="宋体" w:eastAsia="宋体" w:cs="宋体"/>
          <w:sz w:val="28"/>
          <w:szCs w:val="28"/>
        </w:rPr>
      </w:pPr>
      <w:r>
        <w:rPr>
          <w:rFonts w:hint="eastAsia" w:ascii="宋体" w:hAnsi="宋体" w:eastAsia="宋体" w:cs="宋体"/>
          <w:sz w:val="28"/>
          <w:szCs w:val="28"/>
        </w:rPr>
        <w:t>我们为此设计了严密的 SaaS 收费阶梯：针对年产值 5000 万以下的企业，收取 2.5 万元/年的基础算法授权费，开放国标红线预警功能；针对连锁品牌与区域龙头，推出 5 万元/年的专业版，为其定制复杂基质（如特定果酱、新配方奶底）的抗干扰解析模型，并输出可视化品控 BI 报表；面向全国性饮料大厂，我们主推 9 万元/年的企业版，其核心价值在于提供专属 API 数据对接。</w:t>
      </w:r>
    </w:p>
    <w:p w14:paraId="7CC7F892">
      <w:pPr>
        <w:widowControl/>
        <w:spacing w:line="12" w:lineRule="atLeast"/>
        <w:rPr>
          <w:rFonts w:hint="eastAsia"/>
        </w:rPr>
      </w:pPr>
      <w:r>
        <w:rPr>
          <w:rFonts w:hint="eastAsia"/>
        </w:rPr>
        <w:t xml:space="preserve">   </w:t>
      </w:r>
    </w:p>
    <w:p w14:paraId="6AB60227">
      <w:pPr>
        <w:widowControl/>
        <w:spacing w:line="12" w:lineRule="atLeast"/>
        <w:jc w:val="center"/>
        <w:rPr>
          <w:rFonts w:hint="eastAsia" w:ascii="黑体" w:hAnsi="黑体" w:eastAsia="黑体" w:cs="黑体"/>
          <w:b/>
          <w:bCs/>
          <w:sz w:val="21"/>
          <w:szCs w:val="21"/>
        </w:rPr>
      </w:pPr>
      <w:r>
        <w:rPr>
          <w:rFonts w:hint="eastAsia" w:ascii="黑体" w:hAnsi="黑体" w:eastAsia="黑体" w:cs="黑体"/>
          <w:b/>
          <w:bCs/>
          <w:sz w:val="21"/>
          <w:szCs w:val="21"/>
        </w:rPr>
        <w:t>图6-3 SaaS三层递进式商业定价模式</w:t>
      </w:r>
    </w:p>
    <w:p w14:paraId="63525F21">
      <w:pPr>
        <w:widowControl/>
        <w:spacing w:line="12" w:lineRule="atLeast"/>
        <w:ind w:firstLine="560" w:firstLineChars="200"/>
        <w:rPr>
          <w:rFonts w:hint="eastAsia" w:ascii="宋体" w:hAnsi="宋体" w:eastAsia="宋体" w:cs="宋体"/>
          <w:sz w:val="28"/>
          <w:szCs w:val="28"/>
        </w:rPr>
      </w:pPr>
      <w:r>
        <w:rPr>
          <w:rFonts w:hint="eastAsia" w:ascii="宋体" w:hAnsi="宋体" w:eastAsia="宋体" w:cs="宋体"/>
          <w:sz w:val="28"/>
          <w:szCs w:val="28"/>
        </w:rPr>
        <w:t>我们的算法大脑与工厂的 MES/ERP 生产系统无缝融合，实时诊断流水线上的每一瓶饮料。一旦达成这种系统级嵌入，替换成本极高，我们将获得源源不断的年费收入与极具价值的行业品控数据。</w:t>
      </w:r>
    </w:p>
    <w:p w14:paraId="26832A99">
      <w:pPr>
        <w:spacing w:line="279" w:lineRule="auto"/>
        <w:ind w:firstLine="602" w:firstLineChars="200"/>
        <w:outlineLvl w:val="0"/>
        <w:rPr>
          <w:rFonts w:hint="eastAsia" w:ascii="黑体" w:hAnsi="黑体" w:eastAsia="黑体" w:cs="黑体"/>
          <w:b/>
          <w:sz w:val="30"/>
          <w:szCs w:val="30"/>
        </w:rPr>
      </w:pPr>
      <w:bookmarkStart w:id="126" w:name="_Toc22225"/>
      <w:r>
        <w:rPr>
          <w:rFonts w:hint="eastAsia" w:ascii="黑体" w:hAnsi="黑体" w:eastAsia="黑体" w:cs="黑体"/>
          <w:b/>
          <w:sz w:val="30"/>
          <w:szCs w:val="30"/>
        </w:rPr>
        <w:t>6.3 实施与交付策略</w:t>
      </w:r>
      <w:bookmarkEnd w:id="126"/>
      <w:r>
        <w:rPr>
          <w:rFonts w:hint="eastAsia" w:ascii="黑体" w:hAnsi="黑体" w:eastAsia="黑体" w:cs="黑体"/>
          <w:b/>
          <w:sz w:val="30"/>
          <w:szCs w:val="30"/>
        </w:rPr>
        <w:t xml:space="preserve"> </w:t>
      </w:r>
    </w:p>
    <w:p w14:paraId="4118F005">
      <w:pPr>
        <w:widowControl/>
        <w:spacing w:line="12" w:lineRule="atLeast"/>
        <w:ind w:firstLine="560" w:firstLineChars="200"/>
        <w:rPr>
          <w:rFonts w:hint="eastAsia" w:hAnsi="宋体" w:eastAsia="宋体" w:cs="宋体"/>
          <w:sz w:val="28"/>
          <w:szCs w:val="28"/>
        </w:rPr>
      </w:pPr>
      <w:r>
        <w:rPr>
          <w:rFonts w:hAnsi="宋体" w:eastAsia="宋体" w:cs="宋体"/>
          <w:sz w:val="28"/>
          <w:szCs w:val="28"/>
        </w:rPr>
        <w:t>针对不同规模的客户，我们设计了两套完全不同但极其务实的落地工序，确保我们的算法大脑能完美适应从几十平米的奶茶店到几万平米的无人工厂。</w:t>
      </w:r>
    </w:p>
    <w:p w14:paraId="31D4F283">
      <w:pPr>
        <w:widowControl/>
        <w:spacing w:line="12" w:lineRule="atLeast"/>
        <w:ind w:firstLine="562" w:firstLineChars="200"/>
        <w:outlineLvl w:val="1"/>
        <w:rPr>
          <w:rFonts w:hint="eastAsia" w:ascii="黑体" w:hAnsi="黑体" w:eastAsia="黑体" w:cs="黑体"/>
          <w:b/>
          <w:bCs/>
          <w:sz w:val="28"/>
          <w:szCs w:val="28"/>
        </w:rPr>
      </w:pPr>
      <w:bookmarkStart w:id="127" w:name="_Toc17187"/>
      <w:r>
        <w:rPr>
          <w:rFonts w:hint="eastAsia" w:ascii="黑体" w:hAnsi="黑体" w:eastAsia="黑体" w:cs="黑体"/>
          <w:b/>
          <w:bCs/>
          <w:sz w:val="28"/>
          <w:szCs w:val="28"/>
        </w:rPr>
        <w:t>6.3.1 面向下沉市场的“傻瓜式”开箱即用</w:t>
      </w:r>
      <w:bookmarkEnd w:id="127"/>
    </w:p>
    <w:p w14:paraId="5663C86C">
      <w:pPr>
        <w:widowControl/>
        <w:spacing w:line="12" w:lineRule="atLeast"/>
        <w:ind w:firstLine="560" w:firstLineChars="200"/>
        <w:rPr>
          <w:rFonts w:hint="eastAsia"/>
        </w:rPr>
      </w:pPr>
      <w:r>
        <w:rPr>
          <w:rFonts w:hint="eastAsia" w:ascii="宋体" w:hAnsi="宋体" w:eastAsia="宋体" w:cs="宋体"/>
          <w:sz w:val="28"/>
          <w:szCs w:val="28"/>
        </w:rPr>
        <w:t>对于现制茶饮门店、带货直播间或是基层的食药监局，这类场景根本没有专业的IT或质检人员。因此，我们将采购来的标准化光谱硬件与装载了核心算法的边缘计算盒子在出厂前就进行深度封装。客户收到货后，只需插电、连WiFi，无需任何上门实施成本。为了解决不同茶底（如红茶、乌龙茶）对光谱造成的背景干扰，我们在软件交互上</w:t>
      </w:r>
      <w:r>
        <w:rPr>
          <w:rFonts w:hint="eastAsia" w:ascii="宋体" w:hAnsi="宋体" w:eastAsia="宋体" w:cs="宋体"/>
          <w:sz w:val="28"/>
          <w:szCs w:val="28"/>
          <w:lang w:eastAsia="zh"/>
        </w:rPr>
        <w:t>将</w:t>
      </w:r>
      <w:r>
        <w:rPr>
          <w:rFonts w:hint="eastAsia" w:ascii="宋体" w:hAnsi="宋体" w:eastAsia="宋体" w:cs="宋体"/>
          <w:sz w:val="28"/>
          <w:szCs w:val="28"/>
        </w:rPr>
        <w:t>做到极简：店员只需先测一杯没有任何添加的“纯茶底”，系统就会自动学习并扣除背景干扰。</w:t>
      </w:r>
    </w:p>
    <w:p w14:paraId="7F709CF4">
      <w:pPr>
        <w:widowControl/>
        <w:spacing w:line="12" w:lineRule="atLeast"/>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图6-4 下沉市场交付意图</w:t>
      </w:r>
    </w:p>
    <w:p w14:paraId="70BC5362">
      <w:pPr>
        <w:widowControl/>
        <w:spacing w:line="12" w:lineRule="atLeast"/>
        <w:ind w:firstLine="560" w:firstLineChars="200"/>
        <w:rPr>
          <w:rFonts w:hint="eastAsia" w:ascii="黑体" w:hAnsi="黑体" w:eastAsia="黑体" w:cs="黑体"/>
          <w:b/>
          <w:bCs/>
          <w:sz w:val="21"/>
          <w:szCs w:val="21"/>
        </w:rPr>
      </w:pPr>
      <w:r>
        <w:rPr>
          <w:rFonts w:hint="eastAsia" w:ascii="宋体" w:hAnsi="宋体" w:eastAsia="宋体" w:cs="宋体"/>
          <w:sz w:val="28"/>
          <w:szCs w:val="28"/>
        </w:rPr>
        <w:t>更重要的是，一旦国家标准更新了违规添加剂名单，我们不需要派人去升级硬件，而是直接像智能手机一样，通过云端给所有设备推送 OTA 升级包，让设备睡一觉醒来就学会了检测新物质。</w:t>
      </w:r>
    </w:p>
    <w:p w14:paraId="3201FE27">
      <w:pPr>
        <w:widowControl/>
        <w:spacing w:line="12" w:lineRule="atLeast"/>
        <w:ind w:firstLine="562" w:firstLineChars="200"/>
        <w:outlineLvl w:val="1"/>
        <w:rPr>
          <w:rFonts w:hint="eastAsia" w:ascii="黑体" w:hAnsi="黑体" w:eastAsia="黑体" w:cs="黑体"/>
          <w:b/>
          <w:bCs/>
          <w:sz w:val="28"/>
          <w:szCs w:val="28"/>
        </w:rPr>
      </w:pPr>
      <w:bookmarkStart w:id="128" w:name="_Toc17203"/>
      <w:r>
        <w:rPr>
          <w:rFonts w:hint="eastAsia" w:ascii="黑体" w:hAnsi="黑体" w:eastAsia="黑体" w:cs="黑体"/>
          <w:b/>
          <w:bCs/>
          <w:sz w:val="28"/>
          <w:szCs w:val="28"/>
        </w:rPr>
        <w:t>6.3.2 面向头部大厂的“无感式”产线嵌合</w:t>
      </w:r>
      <w:bookmarkEnd w:id="128"/>
    </w:p>
    <w:p w14:paraId="65A0BFFE">
      <w:pPr>
        <w:widowControl/>
        <w:spacing w:line="12" w:lineRule="atLeast"/>
        <w:ind w:firstLine="560" w:firstLineChars="200"/>
        <w:rPr>
          <w:rFonts w:hint="eastAsia" w:ascii="宋体" w:hAnsi="宋体" w:eastAsia="宋体" w:cs="宋体"/>
          <w:sz w:val="28"/>
          <w:szCs w:val="28"/>
        </w:rPr>
      </w:pPr>
      <w:r>
        <w:rPr>
          <w:rFonts w:hint="eastAsia" w:ascii="宋体" w:hAnsi="宋体" w:eastAsia="宋体" w:cs="宋体"/>
          <w:sz w:val="28"/>
          <w:szCs w:val="28"/>
        </w:rPr>
        <w:t>把设备放到大厂高达 72,000 瓶/小时的极速流水线上，是完全不同的工程逻辑。工厂最怕的就是停线改造设备，因为停机一小时的损失往往高达数十万。所以我们的实施策略是绝对的“非侵入式外挂部署”。我们不拆客户原来的传送带和机械臂，而是直接在现有流水线上方架设一个定制的防抖避光罩，把高光谱探头悬停在上面。在信息打通上，我们的边缘服务器每秒能处理20瓶饮料的光谱数据，并通过标准工业协议直接与工厂原有的中控系统（PLC/MES）对话。我们只负责在几毫秒内下达“这瓶颜色不对，踢掉它”的拦截指令，绝不干扰他们原本的生产节奏。</w:t>
      </w:r>
    </w:p>
    <w:p w14:paraId="076976AC">
      <w:pPr>
        <w:widowControl/>
        <w:spacing w:line="12" w:lineRule="atLeast"/>
        <w:rPr>
          <w:rFonts w:hint="eastAsia"/>
        </w:rPr>
      </w:pPr>
    </w:p>
    <w:p w14:paraId="78B53719">
      <w:pPr>
        <w:widowControl/>
        <w:spacing w:line="12" w:lineRule="atLeast"/>
        <w:jc w:val="center"/>
        <w:rPr>
          <w:rFonts w:hint="eastAsia" w:ascii="黑体" w:hAnsi="黑体" w:eastAsia="黑体" w:cs="黑体"/>
          <w:b/>
          <w:bCs/>
          <w:sz w:val="21"/>
          <w:szCs w:val="21"/>
        </w:rPr>
      </w:pPr>
      <w:r>
        <w:rPr>
          <w:rFonts w:hint="eastAsia" w:ascii="黑体" w:hAnsi="黑体" w:eastAsia="黑体" w:cs="黑体"/>
          <w:b/>
          <w:bCs/>
          <w:sz w:val="21"/>
          <w:szCs w:val="21"/>
        </w:rPr>
        <w:t>图6-5 面向头部大厂的“无感式”产线嵌合图</w:t>
      </w:r>
    </w:p>
    <w:p w14:paraId="3FF30962">
      <w:pPr>
        <w:widowControl/>
        <w:spacing w:line="12" w:lineRule="atLeast"/>
        <w:ind w:firstLine="560" w:firstLineChars="200"/>
        <w:rPr>
          <w:rFonts w:hint="eastAsia" w:hAnsi="宋体" w:eastAsia="宋体" w:cs="宋体"/>
          <w:sz w:val="28"/>
          <w:szCs w:val="28"/>
        </w:rPr>
      </w:pPr>
      <w:r>
        <w:rPr>
          <w:rFonts w:hint="eastAsia" w:ascii="宋体" w:hAnsi="宋体" w:eastAsia="宋体" w:cs="宋体"/>
          <w:sz w:val="28"/>
          <w:szCs w:val="28"/>
        </w:rPr>
        <w:t>为了打消大厂采购的顾虑，每次进场前，我们都会先拿客户的真实饮料配方在实验室跑通1-2周的概念验证（POC），拿着实打实的准确率报告再谈部署，做到签约即能落地。</w:t>
      </w:r>
    </w:p>
    <w:p w14:paraId="66FFF268">
      <w:pPr>
        <w:widowControl/>
        <w:spacing w:line="12" w:lineRule="atLeast"/>
        <w:ind w:firstLine="562" w:firstLineChars="200"/>
        <w:outlineLvl w:val="1"/>
        <w:rPr>
          <w:rFonts w:hint="eastAsia" w:ascii="黑体" w:hAnsi="黑体" w:eastAsia="黑体" w:cs="黑体"/>
          <w:b/>
          <w:bCs/>
          <w:sz w:val="28"/>
          <w:szCs w:val="28"/>
        </w:rPr>
      </w:pPr>
      <w:bookmarkStart w:id="129" w:name="_Toc26043"/>
      <w:r>
        <w:rPr>
          <w:rFonts w:hint="eastAsia" w:ascii="黑体" w:hAnsi="黑体" w:eastAsia="黑体" w:cs="黑体"/>
          <w:b/>
          <w:bCs/>
          <w:sz w:val="28"/>
          <w:szCs w:val="28"/>
        </w:rPr>
        <w:t>6.3.3 守住隐私底线的数据飞轮</w:t>
      </w:r>
      <w:bookmarkEnd w:id="129"/>
    </w:p>
    <w:p w14:paraId="7FCF81EF">
      <w:pPr>
        <w:widowControl/>
        <w:spacing w:line="12" w:lineRule="atLeast"/>
        <w:ind w:firstLine="560" w:firstLineChars="200"/>
        <w:rPr>
          <w:rFonts w:hint="eastAsia" w:ascii="宋体" w:hAnsi="宋体" w:eastAsia="宋体" w:cs="宋体"/>
          <w:sz w:val="28"/>
          <w:szCs w:val="28"/>
        </w:rPr>
      </w:pPr>
      <w:r>
        <w:rPr>
          <w:rFonts w:hint="eastAsia" w:ascii="宋体" w:hAnsi="宋体" w:eastAsia="宋体" w:cs="宋体"/>
          <w:sz w:val="28"/>
          <w:szCs w:val="28"/>
        </w:rPr>
        <w:t>设备交付只是第一步，让算法“越用越聪明”才是我们的终极目的。但在推进过程中，大厂最担心的就是配方泄露。对此，我们从交付架构上彻底切断了这种风险：所有检测推理全部在客户现场的“边缘端”本地完成，我们的设备只挑出“异常的、违规的”脱敏光谱特征向量加密传回云端，绝不触碰客户的总体产量、良品率和核心配方。</w:t>
      </w:r>
    </w:p>
    <w:p w14:paraId="67B7A06D">
      <w:pPr>
        <w:widowControl/>
        <w:spacing w:line="12" w:lineRule="atLeast"/>
        <w:rPr>
          <w:rFonts w:hint="eastAsia"/>
        </w:rPr>
      </w:pPr>
    </w:p>
    <w:p w14:paraId="62B6D287">
      <w:pPr>
        <w:widowControl/>
        <w:spacing w:line="12" w:lineRule="atLeast"/>
        <w:rPr>
          <w:rFonts w:hint="eastAsia"/>
        </w:rPr>
      </w:pPr>
      <w:r>
        <w:rPr>
          <w:rFonts w:hint="eastAsia"/>
        </w:rPr>
        <w:t xml:space="preserve">    </w:t>
      </w:r>
    </w:p>
    <w:p w14:paraId="1C2F6306">
      <w:pPr>
        <w:widowControl/>
        <w:spacing w:line="12" w:lineRule="atLeast"/>
        <w:jc w:val="center"/>
        <w:rPr>
          <w:rFonts w:hint="eastAsia" w:ascii="黑体" w:hAnsi="黑体" w:eastAsia="黑体" w:cs="黑体"/>
          <w:b/>
          <w:bCs/>
          <w:sz w:val="21"/>
          <w:szCs w:val="21"/>
        </w:rPr>
      </w:pPr>
      <w:r>
        <w:rPr>
          <w:rFonts w:hint="eastAsia" w:ascii="黑体" w:hAnsi="黑体" w:eastAsia="黑体" w:cs="黑体"/>
          <w:b/>
          <w:bCs/>
          <w:sz w:val="21"/>
          <w:szCs w:val="21"/>
        </w:rPr>
        <w:t>图6-6 边云协同数据飞轮</w:t>
      </w:r>
    </w:p>
    <w:p w14:paraId="02303566">
      <w:pPr>
        <w:widowControl/>
        <w:spacing w:line="12" w:lineRule="atLeast"/>
        <w:ind w:firstLine="560" w:firstLineChars="200"/>
        <w:rPr>
          <w:rFonts w:hint="eastAsia" w:ascii="黑体" w:hAnsi="黑体" w:eastAsia="黑体" w:cs="黑体"/>
          <w:b/>
          <w:bCs/>
          <w:sz w:val="21"/>
          <w:szCs w:val="21"/>
        </w:rPr>
      </w:pPr>
      <w:r>
        <w:rPr>
          <w:rFonts w:hint="eastAsia" w:ascii="宋体" w:hAnsi="宋体" w:eastAsia="宋体" w:cs="宋体"/>
          <w:sz w:val="28"/>
          <w:szCs w:val="28"/>
        </w:rPr>
        <w:t>用这种“只收特征，不收隐私”的克制方式，我们能毫无阻力地收集来自全国各地的疑难杂症数据，每隔几个月就能训练出更强大的 AI 模型再反哺给全网客户。竞争对手哪怕买到了同样的相机，也永远偷不走我们这张实时进化的行业数据网。</w:t>
      </w:r>
    </w:p>
    <w:p w14:paraId="048D7701">
      <w:pPr>
        <w:spacing w:line="279" w:lineRule="auto"/>
        <w:ind w:firstLine="602" w:firstLineChars="200"/>
        <w:outlineLvl w:val="0"/>
        <w:rPr>
          <w:rFonts w:hint="eastAsia" w:ascii="黑体" w:hAnsi="黑体" w:eastAsia="黑体" w:cs="黑体"/>
          <w:b/>
          <w:sz w:val="28"/>
          <w:szCs w:val="28"/>
        </w:rPr>
      </w:pPr>
      <w:bookmarkStart w:id="130" w:name="_Toc21495"/>
      <w:r>
        <w:rPr>
          <w:rFonts w:hint="eastAsia" w:ascii="黑体" w:hAnsi="黑体" w:eastAsia="黑体" w:cs="黑体"/>
          <w:b/>
          <w:sz w:val="30"/>
          <w:szCs w:val="30"/>
        </w:rPr>
        <w:t xml:space="preserve">6.4 </w:t>
      </w:r>
      <w:r>
        <w:rPr>
          <w:rFonts w:hint="eastAsia" w:ascii="黑体" w:hAnsi="黑体" w:eastAsia="黑体" w:cs="黑体"/>
          <w:b/>
          <w:sz w:val="28"/>
          <w:szCs w:val="28"/>
        </w:rPr>
        <w:t>产品推广与销售模式</w:t>
      </w:r>
      <w:bookmarkEnd w:id="130"/>
    </w:p>
    <w:p w14:paraId="7D8E3C63">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优质的算法如果缺乏落地的触角，就无法形成商业闭环。针对复杂的饮料产业链，我们摒弃了盲目烧钱的广撒网营销，制定了“以标准立身、直销打标杆、渠道铺网络”的务实推广与销售策略。我们卖的不仅是检测工具，更是食品安全的“数字信任”。</w:t>
      </w:r>
    </w:p>
    <w:p w14:paraId="05276B4D">
      <w:pPr>
        <w:spacing w:line="279" w:lineRule="auto"/>
        <w:rPr>
          <w:rFonts w:hint="eastAsia"/>
        </w:rPr>
      </w:pPr>
    </w:p>
    <w:p w14:paraId="278DA31A">
      <w:pPr>
        <w:spacing w:line="279" w:lineRule="auto"/>
        <w:jc w:val="center"/>
        <w:rPr>
          <w:rFonts w:hint="eastAsia" w:ascii="黑体" w:hAnsi="黑体" w:eastAsia="黑体" w:cs="黑体"/>
          <w:b/>
          <w:bCs/>
          <w:sz w:val="21"/>
          <w:szCs w:val="21"/>
        </w:rPr>
      </w:pPr>
      <w:r>
        <w:rPr>
          <w:rFonts w:hint="eastAsia" w:ascii="黑体" w:hAnsi="黑体" w:eastAsia="黑体" w:cs="黑体"/>
          <w:b/>
          <w:bCs/>
          <w:sz w:val="21"/>
          <w:szCs w:val="21"/>
        </w:rPr>
        <w:t>图6-7 销售渠道 x 目标客户 覆盖矩阵</w:t>
      </w:r>
    </w:p>
    <w:p w14:paraId="40FCED96">
      <w:pPr>
        <w:spacing w:line="279" w:lineRule="auto"/>
        <w:ind w:firstLine="562" w:firstLineChars="200"/>
        <w:outlineLvl w:val="1"/>
        <w:rPr>
          <w:rFonts w:hint="eastAsia" w:ascii="黑体" w:hAnsi="黑体" w:eastAsia="黑体" w:cs="黑体"/>
          <w:b/>
          <w:sz w:val="28"/>
          <w:szCs w:val="28"/>
        </w:rPr>
      </w:pPr>
      <w:bookmarkStart w:id="131" w:name="_Toc28735"/>
      <w:r>
        <w:rPr>
          <w:rFonts w:hint="eastAsia" w:ascii="黑体" w:hAnsi="黑体" w:eastAsia="黑体" w:cs="黑体"/>
          <w:b/>
          <w:sz w:val="28"/>
          <w:szCs w:val="28"/>
        </w:rPr>
        <w:t>6.4.1 线下展会</w:t>
      </w:r>
      <w:bookmarkEnd w:id="131"/>
    </w:p>
    <w:p w14:paraId="2B453FB0">
      <w:pPr>
        <w:widowControl/>
        <w:spacing w:line="12" w:lineRule="atLeast"/>
        <w:ind w:firstLine="560" w:firstLineChars="200"/>
        <w:rPr>
          <w:rFonts w:hint="eastAsia" w:ascii="黑体" w:hAnsi="黑体" w:eastAsia="黑体" w:cs="黑体"/>
          <w:b/>
          <w:sz w:val="28"/>
          <w:szCs w:val="28"/>
        </w:rPr>
      </w:pPr>
      <w:r>
        <w:rPr>
          <w:rFonts w:ascii="宋体" w:hAnsi="宋体" w:eastAsia="宋体" w:cs="宋体"/>
          <w:sz w:val="28"/>
          <w:szCs w:val="28"/>
        </w:rPr>
        <w:t>在品牌推广的冷启动阶段，我们深知让传统食品行业接受“AI高光谱检测”需要一个破冰的过程。因此，我们的推广核心是“眼见为实”。在线下，我们将重点参与中国国际饮料工业科技展等核心行业展会。我们不会枯燥地摆设机器发传单，而是在展台直接搭建一条微缩的“高速模拟传送带”，混入几瓶色素超标的样茶，让客户亲眼看着我们的 AI 系统如何在毫秒间精准地将残次品剔除。在线上，我们将通过微信公众号等专业阵地，定期联合高校或科研院所发布《现制茶饮行业色素光谱指纹白皮书》。当行业里大家都在引用我们建立的光谱图谱标准时，我们就自然而然地掌握了最高的商业话语权。</w:t>
      </w:r>
    </w:p>
    <w:p w14:paraId="0435BDEF">
      <w:pPr>
        <w:spacing w:line="279" w:lineRule="auto"/>
        <w:ind w:firstLine="562" w:firstLineChars="200"/>
        <w:outlineLvl w:val="1"/>
        <w:rPr>
          <w:rFonts w:hint="eastAsia" w:ascii="黑体" w:hAnsi="黑体" w:eastAsia="黑体" w:cs="黑体"/>
          <w:b/>
          <w:sz w:val="28"/>
          <w:szCs w:val="28"/>
        </w:rPr>
      </w:pPr>
      <w:bookmarkStart w:id="132" w:name="_Toc2704"/>
      <w:r>
        <w:rPr>
          <w:rFonts w:hint="eastAsia" w:ascii="黑体" w:hAnsi="黑体" w:eastAsia="黑体" w:cs="黑体"/>
          <w:b/>
          <w:sz w:val="28"/>
          <w:szCs w:val="28"/>
        </w:rPr>
        <w:t>6.4.2 线上直播</w:t>
      </w:r>
      <w:bookmarkEnd w:id="132"/>
    </w:p>
    <w:p w14:paraId="4F045D14">
      <w:pPr>
        <w:spacing w:line="279" w:lineRule="auto"/>
        <w:ind w:firstLine="560" w:firstLineChars="200"/>
        <w:rPr>
          <w:rFonts w:hint="eastAsia" w:hAnsi="宋体" w:eastAsia="宋体" w:cs="宋体"/>
          <w:sz w:val="28"/>
          <w:szCs w:val="28"/>
        </w:rPr>
      </w:pPr>
      <w:r>
        <w:rPr>
          <w:rFonts w:ascii="宋体" w:hAnsi="宋体" w:eastAsia="宋体" w:cs="宋体"/>
          <w:sz w:val="28"/>
          <w:szCs w:val="28"/>
        </w:rPr>
        <w:t>为了打破传统工业品获客周期长的痛点，我们将战略级推广阵地放在了“电商直播”上。我们计划依托海南自贸港的政策优势，打造一个“线上透明质检中心”。这不仅是一个展示大厅，更是一个直接面向全网的“信任引擎”。我们邀请食品类带货主播、评测博主寄送样品，在直播镜头前进行“20秒快检挑战”。一旦某个主播使用了我们的系统自证清白并获得流量倾斜，就会引发同行的极度焦虑与效仿。这种利用“防翻车”痛点制造的跨界营销，将为我们源源不断地带入中小饮料厂和新茶饮品牌的私域销售线索。</w:t>
      </w:r>
      <w:r>
        <w:rPr>
          <w:rFonts w:hint="eastAsia" w:hAnsi="宋体" w:eastAsia="宋体" w:cs="宋体"/>
          <w:sz w:val="28"/>
          <w:szCs w:val="28"/>
        </w:rPr>
        <w:t xml:space="preserve"> </w:t>
      </w:r>
    </w:p>
    <w:p w14:paraId="4B2A0A45">
      <w:pPr>
        <w:spacing w:line="279" w:lineRule="auto"/>
        <w:ind w:firstLine="562" w:firstLineChars="200"/>
        <w:outlineLvl w:val="1"/>
        <w:rPr>
          <w:rFonts w:hint="eastAsia" w:ascii="黑体" w:hAnsi="黑体" w:eastAsia="黑体" w:cs="黑体"/>
          <w:b/>
          <w:sz w:val="28"/>
          <w:szCs w:val="28"/>
        </w:rPr>
      </w:pPr>
      <w:bookmarkStart w:id="133" w:name="_Toc16844"/>
      <w:r>
        <w:rPr>
          <w:rFonts w:hint="eastAsia" w:ascii="黑体" w:hAnsi="黑体" w:eastAsia="黑体" w:cs="黑体"/>
          <w:b/>
          <w:sz w:val="28"/>
          <w:szCs w:val="28"/>
        </w:rPr>
        <w:t>6.4.3 直销攻坚</w:t>
      </w:r>
      <w:bookmarkEnd w:id="133"/>
    </w:p>
    <w:p w14:paraId="095AD744">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在线索转化为实际订单的环节，针对头部阵营的区县级市场监督管理局（G端）和 Top 20 饮料大厂，我们采用精锐的直销团队亲自下场打标杆。面对政府监管部门，我们主打“智慧执法辅助工具”的概念，以极具性价比的方案帮助基层食药监所解决“现场取证难、周期长”的痛点。一旦设备成功进入官方政府采购目录，这就等同于拿到了最具权威性的“信任标签”。带着这种官方认可，我们再去敲开头部饮料大厂的大门。对于大厂，我们提供为期两周的免费 POC（概念验证）测试。让设备在外围跑两周，拿着实打实抓取到的“传统视觉漏检的色素异常数据报表”放在厂长面前。用这种降维打击的实测数据，顺理成章地签下高昂的 API 系统对接年费合同。</w:t>
      </w:r>
    </w:p>
    <w:p w14:paraId="431ECD84">
      <w:pPr>
        <w:spacing w:line="279" w:lineRule="auto"/>
        <w:rPr>
          <w:rFonts w:hint="eastAsia"/>
        </w:rPr>
      </w:pPr>
    </w:p>
    <w:p w14:paraId="7E544BFC">
      <w:pPr>
        <w:spacing w:line="279" w:lineRule="auto"/>
        <w:jc w:val="center"/>
        <w:rPr>
          <w:rFonts w:hint="eastAsia" w:ascii="黑体" w:hAnsi="黑体" w:eastAsia="黑体" w:cs="黑体"/>
          <w:b/>
          <w:bCs/>
          <w:sz w:val="21"/>
          <w:szCs w:val="21"/>
        </w:rPr>
      </w:pPr>
      <w:r>
        <w:rPr>
          <w:rFonts w:hint="eastAsia" w:ascii="黑体" w:hAnsi="黑体" w:eastAsia="黑体" w:cs="黑体"/>
          <w:b/>
          <w:bCs/>
          <w:sz w:val="21"/>
          <w:szCs w:val="21"/>
        </w:rPr>
        <w:t>图6-8 直销攻坚流程卡片</w:t>
      </w:r>
    </w:p>
    <w:p w14:paraId="63D2AC58">
      <w:pPr>
        <w:wordWrap w:val="0"/>
        <w:spacing w:line="279" w:lineRule="auto"/>
        <w:ind w:firstLine="562" w:firstLineChars="200"/>
        <w:outlineLvl w:val="1"/>
        <w:rPr>
          <w:rFonts w:hint="eastAsia" w:ascii="黑体" w:hAnsi="黑体" w:eastAsia="黑体" w:cs="黑体"/>
          <w:b/>
          <w:sz w:val="28"/>
          <w:szCs w:val="28"/>
        </w:rPr>
      </w:pPr>
      <w:bookmarkStart w:id="134" w:name="_Toc8766"/>
      <w:r>
        <w:rPr>
          <w:rFonts w:hint="eastAsia" w:ascii="黑体" w:hAnsi="黑体" w:eastAsia="黑体" w:cs="黑体"/>
          <w:b/>
          <w:sz w:val="28"/>
          <w:szCs w:val="28"/>
        </w:rPr>
        <w:t>6.4.4 渠道代理</w:t>
      </w:r>
      <w:bookmarkEnd w:id="134"/>
    </w:p>
    <w:p w14:paraId="57D86A53">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面对全国数以万计的下沉新茶饮门店和地方性小水厂，靠自建庞大的销售团队去地推是不现实的。我们采取“借船出海”的渠道代理模式。首先，我们不把传统的第三方检测机构（如华测、SGS的下沉网点）当作竞争对手，而是发展为紧密的合作伙伴。我们将快检终端以底价租给他们，作为他们筛查前端业务的“漏斗”：90% 合格的样品现场出结果，10% 疑似违规的样品再导流回他们的高级实验室做精准复核，形成完美的业务互补。</w:t>
      </w:r>
    </w:p>
    <w:p w14:paraId="344A0E4E">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其次，我们招募地方传统的食品机械经销商，给予极具吸引力的佣金分润（如首年 8%）。他们手里握着中小工厂老板的人脉，我们只需给他们提供这套“能让旧产线瞬间变智能的算法盒子”，他们就能在推销传统灌装机时顺手把我们的 SaaS 服务卖出去，实现轻资产状态下的极速市场扩张。</w:t>
      </w:r>
    </w:p>
    <w:p w14:paraId="1AA417B2">
      <w:pPr>
        <w:wordWrap w:val="0"/>
        <w:spacing w:line="279" w:lineRule="auto"/>
        <w:rPr>
          <w:rFonts w:hint="eastAsia"/>
        </w:rPr>
      </w:pPr>
    </w:p>
    <w:p w14:paraId="61B82300">
      <w:pPr>
        <w:wordWrap w:val="0"/>
        <w:spacing w:line="279" w:lineRule="auto"/>
        <w:jc w:val="center"/>
        <w:rPr>
          <w:rFonts w:hint="eastAsia" w:ascii="黑体" w:hAnsi="黑体" w:eastAsia="黑体" w:cs="黑体"/>
          <w:b/>
          <w:bCs/>
          <w:sz w:val="21"/>
          <w:szCs w:val="21"/>
        </w:rPr>
      </w:pPr>
      <w:r>
        <w:rPr>
          <w:rFonts w:hint="eastAsia" w:ascii="黑体" w:hAnsi="黑体" w:eastAsia="黑体" w:cs="黑体"/>
          <w:b/>
          <w:bCs/>
          <w:sz w:val="21"/>
          <w:szCs w:val="21"/>
        </w:rPr>
        <w:t>图6-9 渠道代理双路径解析</w:t>
      </w:r>
    </w:p>
    <w:p w14:paraId="11AD7572">
      <w:pPr>
        <w:wordWrap w:val="0"/>
        <w:spacing w:line="279" w:lineRule="auto"/>
        <w:jc w:val="center"/>
        <w:rPr>
          <w:rFonts w:hint="eastAsia" w:ascii="黑体" w:hAnsi="黑体" w:eastAsia="黑体" w:cs="黑体"/>
          <w:b/>
          <w:bCs/>
          <w:sz w:val="21"/>
          <w:szCs w:val="21"/>
        </w:rPr>
      </w:pPr>
    </w:p>
    <w:p w14:paraId="584278F2">
      <w:pPr>
        <w:outlineLvl w:val="0"/>
        <w:rPr>
          <w:rFonts w:hint="eastAsia" w:ascii="黑体" w:hAnsi="黑体" w:eastAsia="黑体" w:cs="黑体"/>
          <w:b/>
          <w:bCs/>
          <w:sz w:val="32"/>
          <w:szCs w:val="32"/>
        </w:rPr>
      </w:pPr>
      <w:bookmarkStart w:id="135" w:name="_Toc8754"/>
      <w:r>
        <w:rPr>
          <w:rFonts w:hint="eastAsia" w:ascii="黑体" w:hAnsi="黑体" w:eastAsia="黑体" w:cs="黑体"/>
          <w:b/>
          <w:bCs/>
          <w:sz w:val="32"/>
          <w:szCs w:val="32"/>
        </w:rPr>
        <w:t>第七章：运营策略</w:t>
      </w:r>
      <w:bookmarkEnd w:id="135"/>
    </w:p>
    <w:p w14:paraId="7BE34D14">
      <w:pPr>
        <w:outlineLvl w:val="0"/>
        <w:rPr>
          <w:rFonts w:hint="eastAsia" w:ascii="黑体" w:hAnsi="黑体" w:eastAsia="黑体" w:cs="黑体"/>
          <w:b/>
          <w:bCs/>
          <w:sz w:val="30"/>
          <w:szCs w:val="30"/>
        </w:rPr>
      </w:pPr>
      <w:r>
        <w:rPr>
          <w:rFonts w:hint="eastAsia" w:ascii="黑体" w:hAnsi="黑体" w:eastAsia="黑体" w:cs="黑体"/>
          <w:b/>
          <w:bCs/>
        </w:rPr>
        <w:tab/>
      </w:r>
      <w:bookmarkStart w:id="136" w:name="_Toc28521"/>
      <w:r>
        <w:rPr>
          <w:rFonts w:hint="eastAsia" w:ascii="黑体" w:hAnsi="黑体" w:eastAsia="黑体" w:cs="黑体"/>
          <w:b/>
          <w:bCs/>
          <w:sz w:val="30"/>
          <w:szCs w:val="30"/>
        </w:rPr>
        <w:t>7.1 运营定位与目标</w:t>
      </w:r>
      <w:bookmarkEnd w:id="136"/>
    </w:p>
    <w:p w14:paraId="43274358">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在传统的仪器制造行业，运营的终局往往是拼产能、压成本。但基于我们“软硬一体、以软为主”的商业逻辑，高光谱硬件仅仅是触达客户、获取行业真实数据的“特洛伊木马”。因此，我们将整体运营定位彻底剥离了“重资产制造”思维，确立为“轻资产、重数据、强生态”的路线。以下是我们围绕这一商业模式拆解的四大核心运营目标。</w:t>
      </w:r>
    </w:p>
    <w:p w14:paraId="2C7F3D17">
      <w:pPr>
        <w:wordWrap w:val="0"/>
        <w:spacing w:line="279" w:lineRule="auto"/>
        <w:ind w:firstLine="562" w:firstLineChars="200"/>
        <w:outlineLvl w:val="1"/>
        <w:rPr>
          <w:rFonts w:hint="eastAsia" w:ascii="黑体" w:hAnsi="黑体" w:eastAsia="黑体" w:cs="黑体"/>
          <w:b/>
          <w:sz w:val="28"/>
          <w:szCs w:val="28"/>
        </w:rPr>
      </w:pPr>
      <w:bookmarkStart w:id="137" w:name="_Toc5249"/>
      <w:r>
        <w:rPr>
          <w:rFonts w:hint="eastAsia" w:ascii="黑体" w:hAnsi="黑体" w:eastAsia="黑体" w:cs="黑体"/>
          <w:b/>
          <w:sz w:val="28"/>
          <w:szCs w:val="28"/>
        </w:rPr>
        <w:t>7.1.1 核心定位</w:t>
      </w:r>
      <w:bookmarkEnd w:id="137"/>
    </w:p>
    <w:p w14:paraId="2F5D5B84">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我们不定义自己为一家光谱相机的硬件组装厂，而是饮料行业“数字化品控大脑”的运营商。这意味着我们的日常运营主轴绝不围绕流水线和螺丝钉转，而是将全量精力和资源全天候聚焦于“现场数据的抓取、云端算法的迭代与 SaaS 服务的续费”。硬件交由生态伙伴代工，我们只牢牢握住最核心的算法标定与数据控制权。</w:t>
      </w:r>
    </w:p>
    <w:p w14:paraId="0D458E74">
      <w:pPr>
        <w:wordWrap w:val="0"/>
        <w:spacing w:line="279" w:lineRule="auto"/>
        <w:rPr>
          <w:rFonts w:hint="eastAsia"/>
        </w:rPr>
      </w:pPr>
      <w:r>
        <w:rPr>
          <w:rFonts w:hint="eastAsia"/>
        </w:rPr>
        <w:t xml:space="preserve">   </w:t>
      </w:r>
    </w:p>
    <w:p w14:paraId="6598692E">
      <w:pPr>
        <w:wordWrap w:val="0"/>
        <w:spacing w:line="279" w:lineRule="auto"/>
        <w:jc w:val="center"/>
        <w:rPr>
          <w:rFonts w:hint="eastAsia" w:ascii="黑体" w:hAnsi="黑体" w:eastAsia="黑体" w:cs="黑体"/>
          <w:b/>
          <w:bCs/>
          <w:sz w:val="21"/>
          <w:szCs w:val="21"/>
        </w:rPr>
      </w:pPr>
      <w:r>
        <w:rPr>
          <w:rFonts w:hint="eastAsia" w:ascii="黑体" w:hAnsi="黑体" w:eastAsia="黑体" w:cs="黑体"/>
          <w:b/>
          <w:bCs/>
          <w:sz w:val="21"/>
          <w:szCs w:val="21"/>
        </w:rPr>
        <w:t>图7-1 运营定位对比矩阵</w:t>
      </w:r>
    </w:p>
    <w:p w14:paraId="52290614">
      <w:pPr>
        <w:wordWrap w:val="0"/>
        <w:spacing w:line="279" w:lineRule="auto"/>
        <w:ind w:firstLine="562" w:firstLineChars="200"/>
        <w:outlineLvl w:val="1"/>
        <w:rPr>
          <w:rFonts w:hint="eastAsia" w:ascii="黑体" w:hAnsi="黑体" w:eastAsia="黑体" w:cs="黑体"/>
          <w:b/>
          <w:sz w:val="28"/>
          <w:szCs w:val="28"/>
        </w:rPr>
      </w:pPr>
      <w:bookmarkStart w:id="138" w:name="_Toc31769"/>
      <w:r>
        <w:rPr>
          <w:rFonts w:hint="eastAsia" w:ascii="黑体" w:hAnsi="黑体" w:eastAsia="黑体" w:cs="黑体"/>
          <w:b/>
          <w:sz w:val="28"/>
          <w:szCs w:val="28"/>
        </w:rPr>
        <w:t>7.1.2 数据基建</w:t>
      </w:r>
      <w:bookmarkEnd w:id="138"/>
    </w:p>
    <w:p w14:paraId="4C800308">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这是我们筑牢技术护城河的第一作战目标。硬件设备可以被轻易买到，但运转起来的“数据飞轮”是竞争对手无法跨越的壁垒。我们的首要运营任务是在一年内，通过前期租赁和试用的终端设备，收集并清洗出海量的真实生产数据，建成涵盖千万级特征向量的“复杂饮料基质与合成色素高光谱动态图谱库”。我们要通过精细化的数据运营，确保 AI 模型不仅在实验室里精准，更能从容应对下沉市场千奇百怪的茶底和果肉干扰，实现算法模型的月度级 OTA（远程升级）自进化。</w:t>
      </w:r>
    </w:p>
    <w:p w14:paraId="57E83F1D">
      <w:pPr>
        <w:wordWrap w:val="0"/>
        <w:spacing w:line="279" w:lineRule="auto"/>
        <w:ind w:firstLine="562" w:firstLineChars="200"/>
        <w:outlineLvl w:val="1"/>
        <w:rPr>
          <w:rFonts w:hint="eastAsia" w:ascii="黑体" w:hAnsi="黑体" w:eastAsia="黑体" w:cs="黑体"/>
          <w:b/>
          <w:sz w:val="28"/>
          <w:szCs w:val="28"/>
        </w:rPr>
      </w:pPr>
      <w:bookmarkStart w:id="139" w:name="_Toc1315"/>
      <w:r>
        <w:rPr>
          <w:rFonts w:hint="eastAsia" w:ascii="黑体" w:hAnsi="黑体" w:eastAsia="黑体" w:cs="黑体"/>
          <w:b/>
          <w:sz w:val="28"/>
          <w:szCs w:val="28"/>
        </w:rPr>
        <w:t>7.1.3 商业变现</w:t>
      </w:r>
      <w:bookmarkEnd w:id="139"/>
    </w:p>
    <w:p w14:paraId="7D8A7F45">
      <w:pPr>
        <w:wordWrap w:val="0"/>
        <w:spacing w:line="279" w:lineRule="auto"/>
        <w:ind w:firstLine="560" w:firstLineChars="200"/>
        <w:rPr>
          <w:rFonts w:hint="eastAsia"/>
        </w:rPr>
      </w:pPr>
      <w:r>
        <w:rPr>
          <w:rFonts w:hint="eastAsia" w:ascii="宋体" w:hAnsi="宋体" w:eastAsia="宋体" w:cs="宋体"/>
          <w:bCs/>
          <w:sz w:val="28"/>
          <w:szCs w:val="28"/>
        </w:rPr>
        <w:t>既然硬件只是低门槛获客的敲门砖，我们就必须采用成熟 SaaS 企业的“北极星指标”来严格考核运营与客户成功团队。我们不看重单台设备的一次性买卖毛利，而是将核心锁定在“年度经常性收入（ARR）”与“净收入留存率（NDR）”。具体而言，针对中小门店 1500 元/月的租赁套餐，必须通过持续的云端技术支持与防伪认证服务，确保客户留存率稳定在 85% 以上；对于支付 9 万元年费的大厂，必须通过精准的异常拦截指令与深度可视化的品控 BI 报表，证明系统的无可替代性，将企业版 API 订阅的复购率死死钉在 95% 以上。</w:t>
      </w:r>
    </w:p>
    <w:p w14:paraId="3E1A8522">
      <w:pPr>
        <w:wordWrap w:val="0"/>
        <w:spacing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图7-2 商业变现指标仪表盘</w:t>
      </w:r>
    </w:p>
    <w:p w14:paraId="0BECDDE4">
      <w:pPr>
        <w:wordWrap w:val="0"/>
        <w:spacing w:line="279" w:lineRule="auto"/>
        <w:ind w:firstLine="562" w:firstLineChars="200"/>
        <w:outlineLvl w:val="1"/>
        <w:rPr>
          <w:rFonts w:hint="eastAsia" w:ascii="黑体" w:hAnsi="黑体" w:eastAsia="黑体" w:cs="黑体"/>
          <w:b/>
          <w:sz w:val="28"/>
          <w:szCs w:val="28"/>
        </w:rPr>
      </w:pPr>
      <w:bookmarkStart w:id="140" w:name="_Toc30656"/>
      <w:r>
        <w:rPr>
          <w:rFonts w:hint="eastAsia" w:ascii="黑体" w:hAnsi="黑体" w:eastAsia="黑体" w:cs="黑体"/>
          <w:b/>
          <w:sz w:val="28"/>
          <w:szCs w:val="28"/>
        </w:rPr>
        <w:t>7.1.4 敏捷交付</w:t>
      </w:r>
      <w:bookmarkEnd w:id="140"/>
    </w:p>
    <w:p w14:paraId="5BB60434">
      <w:pPr>
        <w:wordWrap w:val="0"/>
        <w:spacing w:line="279" w:lineRule="auto"/>
        <w:ind w:firstLine="560" w:firstLineChars="200"/>
        <w:rPr>
          <w:rFonts w:hint="eastAsia"/>
        </w:rPr>
      </w:pPr>
      <w:r>
        <w:rPr>
          <w:rFonts w:hint="eastAsia" w:ascii="宋体" w:hAnsi="宋体" w:eastAsia="宋体" w:cs="宋体"/>
          <w:bCs/>
          <w:sz w:val="28"/>
          <w:szCs w:val="28"/>
        </w:rPr>
        <w:t>再前沿的技术，如果落地过重、迟迟不能验收，也会拖垮公司的现金流。因此，运营团队必须打通并捍卫两条极简的交付链路：面对下沉市场，追求绝对的“零人工实施”，通过出厂前软硬一体的深度预装与傻瓜式交互设计，确保客户收到设备“开箱即用、插电即测”；面对头部大厂几万瓶/小时的流水线，运营目标则是将“非侵入式悬停部署”的标准化进场与概念验证（POC）周期严格压缩至两周以内，用最轻盈的姿态完成与客户原有中控系统的无缝嵌合。</w:t>
      </w:r>
    </w:p>
    <w:p w14:paraId="2C232AD5">
      <w:pPr>
        <w:wordWrap w:val="0"/>
        <w:spacing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图7-3 双路径交付流程图</w:t>
      </w:r>
    </w:p>
    <w:p w14:paraId="14C1615D">
      <w:pPr>
        <w:outlineLvl w:val="0"/>
        <w:rPr>
          <w:rFonts w:hint="eastAsia" w:ascii="黑体" w:hAnsi="黑体" w:eastAsia="黑体" w:cs="黑体"/>
          <w:b/>
          <w:bCs/>
          <w:sz w:val="30"/>
          <w:szCs w:val="30"/>
        </w:rPr>
      </w:pPr>
      <w:r>
        <w:rPr>
          <w:rFonts w:hint="eastAsia" w:ascii="黑体" w:hAnsi="黑体" w:eastAsia="黑体" w:cs="黑体"/>
          <w:b/>
          <w:bCs/>
          <w:sz w:val="30"/>
          <w:szCs w:val="30"/>
        </w:rPr>
        <w:tab/>
      </w:r>
      <w:bookmarkStart w:id="141" w:name="_Toc1342"/>
      <w:r>
        <w:rPr>
          <w:rFonts w:hint="eastAsia" w:ascii="黑体" w:hAnsi="黑体" w:eastAsia="黑体" w:cs="黑体"/>
          <w:b/>
          <w:bCs/>
          <w:sz w:val="30"/>
          <w:szCs w:val="30"/>
        </w:rPr>
        <w:t>7.2 阶段运营</w:t>
      </w:r>
      <w:bookmarkEnd w:id="141"/>
    </w:p>
    <w:p w14:paraId="789FA39A">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结合我们的轻资产 SaaS 战略，我们将未来五年的产品化与商业化路径划分为四个递进式的运营阶段，确保每一步都稳扎稳打，让数据飞轮在可控的节奏中越转越快。</w:t>
      </w:r>
    </w:p>
    <w:p w14:paraId="0763A357">
      <w:pPr>
        <w:wordWrap w:val="0"/>
        <w:spacing w:line="279" w:lineRule="auto"/>
        <w:ind w:firstLine="562" w:firstLineChars="200"/>
        <w:outlineLvl w:val="1"/>
        <w:rPr>
          <w:rFonts w:hint="eastAsia" w:ascii="黑体" w:hAnsi="黑体" w:eastAsia="黑体" w:cs="黑体"/>
          <w:b/>
          <w:sz w:val="28"/>
          <w:szCs w:val="28"/>
        </w:rPr>
      </w:pPr>
      <w:bookmarkStart w:id="142" w:name="_Toc29161"/>
      <w:r>
        <w:rPr>
          <w:rFonts w:hint="eastAsia" w:ascii="黑体" w:hAnsi="黑体" w:eastAsia="黑体" w:cs="黑体"/>
          <w:b/>
          <w:sz w:val="28"/>
          <w:szCs w:val="28"/>
        </w:rPr>
        <w:t>7.2.1 第一阶段：研发筑基（0-1年）</w:t>
      </w:r>
      <w:bookmarkEnd w:id="142"/>
    </w:p>
    <w:p w14:paraId="2A2B8302">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 xml:space="preserve">我们深知，实验室里跑通的算法在真实的工厂环境中极易“水土不服”。因此，本阶段的运营核心是“走出现有实验台，穷尽真实干扰项”。 </w:t>
      </w:r>
    </w:p>
    <w:p w14:paraId="7D9D1FFA">
      <w:pPr>
        <w:wordWrap w:val="0"/>
        <w:spacing w:line="279" w:lineRule="auto"/>
        <w:ind w:firstLine="560" w:firstLineChars="200"/>
        <w:rPr>
          <w:rFonts w:hint="eastAsia" w:ascii="黑体" w:hAnsi="黑体" w:eastAsia="黑体" w:cs="黑体"/>
          <w:b/>
          <w:sz w:val="28"/>
          <w:szCs w:val="28"/>
        </w:rPr>
      </w:pPr>
      <w:r>
        <w:rPr>
          <w:rFonts w:hint="eastAsia" w:ascii="宋体" w:hAnsi="宋体" w:eastAsia="宋体" w:cs="宋体"/>
          <w:bCs/>
          <w:sz w:val="28"/>
          <w:szCs w:val="28"/>
        </w:rPr>
        <w:t>我们将从现有的武夷工夫红茶基质出发，密集采集市售主流的果汁、植物蛋白饮品以及含有果肉、珍珠等复杂悬浮物的现制茶饮样本。运营团队将在这个阶段扮演“数据清道夫”的角色，配合研发端穷尽各种光照、温湿度和容器壁厚度下的光谱变异，彻底锁死 DFA-MSC-Lasso 算法的核心参数。同时，我们将在内部闭环完成初代边缘计算盒子（MVP）的软硬联调，为真正走向市场蓄满第一批具有抗干扰能力的底层特征图谱库。</w:t>
      </w:r>
    </w:p>
    <w:p w14:paraId="5D86429B">
      <w:pPr>
        <w:wordWrap w:val="0"/>
        <w:spacing w:line="279" w:lineRule="auto"/>
        <w:ind w:firstLine="562" w:firstLineChars="200"/>
        <w:outlineLvl w:val="1"/>
        <w:rPr>
          <w:rFonts w:hint="eastAsia" w:ascii="黑体" w:hAnsi="黑体" w:eastAsia="黑体" w:cs="黑体"/>
          <w:b/>
          <w:sz w:val="28"/>
          <w:szCs w:val="28"/>
        </w:rPr>
      </w:pPr>
      <w:bookmarkStart w:id="143" w:name="_Toc10930"/>
      <w:r>
        <w:rPr>
          <w:rFonts w:hint="eastAsia" w:ascii="黑体" w:hAnsi="黑体" w:eastAsia="黑体" w:cs="黑体"/>
          <w:b/>
          <w:sz w:val="28"/>
          <w:szCs w:val="28"/>
        </w:rPr>
        <w:t>7.2.2 第二阶段：标杆破冰（第2年）</w:t>
      </w:r>
      <w:bookmarkEnd w:id="143"/>
    </w:p>
    <w:p w14:paraId="2FE0EE90">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 xml:space="preserve">当底层模型具备泛化能力后，我们将开启商业冷启动。这一阶段我们绝对不碰大批量制造，而是采用全手工组装的几台工程样机去“打硬仗”。 </w:t>
      </w:r>
    </w:p>
    <w:p w14:paraId="1E7EA3F8">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我们的精锐直销团队将兵分两路：一路带着设备走进 Top 20 的头部饮料大厂，通过长达数周的免费概念验证，在真实的高速流水线上证明我们不仅能测准，还能不干扰他们原有的生产节拍，从而拿下第一批极具说服力的“无感式产线嵌合”标杆案例；另一路则切入电商直播间与基层食药监局，推出“防翻车短租包”与便携执法终端。用这种轻量级的切入方式，在最短时间内赚取第一笔现金流，并在真实的商业下沉环境中回收第一批异常光谱数据，启动我们的 AI 飞轮。</w:t>
      </w:r>
    </w:p>
    <w:p w14:paraId="703D271B">
      <w:pPr>
        <w:wordWrap w:val="0"/>
        <w:spacing w:line="279" w:lineRule="auto"/>
        <w:ind w:firstLine="562" w:firstLineChars="200"/>
        <w:outlineLvl w:val="1"/>
        <w:rPr>
          <w:rFonts w:hint="eastAsia" w:ascii="黑体" w:hAnsi="黑体" w:eastAsia="黑体" w:cs="黑体"/>
          <w:b/>
          <w:sz w:val="28"/>
          <w:szCs w:val="28"/>
        </w:rPr>
      </w:pPr>
      <w:bookmarkStart w:id="144" w:name="_Toc2399"/>
      <w:r>
        <w:rPr>
          <w:rFonts w:hint="eastAsia" w:ascii="黑体" w:hAnsi="黑体" w:eastAsia="黑体" w:cs="黑体"/>
          <w:b/>
          <w:sz w:val="28"/>
          <w:szCs w:val="28"/>
        </w:rPr>
        <w:t>7.2.3 第三阶段：全面放量（第3-4年）</w:t>
      </w:r>
      <w:bookmarkEnd w:id="144"/>
    </w:p>
    <w:p w14:paraId="3C9E64F6">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手握头部大厂的实测报告和基层市场的口碑后，我们将正式启动“规模化杠杆”。在供应链运营上，我们将标准化的外壳模具和通用元器件全面移交给长三角/珠三角的OEM代工厂进行柔性量产，内部仅保留核心板卡的加密烧录。在市场运营上，全面激活产品策略中规划的“渠道代理与第三方检测机构”网络，将设备以极低的租赁门槛铺向全国数以万计的新茶饮门店和中小水厂。此时，公司的营收结构将发生根本性逆转——硬件租赁收入退居二线，高毛利的 SaaS 算法年费与 API 调用费将迎来指数级爆发，成为我们真正的利润引擎。</w:t>
      </w:r>
    </w:p>
    <w:p w14:paraId="773730C1">
      <w:pPr>
        <w:wordWrap w:val="0"/>
        <w:spacing w:line="279" w:lineRule="auto"/>
        <w:ind w:firstLine="562" w:firstLineChars="200"/>
        <w:outlineLvl w:val="1"/>
        <w:rPr>
          <w:rFonts w:hint="eastAsia" w:ascii="黑体" w:hAnsi="黑体" w:eastAsia="黑体" w:cs="黑体"/>
          <w:b/>
          <w:sz w:val="28"/>
          <w:szCs w:val="28"/>
        </w:rPr>
      </w:pPr>
      <w:bookmarkStart w:id="145" w:name="_Toc19887"/>
      <w:r>
        <w:rPr>
          <w:rFonts w:hint="eastAsia" w:ascii="黑体" w:hAnsi="黑体" w:eastAsia="黑体" w:cs="黑体"/>
          <w:b/>
          <w:sz w:val="28"/>
          <w:szCs w:val="28"/>
        </w:rPr>
        <w:t>7.2.4 第四阶段：生态垄断（第5年及以后）</w:t>
      </w:r>
      <w:bookmarkEnd w:id="145"/>
    </w:p>
    <w:p w14:paraId="3805B751">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 xml:space="preserve">当全国数千条产线和上万家门店都在使用我们的检测大脑时，我们就不再是一家提供检测工具的公司，而是掌握了中国饮料行业底层品控数据的“数据寡头”。 </w:t>
      </w:r>
    </w:p>
    <w:p w14:paraId="2684840D">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在此阶段，我们的运营重心将上升到“行业话语权的争夺”。我们将依托全网实时更新的、体量最庞大的色素光谱特征库，联合国家食品安全科研院所、顶尖高校及行业协会，共同发布《高光谱色素检测白皮书》，甚至推动其成为补充甚至替代传统色谱法的新型团体标准或行业标准。一旦我们将自己建立的图谱库变成了全行业的“度量衡”，竞争对手就算逆向破解了我们的硬件，也永远无法撼动我们在这个赛道的生态统治力。</w:t>
      </w:r>
    </w:p>
    <w:p w14:paraId="0A954B2A">
      <w:pPr>
        <w:wordWrap w:val="0"/>
        <w:spacing w:line="279" w:lineRule="auto"/>
        <w:ind w:firstLine="440" w:firstLineChars="200"/>
        <w:rPr>
          <w:rFonts w:hint="eastAsia"/>
        </w:rPr>
      </w:pPr>
    </w:p>
    <w:p w14:paraId="1046F380">
      <w:pPr>
        <w:wordWrap w:val="0"/>
        <w:spacing w:line="279" w:lineRule="auto"/>
        <w:ind w:firstLine="422" w:firstLineChars="200"/>
        <w:jc w:val="center"/>
        <w:rPr>
          <w:rFonts w:hint="eastAsia"/>
        </w:rPr>
      </w:pPr>
      <w:r>
        <w:rPr>
          <w:rFonts w:hint="eastAsia" w:ascii="黑体" w:hAnsi="黑体" w:eastAsia="黑体" w:cs="黑体"/>
          <w:b/>
          <w:bCs/>
          <w:sz w:val="21"/>
          <w:szCs w:val="21"/>
        </w:rPr>
        <w:t>图7-4 五年阶段演进时间轴</w:t>
      </w:r>
    </w:p>
    <w:p w14:paraId="4B082A3A">
      <w:pPr>
        <w:outlineLvl w:val="0"/>
        <w:rPr>
          <w:rFonts w:hint="eastAsia" w:ascii="黑体" w:hAnsi="黑体" w:eastAsia="黑体" w:cs="黑体"/>
          <w:b/>
          <w:bCs/>
          <w:sz w:val="30"/>
          <w:szCs w:val="30"/>
        </w:rPr>
      </w:pPr>
      <w:r>
        <w:rPr>
          <w:rFonts w:hint="eastAsia" w:ascii="黑体" w:hAnsi="黑体" w:eastAsia="黑体" w:cs="黑体"/>
          <w:b/>
          <w:bCs/>
          <w:sz w:val="30"/>
          <w:szCs w:val="30"/>
        </w:rPr>
        <w:tab/>
      </w:r>
      <w:bookmarkStart w:id="146" w:name="_Toc7108"/>
      <w:r>
        <w:rPr>
          <w:rFonts w:hint="eastAsia" w:ascii="黑体" w:hAnsi="黑体" w:eastAsia="黑体" w:cs="黑体"/>
          <w:b/>
          <w:bCs/>
          <w:sz w:val="30"/>
          <w:szCs w:val="30"/>
        </w:rPr>
        <w:t>7.3 运营模块</w:t>
      </w:r>
      <w:bookmarkEnd w:id="146"/>
    </w:p>
    <w:p w14:paraId="566B18BF">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在明确轻资产阶段性战略后，需构建与之匹配的精益化运营体系。运营考核不采用传统制造企业的生产与良率指标，而是建立以 SaaS 续费和数据资产为核心的运营中枢，由四个运营模块组成。</w:t>
      </w:r>
    </w:p>
    <w:p w14:paraId="178606FC">
      <w:pPr>
        <w:ind w:firstLine="419"/>
        <w:outlineLvl w:val="1"/>
        <w:rPr>
          <w:rFonts w:hint="eastAsia" w:ascii="黑体" w:hAnsi="黑体" w:eastAsia="黑体" w:cs="黑体"/>
          <w:b/>
          <w:bCs/>
          <w:sz w:val="30"/>
          <w:szCs w:val="30"/>
        </w:rPr>
      </w:pPr>
      <w:bookmarkStart w:id="147" w:name="_Toc24375"/>
      <w:r>
        <w:rPr>
          <w:rFonts w:hint="eastAsia" w:ascii="黑体" w:hAnsi="黑体" w:eastAsia="黑体" w:cs="黑体"/>
          <w:b/>
          <w:bCs/>
          <w:sz w:val="30"/>
          <w:szCs w:val="30"/>
        </w:rPr>
        <w:t>7.3.1 供应链运营</w:t>
      </w:r>
      <w:bookmarkEnd w:id="147"/>
    </w:p>
    <w:p w14:paraId="68BD7EDB">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在硬件交付上，供应链运营团队负责标准制定与生产调度。外壳压铸、基础显示屏等标准化组件交由长三角和珠三角的代工厂进行模块化生产，并保持两到三家备用供应商以对冲供应风险。</w:t>
      </w:r>
    </w:p>
    <w:p w14:paraId="133070FA">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核心边缘计算主板在公司内部安全无尘室完成加密烧录。每台设备配置独立的非对称加密密钥，算法与硬件深度绑定。设备遭遇暴力拆解或非法刷机时，主板将触发防篡改机制并清除核心数据。通过外部生产与核心加密分离的运营模式，在降低 BOM 成本的同时有效保护技术安全。</w:t>
      </w:r>
    </w:p>
    <w:p w14:paraId="21F080F0">
      <w:pPr>
        <w:wordWrap w:val="0"/>
        <w:spacing w:line="279" w:lineRule="auto"/>
        <w:ind w:firstLine="560" w:firstLineChars="200"/>
        <w:rPr>
          <w:rFonts w:hint="eastAsia" w:ascii="宋体" w:hAnsi="宋体" w:eastAsia="宋体" w:cs="宋体"/>
          <w:bCs/>
          <w:sz w:val="28"/>
          <w:szCs w:val="28"/>
        </w:rPr>
      </w:pPr>
    </w:p>
    <w:p w14:paraId="15B6D02C">
      <w:pPr>
        <w:wordWrap w:val="0"/>
        <w:spacing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图7-1 软硬解耦与“黑盒”加密交付流程图</w:t>
      </w:r>
    </w:p>
    <w:p w14:paraId="2A783835">
      <w:pPr>
        <w:ind w:firstLine="419"/>
        <w:outlineLvl w:val="1"/>
        <w:rPr>
          <w:rFonts w:hint="eastAsia" w:ascii="黑体" w:hAnsi="黑体" w:eastAsia="黑体" w:cs="黑体"/>
          <w:b/>
          <w:bCs/>
          <w:sz w:val="30"/>
          <w:szCs w:val="30"/>
        </w:rPr>
      </w:pPr>
      <w:bookmarkStart w:id="148" w:name="_Toc4630"/>
      <w:r>
        <w:rPr>
          <w:rFonts w:hint="eastAsia" w:ascii="黑体" w:hAnsi="黑体" w:eastAsia="黑体" w:cs="黑体"/>
          <w:b/>
          <w:bCs/>
          <w:sz w:val="30"/>
          <w:szCs w:val="30"/>
        </w:rPr>
        <w:t>7.3.2 客户运营</w:t>
      </w:r>
      <w:bookmarkEnd w:id="148"/>
    </w:p>
    <w:p w14:paraId="0CFA0209">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对于 MaaS/SaaS 模式，设备租赁或 API 销售仅是商业合作的基础，客户留存率是核心风险指标。传统售后部门升级为承担营收指标的客户成功团队。</w:t>
      </w:r>
    </w:p>
    <w:p w14:paraId="546475BC">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针对下沉市场门店，采用自动化运营模式。客户成功团队通过云端仪表盘监控设备在线率与报错率，系统自动推送校准指导视频，引导店员快速自行解决，降低维保人工成本。针对头部企业客户，提供深度数据服务支持。专属品控数据分析师按季度提交《产线色素波动异常诊断报告》，帮助客户识别不合格产品及上游供应商问题。该服务模式是企业版客户净收入留存率维持在 110% 以上的核心保障。</w:t>
      </w:r>
    </w:p>
    <w:p w14:paraId="68750770">
      <w:pPr>
        <w:wordWrap w:val="0"/>
        <w:spacing w:line="279" w:lineRule="auto"/>
        <w:ind w:firstLine="560" w:firstLineChars="200"/>
        <w:rPr>
          <w:rFonts w:hint="eastAsia" w:ascii="宋体" w:hAnsi="宋体" w:eastAsia="宋体" w:cs="宋体"/>
          <w:bCs/>
          <w:sz w:val="28"/>
          <w:szCs w:val="28"/>
        </w:rPr>
      </w:pPr>
    </w:p>
    <w:p w14:paraId="65A4590D">
      <w:pPr>
        <w:ind w:firstLine="419"/>
        <w:jc w:val="center"/>
        <w:rPr>
          <w:rFonts w:hint="eastAsia" w:ascii="黑体" w:hAnsi="黑体" w:eastAsia="黑体" w:cs="黑体"/>
          <w:b/>
          <w:bCs/>
          <w:sz w:val="21"/>
          <w:szCs w:val="21"/>
        </w:rPr>
      </w:pPr>
      <w:r>
        <w:rPr>
          <w:rFonts w:hint="eastAsia" w:ascii="黑体" w:hAnsi="黑体" w:eastAsia="黑体" w:cs="黑体"/>
          <w:b/>
          <w:bCs/>
          <w:sz w:val="21"/>
          <w:szCs w:val="21"/>
        </w:rPr>
        <w:t>图7-2 客户生命周期与 NDR 增长模型图</w:t>
      </w:r>
    </w:p>
    <w:p w14:paraId="7E67E392">
      <w:pPr>
        <w:ind w:firstLine="419"/>
        <w:outlineLvl w:val="1"/>
        <w:rPr>
          <w:rFonts w:hint="eastAsia" w:ascii="黑体" w:hAnsi="黑体" w:eastAsia="黑体" w:cs="黑体"/>
          <w:b/>
          <w:sz w:val="28"/>
          <w:szCs w:val="28"/>
        </w:rPr>
      </w:pPr>
      <w:bookmarkStart w:id="149" w:name="_Toc12023"/>
      <w:r>
        <w:rPr>
          <w:rFonts w:hint="eastAsia" w:ascii="黑体" w:hAnsi="黑体" w:eastAsia="黑体" w:cs="黑体"/>
          <w:b/>
          <w:sz w:val="28"/>
          <w:szCs w:val="28"/>
        </w:rPr>
        <w:t>7.3.3 数据资产运营</w:t>
      </w:r>
      <w:bookmarkEnd w:id="149"/>
    </w:p>
    <w:p w14:paraId="7419A56C">
      <w:pPr>
        <w:wordWrap w:val="0"/>
        <w:spacing w:line="279" w:lineRule="auto"/>
        <w:ind w:firstLine="560" w:firstLineChars="200"/>
        <w:rPr>
          <w:rFonts w:hint="eastAsia"/>
        </w:rPr>
      </w:pPr>
      <w:r>
        <w:rPr>
          <w:rFonts w:hint="eastAsia" w:ascii="宋体" w:hAnsi="宋体" w:eastAsia="宋体" w:cs="宋体"/>
          <w:bCs/>
          <w:sz w:val="28"/>
          <w:szCs w:val="28"/>
        </w:rPr>
        <w:t>硬件是行业数据采集终端，算法持续优化是数据运营团队的核心目标。数据采集采用严格筛选规则：全国设备每日产生大量检测数据，仅置信度低于 90%、处于合格与违规边缘的低置信度光谱向量经加密脱敏后传回云端。</w:t>
      </w:r>
    </w:p>
    <w:p w14:paraId="49868528">
      <w:pPr>
        <w:wordWrap w:val="0"/>
        <w:spacing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图7-3 异常光谱捕获与 OTA 反哺闭环图</w:t>
      </w:r>
    </w:p>
    <w:p w14:paraId="6ABC82DC">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专业标注团队对复杂特征样本进行人工标注，输入至多任务深度学习模型进行训练。运营团队每月规划一次 OTA 静默升级，将优化后的算法推送至全网终端，使客户设备能够识别新型违规色素。</w:t>
      </w:r>
    </w:p>
    <w:p w14:paraId="614300A6">
      <w:pPr>
        <w:ind w:firstLine="419"/>
        <w:outlineLvl w:val="1"/>
        <w:rPr>
          <w:rFonts w:hint="eastAsia" w:ascii="黑体" w:hAnsi="黑体" w:eastAsia="黑体" w:cs="黑体"/>
          <w:b/>
          <w:sz w:val="28"/>
          <w:szCs w:val="28"/>
        </w:rPr>
      </w:pPr>
      <w:bookmarkStart w:id="150" w:name="_Toc19594"/>
      <w:r>
        <w:rPr>
          <w:rFonts w:hint="eastAsia" w:ascii="黑体" w:hAnsi="黑体" w:eastAsia="黑体" w:cs="黑体"/>
          <w:b/>
          <w:sz w:val="28"/>
          <w:szCs w:val="28"/>
        </w:rPr>
        <w:t>7.3.4 渠道赋能运营</w:t>
      </w:r>
      <w:bookmarkEnd w:id="150"/>
    </w:p>
    <w:p w14:paraId="2F649176">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为支持渠道合作销售策略，渠道运营需提供差异化竞争优势。针对传统食品机械经销商对深度学习技术理解有限的情况，提供标准化演示工具包。</w:t>
      </w:r>
    </w:p>
    <w:p w14:paraId="5E561ED7">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业务员携带便携主机与标准色素样本进行现场演示，软件可在数秒内生成对比报告，五分钟内完成盲测演示，帮助代理商提高订单转化率。后端开发透明的代理商赋能平台，设备产生 SaaS 收益后，系统依据合约在 T+1 日自动结算佣金至代理商账户。通过高效的结算体验与简易化的销售工具，与地推团队建立稳定合作关系。</w:t>
      </w:r>
    </w:p>
    <w:p w14:paraId="3620B496">
      <w:pPr>
        <w:wordWrap w:val="0"/>
        <w:spacing w:line="279" w:lineRule="auto"/>
        <w:outlineLvl w:val="0"/>
        <w:rPr>
          <w:rFonts w:hint="eastAsia" w:ascii="黑体" w:hAnsi="黑体" w:eastAsia="黑体" w:cs="黑体"/>
          <w:b/>
          <w:sz w:val="32"/>
          <w:szCs w:val="32"/>
        </w:rPr>
      </w:pPr>
      <w:bookmarkStart w:id="151" w:name="_Toc2050"/>
      <w:r>
        <w:rPr>
          <w:rFonts w:hint="eastAsia" w:ascii="黑体" w:hAnsi="黑体" w:eastAsia="黑体" w:cs="黑体"/>
          <w:b/>
          <w:sz w:val="32"/>
          <w:szCs w:val="32"/>
        </w:rPr>
        <w:t>第九章：财务预测</w:t>
      </w:r>
      <w:bookmarkEnd w:id="151"/>
    </w:p>
    <w:p w14:paraId="7A6998E5">
      <w:pPr>
        <w:wordWrap w:val="0"/>
        <w:spacing w:line="279" w:lineRule="auto"/>
        <w:ind w:firstLine="602" w:firstLineChars="200"/>
        <w:outlineLvl w:val="0"/>
        <w:rPr>
          <w:rFonts w:hint="eastAsia" w:ascii="黑体" w:hAnsi="黑体" w:eastAsia="黑体" w:cs="黑体"/>
          <w:b/>
          <w:bCs/>
          <w:sz w:val="30"/>
          <w:szCs w:val="30"/>
        </w:rPr>
      </w:pPr>
      <w:bookmarkStart w:id="152" w:name="_Toc20370"/>
      <w:r>
        <w:rPr>
          <w:rFonts w:hint="eastAsia" w:ascii="黑体" w:hAnsi="黑体" w:eastAsia="黑体" w:cs="黑体"/>
          <w:b/>
          <w:bCs/>
          <w:sz w:val="30"/>
          <w:szCs w:val="30"/>
        </w:rPr>
        <w:t>9.1 财务假设前提</w:t>
      </w:r>
      <w:bookmarkEnd w:id="152"/>
    </w:p>
    <w:p w14:paraId="034C17B1">
      <w:pPr>
        <w:wordWrap w:val="0"/>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财务假设是整个模型的“地基”，任何假设的偏差都会在五年维度上被放大。以下假设均有明确的逻辑来源，并非拍脑袋设定。</w:t>
      </w:r>
    </w:p>
    <w:p w14:paraId="5535D800">
      <w:pPr>
        <w:spacing w:line="279" w:lineRule="auto"/>
        <w:ind w:firstLine="562" w:firstLineChars="200"/>
        <w:outlineLvl w:val="1"/>
        <w:rPr>
          <w:rFonts w:hint="eastAsia" w:ascii="黑体" w:hAnsi="黑体" w:eastAsia="黑体" w:cs="黑体"/>
          <w:b/>
          <w:sz w:val="28"/>
          <w:szCs w:val="28"/>
        </w:rPr>
      </w:pPr>
      <w:r>
        <w:rPr>
          <w:rFonts w:hint="eastAsia" w:ascii="黑体" w:hAnsi="黑体" w:eastAsia="黑体" w:cs="黑体"/>
          <w:b/>
          <w:sz w:val="28"/>
          <w:szCs w:val="28"/>
        </w:rPr>
        <w:t>9.1.1 宏观与市场假设</w:t>
      </w:r>
    </w:p>
    <w:p w14:paraId="0DFADAAD">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本预测基于以下宏观环境判断：中国工业机器视觉市场2024年规模已达268.3亿元，CAGR超过30%；全球食品饮料安全检测市场以8.25%的CAGR扩张至2034年；国内饮料产量年均超1.8亿吨，GB 2760监管持续收紧。这三重驱动力为本项目提供了充分的市场空间支撑，预计项目可寻址市场（SAM）在中国境内约为15~20亿元/年（含设备+SaaS）。</w:t>
      </w:r>
    </w:p>
    <w:p w14:paraId="75A5A020">
      <w:pPr>
        <w:widowControl w:val="0"/>
        <w:spacing w:after="160" w:line="279" w:lineRule="auto"/>
        <w:ind w:firstLine="560" w:firstLineChars="200"/>
        <w:rPr>
          <w:rFonts w:hint="eastAsia" w:ascii="宋体" w:hAnsi="宋体" w:eastAsia="宋体" w:cs="宋体"/>
          <w:bCs/>
          <w:kern w:val="2"/>
          <w:sz w:val="28"/>
          <w:szCs w:val="28"/>
          <w:lang w:val="en-US" w:eastAsia="zh-CN" w:bidi="ar-SA"/>
        </w:rPr>
      </w:pPr>
      <w:r>
        <w:rPr>
          <w:rFonts w:hint="eastAsia" w:ascii="宋体" w:hAnsi="宋体" w:eastAsia="宋体" w:cs="宋体"/>
          <w:bCs/>
          <w:kern w:val="2"/>
          <w:sz w:val="28"/>
          <w:szCs w:val="28"/>
          <w:lang w:val="en-US" w:eastAsia="zh-CN" w:bidi="ar-SA"/>
        </w:rPr>
        <w:t>SAM（可寻址市场）推导逻辑：</w:t>
      </w:r>
    </w:p>
    <w:p w14:paraId="666A2538">
      <w:pPr>
        <w:keepNext w:val="0"/>
        <w:keepLines w:val="0"/>
        <w:pageBreakBefore w:val="0"/>
        <w:widowControl w:val="0"/>
        <w:numPr>
          <w:ilvl w:val="0"/>
          <w:numId w:val="0"/>
        </w:numPr>
        <w:kinsoku/>
        <w:wordWrap/>
        <w:overflowPunct/>
        <w:topLinePunct w:val="0"/>
        <w:autoSpaceDE/>
        <w:autoSpaceDN/>
        <w:bidi w:val="0"/>
        <w:adjustRightInd/>
        <w:snapToGrid/>
        <w:spacing w:after="160" w:line="279" w:lineRule="auto"/>
        <w:ind w:leftChars="-200" w:firstLine="560" w:firstLineChars="200"/>
        <w:textAlignment w:val="auto"/>
        <w:rPr>
          <w:rFonts w:hint="eastAsia" w:ascii="宋体" w:hAnsi="宋体" w:eastAsia="宋体" w:cs="宋体"/>
          <w:bCs/>
          <w:kern w:val="2"/>
          <w:sz w:val="28"/>
          <w:szCs w:val="28"/>
          <w:lang w:val="en-US" w:eastAsia="zh-CN" w:bidi="ar-SA"/>
        </w:rPr>
      </w:pPr>
      <w:r>
        <w:rPr>
          <w:rFonts w:hint="eastAsia" w:ascii="宋体" w:hAnsi="宋体" w:eastAsia="宋体" w:cs="宋体"/>
          <w:bCs/>
          <w:kern w:val="2"/>
          <w:sz w:val="28"/>
          <w:szCs w:val="28"/>
          <w:lang w:val="en-US" w:eastAsia="zh-CN" w:bidi="ar-SA"/>
        </w:rPr>
        <w:t>（1）设备市场：国内饮料生产企业约 1.2 万家（规模以上 + 中小厂商），按年均每厂新增 1~1.5 台检测设备（便携 + 在线式），单台均价 8~10 万元，设备市场规模 = 1.2 万 ×1.2 台 ×9 万 = 12.96 亿元 / 年；</w:t>
      </w:r>
    </w:p>
    <w:p w14:paraId="7757A601">
      <w:pPr>
        <w:keepNext w:val="0"/>
        <w:keepLines w:val="0"/>
        <w:pageBreakBefore w:val="0"/>
        <w:widowControl w:val="0"/>
        <w:numPr>
          <w:ilvl w:val="0"/>
          <w:numId w:val="0"/>
        </w:numPr>
        <w:kinsoku/>
        <w:wordWrap/>
        <w:overflowPunct/>
        <w:topLinePunct w:val="0"/>
        <w:autoSpaceDE/>
        <w:autoSpaceDN/>
        <w:bidi w:val="0"/>
        <w:adjustRightInd/>
        <w:snapToGrid/>
        <w:spacing w:after="160" w:line="279" w:lineRule="auto"/>
        <w:ind w:leftChars="-200" w:firstLine="560" w:firstLineChars="200"/>
        <w:textAlignment w:val="auto"/>
        <w:rPr>
          <w:rFonts w:hint="eastAsia" w:ascii="宋体" w:hAnsi="宋体" w:eastAsia="宋体" w:cs="宋体"/>
          <w:bCs/>
          <w:kern w:val="2"/>
          <w:sz w:val="28"/>
          <w:szCs w:val="28"/>
          <w:lang w:val="en-US" w:eastAsia="zh-CN" w:bidi="ar-SA"/>
        </w:rPr>
      </w:pPr>
      <w:r>
        <w:rPr>
          <w:rFonts w:hint="eastAsia" w:ascii="宋体" w:hAnsi="宋体" w:eastAsia="宋体" w:cs="宋体"/>
          <w:bCs/>
          <w:kern w:val="2"/>
          <w:sz w:val="28"/>
          <w:szCs w:val="28"/>
          <w:lang w:val="en-US" w:eastAsia="zh-CN" w:bidi="ar-SA"/>
        </w:rPr>
        <w:t>（2）SaaS 市场：按设备渗透率 30%、SaaS 转化率 60%、加权年费 3.85 万元，SaaS 市场规模 = 1.2 万 ×1.2 台 ×30%×60%×3.85 万≈3.1 亿元 / 年；</w:t>
      </w:r>
    </w:p>
    <w:p w14:paraId="39A1273F">
      <w:pPr>
        <w:keepNext w:val="0"/>
        <w:keepLines w:val="0"/>
        <w:pageBreakBefore w:val="0"/>
        <w:widowControl w:val="0"/>
        <w:numPr>
          <w:ilvl w:val="0"/>
          <w:numId w:val="0"/>
        </w:numPr>
        <w:kinsoku/>
        <w:wordWrap/>
        <w:overflowPunct/>
        <w:topLinePunct w:val="0"/>
        <w:autoSpaceDE/>
        <w:autoSpaceDN/>
        <w:bidi w:val="0"/>
        <w:adjustRightInd/>
        <w:snapToGrid/>
        <w:spacing w:after="160" w:line="279" w:lineRule="auto"/>
        <w:ind w:leftChars="-200" w:firstLine="560" w:firstLineChars="200"/>
        <w:textAlignment w:val="auto"/>
        <w:rPr>
          <w:rFonts w:hint="eastAsia" w:ascii="宋体" w:hAnsi="宋体" w:eastAsia="宋体" w:cs="宋体"/>
          <w:bCs/>
          <w:kern w:val="2"/>
          <w:sz w:val="28"/>
          <w:szCs w:val="28"/>
          <w:lang w:val="en-US" w:eastAsia="zh-CN" w:bidi="ar-SA"/>
        </w:rPr>
      </w:pPr>
      <w:r>
        <w:rPr>
          <w:rFonts w:hint="eastAsia" w:ascii="宋体" w:hAnsi="宋体" w:eastAsia="宋体" w:cs="宋体"/>
          <w:bCs/>
          <w:kern w:val="2"/>
          <w:sz w:val="28"/>
          <w:szCs w:val="28"/>
          <w:lang w:val="en-US" w:eastAsia="zh-CN" w:bidi="ar-SA"/>
        </w:rPr>
        <w:t>（3）合计 SAM=12.96+3.1≈16.06 亿元 / 年，对应 15~20 亿元区间，数据严谨。</w:t>
      </w:r>
    </w:p>
    <w:p w14:paraId="6B096D47">
      <w:pPr>
        <w:spacing w:line="279" w:lineRule="auto"/>
        <w:ind w:firstLine="560" w:firstLineChars="200"/>
        <w:rPr>
          <w:rFonts w:hint="eastAsia" w:ascii="宋体" w:hAnsi="宋体" w:eastAsia="宋体" w:cs="宋体"/>
          <w:bCs/>
          <w:sz w:val="28"/>
          <w:szCs w:val="28"/>
        </w:rPr>
      </w:pPr>
    </w:p>
    <w:p w14:paraId="27BCE1B9">
      <w:pPr>
        <w:spacing w:line="279" w:lineRule="auto"/>
        <w:ind w:firstLine="562" w:firstLineChars="200"/>
        <w:outlineLvl w:val="1"/>
        <w:rPr>
          <w:rFonts w:hint="eastAsia" w:ascii="黑体" w:hAnsi="黑体" w:eastAsia="黑体" w:cs="黑体"/>
          <w:b/>
          <w:sz w:val="28"/>
          <w:szCs w:val="28"/>
        </w:rPr>
      </w:pPr>
      <w:r>
        <w:rPr>
          <w:rFonts w:hint="eastAsia" w:ascii="黑体" w:hAnsi="黑体" w:eastAsia="黑体" w:cs="黑体"/>
          <w:b/>
          <w:sz w:val="28"/>
          <w:szCs w:val="28"/>
        </w:rPr>
        <w:t>9.1.2 收入驱动假设（核心变量）</w:t>
      </w:r>
    </w:p>
    <w:p w14:paraId="5AC93ED3">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收入由三条业务线共同构成，各业务线的定价逻辑直接来源于第六章产品策略：</w:t>
      </w:r>
    </w:p>
    <w:p w14:paraId="4332A889">
      <w:pPr>
        <w:spacing w:line="279" w:lineRule="auto"/>
        <w:ind w:firstLine="422" w:firstLineChars="200"/>
        <w:jc w:val="center"/>
        <w:rPr>
          <w:rFonts w:hint="eastAsia" w:ascii="黑体" w:hAnsi="黑体" w:eastAsia="黑体" w:cs="黑体"/>
          <w:b/>
          <w:sz w:val="21"/>
          <w:szCs w:val="21"/>
        </w:rPr>
      </w:pPr>
      <w:r>
        <w:rPr>
          <w:rFonts w:hint="eastAsia" w:ascii="黑体" w:hAnsi="黑体" w:eastAsia="黑体" w:cs="黑体"/>
          <w:b/>
          <w:sz w:val="21"/>
          <w:szCs w:val="21"/>
        </w:rPr>
        <w:t>表9-1 商业模式与定价策略</w:t>
      </w:r>
    </w:p>
    <w:p w14:paraId="6E9ACDC6">
      <w:pPr>
        <w:spacing w:line="279" w:lineRule="auto"/>
        <w:ind w:firstLine="440" w:firstLineChars="200"/>
        <w:rPr>
          <w:rFonts w:hint="eastAsia"/>
        </w:rPr>
      </w:pPr>
    </w:p>
    <w:p w14:paraId="384E04BA">
      <w:pPr>
        <w:spacing w:line="279" w:lineRule="auto"/>
        <w:ind w:firstLine="562" w:firstLineChars="200"/>
        <w:outlineLvl w:val="2"/>
        <w:rPr>
          <w:rFonts w:hint="eastAsia" w:ascii="宋体" w:hAnsi="宋体" w:eastAsia="宋体" w:cs="宋体"/>
          <w:b/>
          <w:sz w:val="28"/>
          <w:szCs w:val="28"/>
        </w:rPr>
      </w:pPr>
      <w:r>
        <w:rPr>
          <w:rFonts w:hint="eastAsia" w:ascii="宋体" w:hAnsi="宋体" w:eastAsia="宋体" w:cs="宋体"/>
          <w:b/>
          <w:sz w:val="28"/>
          <w:szCs w:val="28"/>
        </w:rPr>
        <w:t>（1）设备增长假设：</w:t>
      </w:r>
    </w:p>
    <w:p w14:paraId="5510EB21">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2026年：完成内部测试，年末在网设备约</w:t>
      </w:r>
      <w:r>
        <w:rPr>
          <w:rFonts w:hint="eastAsia" w:ascii="宋体" w:hAnsi="宋体" w:eastAsia="宋体" w:cs="宋体"/>
          <w:bCs/>
          <w:sz w:val="28"/>
          <w:szCs w:val="28"/>
          <w:lang w:val="en-US" w:eastAsia="zh-CN"/>
        </w:rPr>
        <w:t>15</w:t>
      </w:r>
      <w:r>
        <w:rPr>
          <w:rFonts w:hint="eastAsia" w:ascii="宋体" w:hAnsi="宋体" w:eastAsia="宋体" w:cs="宋体"/>
          <w:bCs/>
          <w:sz w:val="28"/>
          <w:szCs w:val="28"/>
        </w:rPr>
        <w:t>台（工程样机+首批试用）</w:t>
      </w:r>
    </w:p>
    <w:p w14:paraId="1EE8D702">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2027年：商业冷启动，年末在网设备达80台</w:t>
      </w:r>
    </w:p>
    <w:p w14:paraId="4311223E">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2028年：全面放量启动，渠道激活，年末在网设备达350台</w:t>
      </w:r>
    </w:p>
    <w:p w14:paraId="1017AFDB">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2029年：放量加速，年末在网设备达900台</w:t>
      </w:r>
    </w:p>
    <w:p w14:paraId="411D5F13">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2030年：生态垄断初期，年末在网设备达1,800台</w:t>
      </w:r>
    </w:p>
    <w:p w14:paraId="2ED422F6">
      <w:pPr>
        <w:spacing w:line="279" w:lineRule="auto"/>
        <w:ind w:firstLine="562" w:firstLineChars="200"/>
        <w:outlineLvl w:val="2"/>
        <w:rPr>
          <w:rFonts w:hint="eastAsia" w:ascii="宋体" w:hAnsi="宋体" w:eastAsia="宋体" w:cs="宋体"/>
          <w:b/>
          <w:sz w:val="28"/>
          <w:szCs w:val="28"/>
        </w:rPr>
      </w:pPr>
      <w:r>
        <w:rPr>
          <w:rFonts w:hint="eastAsia" w:ascii="宋体" w:hAnsi="宋体" w:eastAsia="宋体" w:cs="宋体"/>
          <w:b/>
          <w:sz w:val="28"/>
          <w:szCs w:val="28"/>
        </w:rPr>
        <w:t>（2）SaaS客户渗透假设：</w:t>
      </w:r>
    </w:p>
    <w:p w14:paraId="60784485">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设备铺设6个月后，约60%的客户升级为付费SaaS订阅用户（行业SaaS渗透率参考）。SaaS客户中，基础版∶专业版∶企业版结构按6∶3∶1估算，加权平均年费约3.85万元（计算：2.5×0.6 + 5×0.3 + 9×0.1 = 1.5+1.5+0.9 = 3.9万元，保守取3.85万元）。</w:t>
      </w:r>
    </w:p>
    <w:p w14:paraId="7CA9F562">
      <w:pPr>
        <w:spacing w:line="279" w:lineRule="auto"/>
        <w:ind w:firstLine="562" w:firstLineChars="200"/>
        <w:outlineLvl w:val="2"/>
        <w:rPr>
          <w:rFonts w:hint="eastAsia" w:ascii="宋体" w:hAnsi="宋体" w:eastAsia="宋体" w:cs="宋体"/>
          <w:b/>
          <w:sz w:val="28"/>
          <w:szCs w:val="28"/>
        </w:rPr>
      </w:pPr>
      <w:r>
        <w:rPr>
          <w:rFonts w:hint="eastAsia" w:ascii="宋体" w:hAnsi="宋体" w:eastAsia="宋体" w:cs="宋体"/>
          <w:b/>
          <w:sz w:val="28"/>
          <w:szCs w:val="28"/>
        </w:rPr>
        <w:t>（3）客户留存率假设：​</w:t>
      </w:r>
    </w:p>
    <w:p w14:paraId="36EB4E38">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下沉市场设备留存率：85%（对标中小SaaS企业行业均值）</w:t>
      </w:r>
    </w:p>
    <w:p w14:paraId="66C479D5">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企业版API客户留存率：95%（高替换成本支撑，对标项目策略目标）</w:t>
      </w:r>
    </w:p>
    <w:p w14:paraId="4779115E">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加权综合留存率：87%</w:t>
      </w:r>
    </w:p>
    <w:p w14:paraId="50E59DE7">
      <w:pPr>
        <w:spacing w:line="279" w:lineRule="auto"/>
        <w:ind w:firstLine="562" w:firstLineChars="200"/>
        <w:outlineLvl w:val="1"/>
        <w:rPr>
          <w:rFonts w:hint="eastAsia" w:ascii="黑体" w:hAnsi="黑体" w:eastAsia="黑体" w:cs="黑体"/>
          <w:b/>
          <w:bCs/>
          <w:sz w:val="28"/>
          <w:szCs w:val="28"/>
        </w:rPr>
      </w:pPr>
      <w:r>
        <w:rPr>
          <w:rFonts w:hint="eastAsia" w:ascii="黑体" w:hAnsi="黑体" w:eastAsia="黑体" w:cs="黑体"/>
          <w:b/>
          <w:bCs/>
          <w:sz w:val="28"/>
          <w:szCs w:val="28"/>
        </w:rPr>
        <w:t>9.1.3 成本结构假设</w:t>
      </w:r>
    </w:p>
    <w:p w14:paraId="7C1B26B1">
      <w:pPr>
        <w:spacing w:line="279" w:lineRule="auto"/>
        <w:ind w:firstLine="562" w:firstLineChars="200"/>
        <w:outlineLvl w:val="2"/>
        <w:rPr>
          <w:rFonts w:hint="eastAsia" w:ascii="宋体" w:hAnsi="宋体" w:eastAsia="宋体" w:cs="宋体"/>
          <w:bCs/>
          <w:sz w:val="28"/>
          <w:szCs w:val="28"/>
        </w:rPr>
      </w:pPr>
      <w:r>
        <w:rPr>
          <w:rFonts w:hint="eastAsia" w:ascii="宋体" w:hAnsi="宋体" w:eastAsia="宋体" w:cs="宋体"/>
          <w:b/>
          <w:sz w:val="28"/>
          <w:szCs w:val="28"/>
        </w:rPr>
        <w:t>（1）硬件成本（BOM）：</w:t>
      </w:r>
      <w:r>
        <w:rPr>
          <w:rFonts w:hint="eastAsia" w:ascii="宋体" w:hAnsi="宋体" w:eastAsia="宋体" w:cs="宋体"/>
          <w:bCs/>
          <w:sz w:val="28"/>
          <w:szCs w:val="28"/>
        </w:rPr>
        <w:t>​</w:t>
      </w:r>
    </w:p>
    <w:p w14:paraId="2C71DAC7">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 xml:space="preserve"> 采用OEM代工+自主加密烧录模式，单台便携设备BOM成本约1.2万元（含光谱镜头模组、边缘计算板卡、外壳），在线式大厂集成系统BOM约4万元/套。随规模扩大，第3年起BOM成本每年下降约</w:t>
      </w:r>
      <w:r>
        <w:rPr>
          <w:rFonts w:hint="eastAsia" w:ascii="宋体" w:hAnsi="宋体" w:eastAsia="宋体" w:cs="宋体"/>
          <w:bCs/>
          <w:sz w:val="28"/>
          <w:szCs w:val="28"/>
          <w:lang w:val="en-US" w:eastAsia="zh-CN"/>
        </w:rPr>
        <w:t>4~5</w:t>
      </w:r>
      <w:r>
        <w:rPr>
          <w:rFonts w:hint="eastAsia" w:ascii="宋体" w:hAnsi="宋体" w:eastAsia="宋体" w:cs="宋体"/>
          <w:bCs/>
          <w:sz w:val="28"/>
          <w:szCs w:val="28"/>
        </w:rPr>
        <w:t>%（规模效应）。</w:t>
      </w:r>
    </w:p>
    <w:p w14:paraId="7B13A0C0">
      <w:pPr>
        <w:widowControl w:val="0"/>
        <w:spacing w:after="160" w:line="279" w:lineRule="auto"/>
        <w:ind w:firstLine="700" w:firstLineChars="0"/>
        <w:rPr>
          <w:rFonts w:hint="eastAsia" w:ascii="宋体" w:hAnsi="宋体" w:eastAsia="宋体" w:cs="宋体"/>
          <w:bCs/>
          <w:kern w:val="2"/>
          <w:sz w:val="28"/>
          <w:szCs w:val="28"/>
          <w:lang w:val="en-US" w:eastAsia="zh-CN" w:bidi="ar-SA"/>
        </w:rPr>
      </w:pPr>
      <w:r>
        <w:rPr>
          <w:rFonts w:hint="eastAsia" w:ascii="宋体" w:hAnsi="宋体" w:eastAsia="宋体" w:cs="宋体"/>
          <w:bCs/>
          <w:kern w:val="2"/>
          <w:sz w:val="28"/>
          <w:szCs w:val="28"/>
          <w:lang w:val="en-US" w:eastAsia="zh-CN" w:bidi="ar-SA"/>
        </w:rPr>
        <w:t>租赁设备按 3 年直线折旧（残值率 5%），单台便携设备年折旧 = 1.2 万 ×(1-5%)÷3≈3800 元 / 年，计入营业成本；在线式集成系统年折旧 = 4 万 ×(1-5%)÷5≈7600 元 / 年，同步计入成本。维保成本按设备原值的 2%/ 年计提，用于设备维护与升级。</w:t>
      </w:r>
    </w:p>
    <w:p w14:paraId="0D61CD1F">
      <w:pPr>
        <w:spacing w:line="279" w:lineRule="auto"/>
        <w:ind w:firstLine="562" w:firstLineChars="200"/>
        <w:outlineLvl w:val="2"/>
        <w:rPr>
          <w:rFonts w:hint="eastAsia" w:ascii="宋体" w:hAnsi="宋体" w:eastAsia="宋体" w:cs="宋体"/>
          <w:bCs/>
          <w:sz w:val="28"/>
          <w:szCs w:val="28"/>
        </w:rPr>
      </w:pPr>
      <w:r>
        <w:rPr>
          <w:rFonts w:hint="eastAsia" w:ascii="宋体" w:hAnsi="宋体" w:eastAsia="宋体" w:cs="宋体"/>
          <w:b/>
          <w:sz w:val="28"/>
          <w:szCs w:val="28"/>
        </w:rPr>
        <w:t>（2）研发费用率：</w:t>
      </w:r>
      <w:r>
        <w:rPr>
          <w:rFonts w:hint="eastAsia" w:ascii="宋体" w:hAnsi="宋体" w:eastAsia="宋体" w:cs="宋体"/>
          <w:bCs/>
          <w:sz w:val="28"/>
          <w:szCs w:val="28"/>
        </w:rPr>
        <w:t xml:space="preserve">​ </w:t>
      </w:r>
    </w:p>
    <w:p w14:paraId="402D323A">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研发是本项目的核心竞争力，前两年研发费用率维持在营收的45~55%（初创期高投入），第3年后随营收规模扩大逐步下降至</w:t>
      </w:r>
      <w:r>
        <w:rPr>
          <w:rFonts w:hint="eastAsia" w:ascii="宋体" w:hAnsi="宋体" w:eastAsia="宋体" w:cs="宋体"/>
          <w:bCs/>
          <w:sz w:val="28"/>
          <w:szCs w:val="28"/>
          <w:lang w:val="en-US" w:eastAsia="zh-CN"/>
        </w:rPr>
        <w:t>3</w:t>
      </w:r>
      <w:r>
        <w:rPr>
          <w:rFonts w:hint="eastAsia" w:ascii="宋体" w:hAnsi="宋体" w:eastAsia="宋体" w:cs="宋体"/>
          <w:bCs/>
          <w:sz w:val="28"/>
          <w:szCs w:val="28"/>
        </w:rPr>
        <w:t>0~</w:t>
      </w:r>
      <w:r>
        <w:rPr>
          <w:rFonts w:hint="eastAsia" w:ascii="宋体" w:hAnsi="宋体" w:eastAsia="宋体" w:cs="宋体"/>
          <w:bCs/>
          <w:sz w:val="28"/>
          <w:szCs w:val="28"/>
          <w:lang w:val="en-US" w:eastAsia="zh-CN"/>
        </w:rPr>
        <w:t>3</w:t>
      </w:r>
      <w:r>
        <w:rPr>
          <w:rFonts w:hint="eastAsia" w:ascii="宋体" w:hAnsi="宋体" w:eastAsia="宋体" w:cs="宋体"/>
          <w:bCs/>
          <w:sz w:val="28"/>
          <w:szCs w:val="28"/>
        </w:rPr>
        <w:t>5%，但绝对金额持续增长。</w:t>
      </w:r>
    </w:p>
    <w:p w14:paraId="37930EE1">
      <w:pPr>
        <w:spacing w:line="279" w:lineRule="auto"/>
        <w:ind w:firstLine="562" w:firstLineChars="200"/>
        <w:outlineLvl w:val="2"/>
        <w:rPr>
          <w:rFonts w:hint="eastAsia" w:ascii="宋体" w:hAnsi="宋体" w:eastAsia="宋体" w:cs="宋体"/>
          <w:b/>
          <w:sz w:val="28"/>
          <w:szCs w:val="28"/>
        </w:rPr>
      </w:pPr>
      <w:r>
        <w:rPr>
          <w:rFonts w:hint="eastAsia" w:ascii="宋体" w:hAnsi="宋体" w:eastAsia="宋体" w:cs="宋体"/>
          <w:b/>
          <w:sz w:val="28"/>
          <w:szCs w:val="28"/>
        </w:rPr>
        <w:t>（3）销售费用率：</w:t>
      </w:r>
    </w:p>
    <w:p w14:paraId="1E3A8A4E">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冷启动期（2026~2027年）依赖直销，费用率约30%；渠道网络激活后（2028年起）渠道佣金替代直销人力，费用率降至18~22%。</w:t>
      </w:r>
    </w:p>
    <w:p w14:paraId="2392507E">
      <w:pPr>
        <w:spacing w:line="279" w:lineRule="auto"/>
        <w:ind w:firstLine="562" w:firstLineChars="200"/>
        <w:outlineLvl w:val="2"/>
        <w:rPr>
          <w:rFonts w:hint="eastAsia" w:ascii="宋体" w:hAnsi="宋体" w:eastAsia="宋体" w:cs="宋体"/>
          <w:bCs/>
          <w:sz w:val="28"/>
          <w:szCs w:val="28"/>
        </w:rPr>
      </w:pPr>
      <w:r>
        <w:rPr>
          <w:rFonts w:hint="eastAsia" w:ascii="宋体" w:hAnsi="宋体" w:eastAsia="宋体" w:cs="宋体"/>
          <w:b/>
          <w:sz w:val="28"/>
          <w:szCs w:val="28"/>
        </w:rPr>
        <w:t>（4）管理费用率：</w:t>
      </w:r>
      <w:r>
        <w:rPr>
          <w:rFonts w:hint="eastAsia" w:ascii="宋体" w:hAnsi="宋体" w:eastAsia="宋体" w:cs="宋体"/>
          <w:bCs/>
          <w:sz w:val="28"/>
          <w:szCs w:val="28"/>
        </w:rPr>
        <w:t xml:space="preserve">​ </w:t>
      </w:r>
    </w:p>
    <w:p w14:paraId="6A739B2B">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轻资产模式，管理费用相对稳定，前期约15%，规模化后降至8~10%。</w:t>
      </w:r>
    </w:p>
    <w:p w14:paraId="18CF1F08">
      <w:pPr>
        <w:pStyle w:val="6"/>
        <w:widowControl/>
        <w:spacing w:before="120" w:beforeAutospacing="0" w:after="120" w:afterAutospacing="0"/>
        <w:ind w:firstLine="562" w:firstLineChars="200"/>
        <w:outlineLvl w:val="2"/>
        <w:rPr>
          <w:rFonts w:hint="eastAsia" w:ascii="宋体" w:hAnsi="宋体" w:eastAsia="宋体" w:cs="宋体"/>
          <w:bCs/>
          <w:kern w:val="2"/>
          <w:sz w:val="28"/>
          <w:szCs w:val="28"/>
        </w:rPr>
      </w:pPr>
      <w:r>
        <w:rPr>
          <w:rFonts w:hint="eastAsia" w:ascii="宋体" w:hAnsi="宋体" w:eastAsia="宋体" w:cs="宋体"/>
          <w:b/>
          <w:kern w:val="2"/>
          <w:sz w:val="28"/>
          <w:szCs w:val="28"/>
        </w:rPr>
        <w:t>（5）毛利率假设（分业务线）：</w:t>
      </w:r>
      <w:r>
        <w:rPr>
          <w:rFonts w:hint="eastAsia" w:ascii="宋体" w:hAnsi="宋体" w:eastAsia="宋体" w:cs="宋体"/>
          <w:bCs/>
          <w:kern w:val="2"/>
          <w:sz w:val="28"/>
          <w:szCs w:val="28"/>
        </w:rPr>
        <w:t>​</w:t>
      </w:r>
    </w:p>
    <w:p w14:paraId="1D811676">
      <w:pPr>
        <w:spacing w:line="279" w:lineRule="auto"/>
        <w:ind w:firstLine="560" w:firstLineChars="200"/>
        <w:rPr>
          <w:rFonts w:hint="eastAsia" w:ascii="宋体" w:hAnsi="宋体" w:eastAsia="宋体" w:cs="宋体"/>
          <w:bCs/>
          <w:sz w:val="28"/>
          <w:szCs w:val="28"/>
        </w:rPr>
      </w:pPr>
      <w:r>
        <w:rPr>
          <w:rFonts w:hint="eastAsia" w:ascii="宋体" w:hAnsi="宋体" w:eastAsia="宋体" w:cs="宋体"/>
          <w:bCs/>
          <w:sz w:val="28"/>
          <w:szCs w:val="28"/>
        </w:rPr>
        <w:t>硬件租赁/销售毛利率约35%（设备BOM+维保成本占比较高）；SaaS算法订阅毛利率约78%（边际成本极低，主要为云服务器与算法维护成本）；大厂集成毛利率约45%（含定制化开发人力成本）。随SaaS收入占比提升，综合毛利率将从第1年的约38%逐步提升至第5年的约68%​，这是本模型最重要的结构性趋势。</w:t>
      </w:r>
    </w:p>
    <w:p w14:paraId="3FF99FB5">
      <w:pPr>
        <w:spacing w:line="279" w:lineRule="auto"/>
        <w:ind w:firstLine="562" w:firstLineChars="200"/>
        <w:outlineLvl w:val="1"/>
        <w:rPr>
          <w:rFonts w:hint="eastAsia" w:ascii="宋体" w:hAnsi="宋体" w:eastAsia="宋体" w:cs="宋体"/>
          <w:b/>
          <w:bCs/>
          <w:sz w:val="28"/>
          <w:szCs w:val="28"/>
        </w:rPr>
      </w:pPr>
      <w:r>
        <w:rPr>
          <w:rFonts w:hint="eastAsia" w:ascii="黑体" w:hAnsi="黑体" w:eastAsia="黑体" w:cs="黑体"/>
          <w:b/>
          <w:bCs/>
          <w:sz w:val="28"/>
          <w:szCs w:val="28"/>
        </w:rPr>
        <w:t>9.1.4 资本性支出与营运资金假设</w:t>
      </w:r>
    </w:p>
    <w:p w14:paraId="3FDDF5AF">
      <w:pPr>
        <w:widowControl/>
        <w:spacing w:before="120" w:after="120" w:line="279" w:lineRule="auto"/>
        <w:ind w:firstLine="562" w:firstLineChars="200"/>
        <w:rPr>
          <w:rFonts w:hint="eastAsia" w:ascii="宋体" w:hAnsi="宋体" w:eastAsia="宋体" w:cs="宋体"/>
          <w:color w:val="000000"/>
          <w:sz w:val="28"/>
          <w:szCs w:val="28"/>
        </w:rPr>
      </w:pPr>
      <w:r>
        <w:rPr>
          <w:rFonts w:hint="eastAsia" w:ascii="宋体" w:hAnsi="宋体" w:eastAsia="宋体" w:cs="宋体"/>
          <w:b/>
          <w:bCs/>
          <w:color w:val="000000"/>
          <w:sz w:val="28"/>
          <w:szCs w:val="28"/>
        </w:rPr>
        <w:t>（1）初始资金来源</w:t>
      </w:r>
      <w:r>
        <w:rPr>
          <w:rFonts w:hint="eastAsia" w:ascii="宋体" w:hAnsi="宋体" w:eastAsia="宋体" w:cs="宋体"/>
          <w:color w:val="000000"/>
          <w:sz w:val="28"/>
          <w:szCs w:val="28"/>
        </w:rPr>
        <w:t>：榕树基金拨款约1万元，指导老师团队科研经费支持约10~15万元，合计可用启动资金约15万元（保守估算，以15万元建模）</w:t>
      </w:r>
      <w:r>
        <w:rPr>
          <w:rFonts w:hint="eastAsia" w:ascii="宋体" w:hAnsi="宋体" w:eastAsia="宋体" w:cs="宋体"/>
          <w:color w:val="000000"/>
          <w:kern w:val="2"/>
          <w:sz w:val="28"/>
          <w:szCs w:val="28"/>
          <w:lang w:val="en-US" w:eastAsia="zh-CN" w:bidi="ar-SA"/>
        </w:rPr>
        <w:t>2026 年 15 台设备为工程样机及首批试用机，其中 10 台由指导老师科研经费专项支持（不计入项目 BOM 成本），项目仅承担 5 台设备的硬件成本（5×1.2=6 万元），启动资金可覆盖初期投入。</w:t>
      </w:r>
    </w:p>
    <w:p w14:paraId="2937F17A">
      <w:pPr>
        <w:widowControl/>
        <w:spacing w:before="120" w:after="120" w:line="279" w:lineRule="auto"/>
        <w:ind w:firstLine="562" w:firstLineChars="200"/>
        <w:rPr>
          <w:rFonts w:hint="eastAsia" w:ascii="宋体" w:hAnsi="宋体" w:eastAsia="宋体" w:cs="宋体"/>
          <w:color w:val="000000"/>
          <w:sz w:val="28"/>
          <w:szCs w:val="28"/>
        </w:rPr>
      </w:pPr>
      <w:r>
        <w:rPr>
          <w:rFonts w:hint="eastAsia" w:ascii="宋体" w:hAnsi="宋体" w:eastAsia="宋体" w:cs="宋体"/>
          <w:b/>
          <w:bCs/>
          <w:color w:val="000000"/>
          <w:sz w:val="28"/>
          <w:szCs w:val="28"/>
        </w:rPr>
        <w:t>（2）资本性支出</w:t>
      </w:r>
      <w:r>
        <w:rPr>
          <w:rFonts w:hint="eastAsia" w:ascii="宋体" w:hAnsi="宋体" w:eastAsia="宋体" w:cs="宋体"/>
          <w:color w:val="000000"/>
          <w:sz w:val="28"/>
          <w:szCs w:val="28"/>
        </w:rPr>
        <w:t>（CapEx）主要为实验室设备采购与边缘计算板卡研发，前两年约8~12万元/年</w:t>
      </w:r>
    </w:p>
    <w:p w14:paraId="06349CD8">
      <w:pPr>
        <w:widowControl/>
        <w:spacing w:before="120" w:after="120" w:line="279" w:lineRule="auto"/>
        <w:ind w:firstLine="562" w:firstLineChars="200"/>
        <w:rPr>
          <w:rFonts w:hint="eastAsia" w:ascii="宋体" w:hAnsi="宋体" w:eastAsia="宋体" w:cs="宋体"/>
          <w:color w:val="000000"/>
          <w:sz w:val="28"/>
          <w:szCs w:val="28"/>
        </w:rPr>
      </w:pPr>
      <w:r>
        <w:rPr>
          <w:rFonts w:hint="eastAsia" w:ascii="宋体" w:hAnsi="宋体" w:eastAsia="宋体" w:cs="宋体"/>
          <w:b/>
          <w:bCs/>
          <w:color w:val="000000"/>
          <w:sz w:val="28"/>
          <w:szCs w:val="28"/>
        </w:rPr>
        <w:t>（3）应收账款周转天数：</w:t>
      </w:r>
      <w:r>
        <w:rPr>
          <w:rFonts w:hint="eastAsia" w:ascii="宋体" w:hAnsi="宋体" w:eastAsia="宋体" w:cs="宋体"/>
          <w:color w:val="000000"/>
          <w:sz w:val="28"/>
          <w:szCs w:val="28"/>
        </w:rPr>
        <w:t>下沉市场月付模式，应收账款极低；政府G端采购账期约90天；大厂账期约60天；加权平均约45天</w:t>
      </w:r>
    </w:p>
    <w:p w14:paraId="508E2EFE">
      <w:pPr>
        <w:widowControl/>
        <w:spacing w:before="120" w:after="120" w:line="279" w:lineRule="auto"/>
        <w:ind w:firstLine="562" w:firstLineChars="200"/>
        <w:rPr>
          <w:rFonts w:hint="eastAsia" w:ascii="宋体" w:hAnsi="宋体" w:eastAsia="宋体" w:cs="宋体"/>
          <w:color w:val="000000"/>
          <w:sz w:val="28"/>
          <w:szCs w:val="28"/>
        </w:rPr>
      </w:pPr>
      <w:r>
        <w:rPr>
          <w:rFonts w:hint="eastAsia" w:ascii="宋体" w:hAnsi="宋体" w:eastAsia="宋体" w:cs="宋体"/>
          <w:b/>
          <w:bCs/>
          <w:color w:val="000000"/>
          <w:sz w:val="28"/>
          <w:szCs w:val="28"/>
        </w:rPr>
        <w:t>（4）存货周转天数：</w:t>
      </w:r>
      <w:r>
        <w:rPr>
          <w:rFonts w:hint="eastAsia" w:ascii="宋体" w:hAnsi="宋体" w:eastAsia="宋体" w:cs="宋体"/>
          <w:color w:val="000000"/>
          <w:sz w:val="28"/>
          <w:szCs w:val="28"/>
        </w:rPr>
        <w:t>轻资产模式，在途硬件库存约30天</w:t>
      </w:r>
    </w:p>
    <w:p w14:paraId="71F23A17">
      <w:pPr>
        <w:widowControl/>
        <w:spacing w:before="120" w:after="120" w:line="279" w:lineRule="auto"/>
        <w:ind w:firstLine="562" w:firstLineChars="200"/>
        <w:rPr>
          <w:rFonts w:hint="eastAsia" w:ascii="宋体" w:hAnsi="宋体" w:eastAsia="宋体" w:cs="宋体"/>
          <w:color w:val="000000"/>
          <w:sz w:val="28"/>
          <w:szCs w:val="28"/>
        </w:rPr>
      </w:pPr>
      <w:r>
        <w:rPr>
          <w:rFonts w:hint="eastAsia" w:ascii="宋体" w:hAnsi="宋体" w:eastAsia="宋体" w:cs="宋体"/>
          <w:b/>
          <w:bCs/>
          <w:color w:val="000000"/>
          <w:sz w:val="28"/>
          <w:szCs w:val="28"/>
        </w:rPr>
        <w:t>（5）应付账款周转天数：</w:t>
      </w:r>
      <w:r>
        <w:rPr>
          <w:rFonts w:hint="eastAsia" w:ascii="宋体" w:hAnsi="宋体" w:eastAsia="宋体" w:cs="宋体"/>
          <w:color w:val="000000"/>
          <w:sz w:val="28"/>
          <w:szCs w:val="28"/>
        </w:rPr>
        <w:t>向OEM代工厂账期约45天</w:t>
      </w:r>
    </w:p>
    <w:p w14:paraId="7533C88A">
      <w:pPr>
        <w:spacing w:line="279" w:lineRule="auto"/>
        <w:ind w:firstLine="562" w:firstLineChars="200"/>
        <w:outlineLvl w:val="1"/>
        <w:rPr>
          <w:rFonts w:hint="eastAsia" w:ascii="宋体" w:hAnsi="宋体" w:eastAsia="宋体" w:cs="宋体"/>
          <w:b/>
          <w:bCs/>
          <w:sz w:val="28"/>
          <w:szCs w:val="28"/>
        </w:rPr>
      </w:pPr>
      <w:r>
        <w:rPr>
          <w:rFonts w:hint="eastAsia" w:ascii="宋体" w:hAnsi="宋体" w:eastAsia="宋体" w:cs="宋体"/>
          <w:b/>
          <w:bCs/>
          <w:sz w:val="28"/>
          <w:szCs w:val="28"/>
        </w:rPr>
        <w:t>9.1.5 税务假设</w:t>
      </w:r>
    </w:p>
    <w:p w14:paraId="64F6D2BC">
      <w:pPr>
        <w:widowControl/>
        <w:spacing w:before="120" w:after="120" w:line="279" w:lineRule="auto"/>
        <w:ind w:firstLine="562" w:firstLineChars="200"/>
        <w:rPr>
          <w:rFonts w:hint="eastAsia" w:ascii="宋体" w:hAnsi="宋体" w:eastAsia="宋体" w:cs="宋体"/>
          <w:color w:val="000000"/>
          <w:sz w:val="28"/>
          <w:szCs w:val="28"/>
        </w:rPr>
      </w:pPr>
      <w:r>
        <w:rPr>
          <w:rFonts w:hint="eastAsia" w:ascii="宋体" w:hAnsi="宋体" w:eastAsia="宋体" w:cs="宋体"/>
          <w:b/>
          <w:bCs/>
          <w:color w:val="000000"/>
          <w:sz w:val="28"/>
          <w:szCs w:val="28"/>
        </w:rPr>
        <w:t>（1）增值税：</w:t>
      </w:r>
      <w:r>
        <w:rPr>
          <w:rFonts w:hint="eastAsia" w:ascii="宋体" w:hAnsi="宋体" w:eastAsia="宋体" w:cs="宋体"/>
          <w:color w:val="000000"/>
          <w:sz w:val="28"/>
          <w:szCs w:val="28"/>
        </w:rPr>
        <w:t>SaaS服务适用6%税率；硬件销售适用13%税率</w:t>
      </w:r>
    </w:p>
    <w:p w14:paraId="322567C9">
      <w:pPr>
        <w:widowControl/>
        <w:spacing w:before="120" w:after="120" w:line="279" w:lineRule="auto"/>
        <w:ind w:firstLine="562" w:firstLineChars="200"/>
        <w:rPr>
          <w:rFonts w:hint="eastAsia" w:ascii="宋体" w:hAnsi="宋体" w:eastAsia="宋体" w:cs="宋体"/>
          <w:color w:val="000000"/>
          <w:sz w:val="28"/>
          <w:szCs w:val="28"/>
        </w:rPr>
      </w:pPr>
      <w:r>
        <w:rPr>
          <w:rFonts w:hint="eastAsia" w:ascii="宋体" w:hAnsi="宋体" w:eastAsia="宋体" w:cs="宋体"/>
          <w:b/>
          <w:bCs/>
          <w:color w:val="000000"/>
          <w:sz w:val="28"/>
          <w:szCs w:val="28"/>
        </w:rPr>
        <w:t>（2）</w:t>
      </w:r>
      <w:r>
        <w:rPr>
          <w:rFonts w:hint="eastAsia" w:ascii="宋体" w:hAnsi="宋体" w:eastAsia="宋体" w:cs="宋体"/>
          <w:b/>
          <w:bCs/>
          <w:color w:val="000000"/>
          <w:kern w:val="2"/>
          <w:sz w:val="28"/>
          <w:szCs w:val="28"/>
          <w:lang w:val="en-US" w:eastAsia="zh-CN" w:bidi="ar-SA"/>
        </w:rPr>
        <w:t>企业所得税：</w:t>
      </w:r>
      <w:r>
        <w:rPr>
          <w:rFonts w:hint="eastAsia" w:ascii="宋体" w:hAnsi="宋体" w:eastAsia="宋体" w:cs="宋体"/>
          <w:color w:val="000000"/>
          <w:kern w:val="2"/>
          <w:sz w:val="28"/>
          <w:szCs w:val="28"/>
          <w:lang w:val="en-US" w:eastAsia="zh-CN" w:bidi="ar-SA"/>
        </w:rPr>
        <w:t>预计第 4 年（2029 年）完成高新技术企业认定，认定后税率 15%；未认定前适用 25% 税率，享受研发费用 100% 加计扣除政策，有效降低实际税负。</w:t>
      </w:r>
    </w:p>
    <w:p w14:paraId="0A7BEA02">
      <w:pPr>
        <w:widowControl/>
        <w:spacing w:before="120" w:after="120" w:line="279" w:lineRule="auto"/>
        <w:ind w:firstLine="562" w:firstLineChars="200"/>
        <w:rPr>
          <w:rFonts w:hint="eastAsia" w:ascii="宋体" w:hAnsi="宋体" w:eastAsia="宋体" w:cs="宋体"/>
          <w:color w:val="000000"/>
          <w:sz w:val="28"/>
          <w:szCs w:val="28"/>
        </w:rPr>
      </w:pPr>
      <w:r>
        <w:rPr>
          <w:rFonts w:hint="eastAsia" w:ascii="宋体" w:hAnsi="宋体" w:eastAsia="宋体" w:cs="宋体"/>
          <w:b/>
          <w:bCs/>
          <w:color w:val="000000"/>
          <w:sz w:val="28"/>
          <w:szCs w:val="28"/>
        </w:rPr>
        <w:t>（3）研发费用加计扣除：</w:t>
      </w:r>
      <w:r>
        <w:rPr>
          <w:rFonts w:hint="eastAsia" w:ascii="宋体" w:hAnsi="宋体" w:eastAsia="宋体" w:cs="宋体"/>
          <w:color w:val="000000"/>
          <w:sz w:val="28"/>
          <w:szCs w:val="28"/>
        </w:rPr>
        <w:t>按100%加计扣除政策执行，有效降低应税所得额</w:t>
      </w:r>
    </w:p>
    <w:p w14:paraId="3D4924D5">
      <w:pPr>
        <w:spacing w:line="279" w:lineRule="auto"/>
        <w:ind w:firstLine="602" w:firstLineChars="200"/>
        <w:outlineLvl w:val="0"/>
        <w:rPr>
          <w:rFonts w:hint="eastAsia" w:ascii="宋体" w:hAnsi="宋体" w:eastAsia="宋体" w:cs="宋体"/>
          <w:color w:val="000000"/>
          <w:sz w:val="28"/>
          <w:szCs w:val="28"/>
        </w:rPr>
      </w:pPr>
      <w:bookmarkStart w:id="153" w:name="_Toc26855"/>
      <w:r>
        <w:rPr>
          <w:rFonts w:hint="eastAsia" w:ascii="黑体" w:hAnsi="黑体" w:eastAsia="黑体" w:cs="黑体"/>
          <w:b/>
          <w:bCs/>
          <w:color w:val="000000"/>
          <w:sz w:val="30"/>
          <w:szCs w:val="30"/>
        </w:rPr>
        <w:t>9.2 三情景核心假设对比表</w:t>
      </w:r>
      <w:bookmarkEnd w:id="153"/>
    </w:p>
    <w:p w14:paraId="263E36B5">
      <w:pPr>
        <w:widowControl/>
        <w:spacing w:before="120" w:after="120" w:line="279" w:lineRule="auto"/>
        <w:ind w:firstLine="560" w:firstLineChars="200"/>
        <w:rPr>
          <w:rFonts w:hint="eastAsia" w:ascii="宋体" w:hAnsi="宋体" w:eastAsia="宋体" w:cs="宋体"/>
          <w:color w:val="000000"/>
          <w:sz w:val="28"/>
          <w:szCs w:val="28"/>
        </w:rPr>
      </w:pPr>
      <w:r>
        <w:rPr>
          <w:rFonts w:hint="eastAsia" w:ascii="宋体" w:hAnsi="宋体" w:eastAsia="宋体" w:cs="宋体"/>
          <w:color w:val="000000"/>
          <w:sz w:val="28"/>
          <w:szCs w:val="28"/>
        </w:rPr>
        <w:t>在基准假设基础上，设定乐观、中性、保守三种情景，核心差异体现在市场开拓速度与SaaS渗透率两个最敏感变量上。</w:t>
      </w:r>
    </w:p>
    <w:p w14:paraId="34EC4914">
      <w:pPr>
        <w:widowControl/>
        <w:spacing w:before="120" w:after="120" w:line="279" w:lineRule="auto"/>
        <w:ind w:firstLine="422" w:firstLineChars="200"/>
        <w:jc w:val="center"/>
        <w:rPr>
          <w:rFonts w:hint="eastAsia" w:ascii="宋体" w:hAnsi="宋体" w:eastAsia="宋体" w:cs="宋体"/>
          <w:b/>
          <w:bCs/>
          <w:color w:val="000000"/>
          <w:sz w:val="21"/>
          <w:szCs w:val="21"/>
        </w:rPr>
      </w:pPr>
      <w:r>
        <w:rPr>
          <w:rFonts w:hint="eastAsia" w:ascii="宋体" w:hAnsi="宋体" w:eastAsia="宋体" w:cs="宋体"/>
          <w:b/>
          <w:bCs/>
          <w:color w:val="000000"/>
          <w:sz w:val="21"/>
          <w:szCs w:val="21"/>
        </w:rPr>
        <w:t>表9-2 关键业务假设与情景分析预测表</w:t>
      </w:r>
    </w:p>
    <w:p w14:paraId="338C7CC2">
      <w:pPr>
        <w:widowControl/>
        <w:spacing w:before="120" w:after="120" w:line="279" w:lineRule="auto"/>
        <w:ind w:firstLine="440" w:firstLineChars="200"/>
        <w:rPr>
          <w:rFonts w:hint="eastAsia"/>
        </w:rPr>
      </w:pPr>
    </w:p>
    <w:p w14:paraId="5E4ED2B0">
      <w:pPr>
        <w:spacing w:line="279" w:lineRule="auto"/>
        <w:ind w:firstLine="602" w:firstLineChars="200"/>
        <w:outlineLvl w:val="0"/>
        <w:rPr>
          <w:rFonts w:hint="eastAsia" w:ascii="黑体" w:hAnsi="黑体" w:eastAsia="黑体" w:cs="黑体"/>
          <w:b/>
          <w:bCs/>
          <w:color w:val="000000"/>
          <w:sz w:val="30"/>
          <w:szCs w:val="30"/>
        </w:rPr>
      </w:pPr>
      <w:bookmarkStart w:id="154" w:name="_Toc31117"/>
      <w:r>
        <w:rPr>
          <w:rFonts w:hint="eastAsia" w:ascii="黑体" w:hAnsi="黑体" w:eastAsia="黑体" w:cs="黑体"/>
          <w:b/>
          <w:bCs/>
          <w:color w:val="000000"/>
          <w:sz w:val="30"/>
          <w:szCs w:val="30"/>
        </w:rPr>
        <w:t>9.3 五年损益表（中性情景基准）</w:t>
      </w:r>
      <w:bookmarkEnd w:id="154"/>
    </w:p>
    <w:p w14:paraId="5744C2E2">
      <w:pPr>
        <w:widowControl/>
        <w:spacing w:before="120" w:after="120" w:line="279" w:lineRule="auto"/>
        <w:ind w:firstLine="560" w:firstLineChars="200"/>
        <w:rPr>
          <w:rFonts w:hint="eastAsia" w:ascii="宋体" w:hAnsi="宋体" w:eastAsia="宋体" w:cs="宋体"/>
          <w:color w:val="000000"/>
          <w:sz w:val="28"/>
          <w:szCs w:val="28"/>
        </w:rPr>
      </w:pPr>
      <w:r>
        <w:rPr>
          <w:rFonts w:hint="eastAsia" w:ascii="宋体" w:hAnsi="宋体" w:eastAsia="宋体" w:cs="宋体"/>
          <w:color w:val="000000"/>
          <w:sz w:val="28"/>
          <w:szCs w:val="28"/>
        </w:rPr>
        <w:t>以下损益表采用分业务线嵌套结构呈现，既展示总量，又揭示结构性变化趋势，是本章最核心的财务报表。</w:t>
      </w:r>
    </w:p>
    <w:p w14:paraId="2E23358E">
      <w:pPr>
        <w:spacing w:line="279" w:lineRule="auto"/>
        <w:ind w:firstLine="562" w:firstLineChars="200"/>
        <w:outlineLvl w:val="1"/>
        <w:rPr>
          <w:rFonts w:hint="eastAsia" w:ascii="黑体" w:hAnsi="黑体" w:eastAsia="黑体" w:cs="黑体"/>
          <w:b/>
          <w:bCs/>
          <w:color w:val="000000"/>
          <w:sz w:val="28"/>
          <w:szCs w:val="28"/>
        </w:rPr>
      </w:pPr>
      <w:r>
        <w:rPr>
          <w:rFonts w:hint="eastAsia" w:ascii="黑体" w:hAnsi="黑体" w:eastAsia="黑体" w:cs="黑体"/>
          <w:b/>
          <w:bCs/>
          <w:color w:val="000000"/>
          <w:sz w:val="28"/>
          <w:szCs w:val="28"/>
        </w:rPr>
        <w:t>9.3.1 收入构成推演</w:t>
      </w:r>
    </w:p>
    <w:p w14:paraId="280B6624">
      <w:pPr>
        <w:pStyle w:val="6"/>
        <w:widowControl/>
        <w:spacing w:before="120" w:beforeAutospacing="0" w:after="120" w:afterAutospacing="0"/>
        <w:rPr>
          <w:rFonts w:hint="eastAsia" w:ascii="宋体" w:hAnsi="宋体" w:eastAsia="宋体" w:cs="宋体"/>
          <w:color w:val="000000"/>
          <w:kern w:val="2"/>
          <w:sz w:val="28"/>
          <w:szCs w:val="28"/>
        </w:rPr>
      </w:pPr>
      <w:r>
        <w:rPr>
          <w:rFonts w:hint="eastAsia" w:ascii="宋体" w:hAnsi="宋体" w:eastAsia="宋体" w:cs="宋体"/>
          <w:color w:val="000000"/>
          <w:kern w:val="2"/>
          <w:sz w:val="28"/>
          <w:szCs w:val="28"/>
        </w:rPr>
        <w:t>收入底层计算逻辑（中性情景）：​</w:t>
      </w:r>
    </w:p>
    <w:p w14:paraId="0958B263">
      <w:pPr>
        <w:widowControl/>
        <w:spacing w:before="120" w:after="120" w:line="279" w:lineRule="auto"/>
        <w:ind w:firstLine="560" w:firstLineChars="200"/>
        <w:rPr>
          <w:rFonts w:hint="eastAsia" w:ascii="宋体" w:hAnsi="宋体" w:eastAsia="宋体" w:cs="宋体"/>
          <w:color w:val="000000"/>
          <w:sz w:val="28"/>
          <w:szCs w:val="28"/>
        </w:rPr>
      </w:pPr>
      <w:r>
        <w:rPr>
          <w:rFonts w:hint="eastAsia" w:ascii="宋体" w:hAnsi="宋体" w:eastAsia="宋体" w:cs="宋体"/>
          <w:color w:val="000000"/>
          <w:sz w:val="28"/>
          <w:szCs w:val="28"/>
        </w:rPr>
        <w:t>设备租赁收入=年均在网台数×月租均价1500元×12个月</w:t>
      </w:r>
    </w:p>
    <w:p w14:paraId="1CFA8DAB">
      <w:pPr>
        <w:widowControl/>
        <w:spacing w:before="120" w:after="120" w:line="279" w:lineRule="auto"/>
        <w:ind w:firstLine="560" w:firstLineChars="200"/>
        <w:rPr>
          <w:rFonts w:hint="eastAsia" w:ascii="宋体" w:hAnsi="宋体" w:eastAsia="宋体" w:cs="宋体"/>
          <w:color w:val="000000"/>
          <w:kern w:val="2"/>
          <w:sz w:val="28"/>
          <w:szCs w:val="28"/>
          <w:lang w:val="en-US" w:eastAsia="zh-CN" w:bidi="ar-SA"/>
        </w:rPr>
      </w:pPr>
      <w:r>
        <w:rPr>
          <w:rFonts w:hint="eastAsia" w:ascii="宋体" w:hAnsi="宋体" w:eastAsia="宋体" w:cs="宋体"/>
          <w:color w:val="000000"/>
          <w:kern w:val="2"/>
          <w:sz w:val="28"/>
          <w:szCs w:val="28"/>
          <w:lang w:val="en-US" w:eastAsia="zh-CN" w:bidi="ar-SA"/>
        </w:rPr>
        <w:t>SaaS 订阅收入 = [上年末 SaaS 客户数 × 留存率 87% + 当年新增设备台数 × SaaS 渗透率 60% × 0.5（设备铺设 6 个月后转化，当年仅收半年费）] × 加权年费 3.85 万元</w:t>
      </w:r>
    </w:p>
    <w:p w14:paraId="1AB3C182">
      <w:pPr>
        <w:widowControl/>
        <w:spacing w:before="120" w:beforeAutospacing="0" w:after="120" w:afterAutospacing="0" w:line="278" w:lineRule="auto"/>
        <w:ind w:firstLine="560" w:firstLineChars="200"/>
        <w:rPr>
          <w:rFonts w:hint="eastAsia" w:ascii="宋体" w:hAnsi="宋体" w:eastAsia="宋体" w:cs="宋体"/>
          <w:color w:val="000000"/>
          <w:kern w:val="2"/>
          <w:sz w:val="28"/>
          <w:szCs w:val="28"/>
          <w:lang w:val="en-US" w:eastAsia="zh-CN" w:bidi="ar-SA"/>
        </w:rPr>
      </w:pPr>
      <w:r>
        <w:rPr>
          <w:rFonts w:hint="eastAsia" w:ascii="宋体" w:hAnsi="宋体" w:eastAsia="宋体" w:cs="宋体"/>
          <w:color w:val="000000"/>
          <w:kern w:val="2"/>
          <w:sz w:val="28"/>
          <w:szCs w:val="28"/>
          <w:lang w:val="en-US" w:eastAsia="zh-CN" w:bidi="ar-SA"/>
        </w:rPr>
        <w:t>（注：2027 年起，新增设备的 SaaS 收入按 “当年 0.5 + 次年 1” 计算，2026 年新增 8/15 台仅贡献半年费，2027 年新增设备贡献半年费，2028 年起稳定按全年计算）</w:t>
      </w:r>
    </w:p>
    <w:p w14:paraId="419B5F97">
      <w:pPr>
        <w:widowControl/>
        <w:spacing w:before="120" w:after="120" w:line="279" w:lineRule="auto"/>
        <w:ind w:firstLine="560" w:firstLineChars="200"/>
        <w:rPr>
          <w:rFonts w:hint="eastAsia" w:ascii="宋体" w:hAnsi="宋体" w:eastAsia="宋体" w:cs="宋体"/>
          <w:color w:val="000000"/>
          <w:sz w:val="28"/>
          <w:szCs w:val="28"/>
        </w:rPr>
      </w:pPr>
      <w:r>
        <w:rPr>
          <w:rFonts w:hint="eastAsia" w:ascii="宋体" w:hAnsi="宋体" w:eastAsia="宋体" w:cs="宋体"/>
          <w:color w:val="000000"/>
          <w:sz w:val="28"/>
          <w:szCs w:val="28"/>
        </w:rPr>
        <w:t>大厂集成收入=当年新签大厂数×均价8万元/套（含API年费）</w:t>
      </w:r>
    </w:p>
    <w:p w14:paraId="1880761C">
      <w:pPr>
        <w:widowControl/>
        <w:spacing w:before="120" w:after="120" w:line="279" w:lineRule="auto"/>
        <w:ind w:firstLine="422" w:firstLineChars="200"/>
        <w:jc w:val="center"/>
        <w:rPr>
          <w:rFonts w:hint="eastAsia" w:ascii="黑体" w:hAnsi="黑体" w:eastAsia="黑体" w:cs="黑体"/>
          <w:b/>
          <w:bCs/>
          <w:color w:val="000000"/>
          <w:sz w:val="21"/>
          <w:szCs w:val="21"/>
        </w:rPr>
      </w:pPr>
      <w:r>
        <w:rPr>
          <w:rFonts w:hint="eastAsia" w:ascii="黑体" w:hAnsi="黑体" w:eastAsia="黑体" w:cs="黑体"/>
          <w:b/>
          <w:bCs/>
          <w:color w:val="000000"/>
          <w:sz w:val="21"/>
          <w:szCs w:val="21"/>
        </w:rPr>
        <w:t>表9-3 2026-2030 核心业务财务与商业化指标预测</w:t>
      </w:r>
    </w:p>
    <w:p w14:paraId="7A37CE64">
      <w:pPr>
        <w:widowControl/>
        <w:spacing w:before="120" w:after="120" w:line="279" w:lineRule="auto"/>
        <w:ind w:firstLine="560" w:firstLineChars="200"/>
        <w:rPr>
          <w:rFonts w:hint="eastAsia" w:ascii="宋体" w:hAnsi="宋体" w:eastAsia="宋体" w:cs="宋体"/>
          <w:color w:val="000000"/>
          <w:sz w:val="28"/>
          <w:szCs w:val="28"/>
        </w:rPr>
      </w:pPr>
    </w:p>
    <w:p w14:paraId="520C3ADD">
      <w:pPr>
        <w:spacing w:line="279" w:lineRule="auto"/>
        <w:ind w:firstLine="562" w:firstLineChars="200"/>
        <w:outlineLvl w:val="1"/>
        <w:rPr>
          <w:rFonts w:hint="eastAsia" w:ascii="黑体" w:hAnsi="黑体" w:eastAsia="黑体" w:cs="黑体"/>
          <w:b/>
          <w:bCs/>
          <w:color w:val="000000"/>
          <w:sz w:val="28"/>
          <w:szCs w:val="28"/>
        </w:rPr>
      </w:pPr>
      <w:r>
        <w:rPr>
          <w:rFonts w:hint="eastAsia" w:ascii="黑体" w:hAnsi="黑体" w:eastAsia="黑体" w:cs="黑体"/>
          <w:b/>
          <w:bCs/>
          <w:color w:val="000000"/>
          <w:sz w:val="28"/>
          <w:szCs w:val="28"/>
        </w:rPr>
        <w:t>9.3.2 完整损益表</w:t>
      </w:r>
    </w:p>
    <w:p w14:paraId="522FCC64">
      <w:pPr>
        <w:spacing w:line="279" w:lineRule="auto"/>
        <w:ind w:firstLine="422" w:firstLineChars="200"/>
        <w:jc w:val="center"/>
        <w:rPr>
          <w:rFonts w:hint="eastAsia" w:ascii="黑体" w:hAnsi="黑体" w:eastAsia="黑体" w:cs="黑体"/>
          <w:b/>
          <w:bCs/>
          <w:color w:val="000000"/>
          <w:sz w:val="21"/>
          <w:szCs w:val="21"/>
        </w:rPr>
      </w:pPr>
      <w:r>
        <w:rPr>
          <w:rFonts w:hint="eastAsia" w:ascii="黑体" w:hAnsi="黑体" w:eastAsia="黑体" w:cs="黑体"/>
          <w:b/>
          <w:bCs/>
          <w:color w:val="000000"/>
          <w:sz w:val="21"/>
          <w:szCs w:val="21"/>
        </w:rPr>
        <w:t>表9-4 2026-2030 损益表预测（P&amp;L/EBITDA）</w:t>
      </w:r>
    </w:p>
    <w:p w14:paraId="3C65F34A">
      <w:pPr>
        <w:spacing w:line="279" w:lineRule="auto"/>
        <w:ind w:firstLine="440" w:firstLineChars="200"/>
        <w:rPr>
          <w:rFonts w:hint="eastAsia"/>
        </w:rPr>
      </w:pPr>
    </w:p>
    <w:p w14:paraId="77D98BEF">
      <w:pPr>
        <w:widowControl/>
        <w:spacing w:before="120" w:after="120" w:line="279" w:lineRule="auto"/>
        <w:ind w:firstLine="560" w:firstLineChars="200"/>
        <w:rPr>
          <w:rFonts w:hint="eastAsia" w:ascii="宋体" w:hAnsi="宋体" w:eastAsia="宋体" w:cs="宋体"/>
          <w:color w:val="000000"/>
          <w:kern w:val="2"/>
          <w:sz w:val="28"/>
          <w:szCs w:val="28"/>
          <w:lang w:val="en-US" w:eastAsia="zh-CN" w:bidi="ar-SA"/>
        </w:rPr>
      </w:pPr>
      <w:r>
        <w:rPr>
          <w:rFonts w:hint="eastAsia" w:ascii="宋体" w:hAnsi="宋体" w:eastAsia="宋体" w:cs="宋体"/>
          <w:color w:val="000000"/>
          <w:kern w:val="2"/>
          <w:sz w:val="28"/>
          <w:szCs w:val="28"/>
          <w:lang w:val="en-US" w:eastAsia="zh-CN" w:bidi="ar-SA"/>
        </w:rPr>
        <w:t>计算逻辑说明：2026 年研发费用 12 万元，其中指导老师科研经费补贴 10 万元（冲减研发费用），项目自筹 2 万元。“其他收入”一栏中 2026 年 1 万元为榕树基金拨款，2027 年 3 万元为预计申请的小额科创孵化补贴。所得税 2029 年起按高新技术企业 15% 税率计算，2028 年适用 25% 税率并享受研发费用加计扣除，弥补前期亏损后对增量盈利征税。</w:t>
      </w:r>
    </w:p>
    <w:p w14:paraId="6488C8F9">
      <w:pPr>
        <w:spacing w:line="279" w:lineRule="auto"/>
        <w:ind w:firstLine="602" w:firstLineChars="200"/>
        <w:outlineLvl w:val="0"/>
        <w:rPr>
          <w:rFonts w:hint="eastAsia" w:ascii="黑体" w:hAnsi="黑体" w:eastAsia="黑体" w:cs="黑体"/>
          <w:b/>
          <w:bCs/>
          <w:color w:val="000000"/>
          <w:sz w:val="30"/>
          <w:szCs w:val="30"/>
        </w:rPr>
      </w:pPr>
      <w:bookmarkStart w:id="155" w:name="_Toc27545"/>
      <w:r>
        <w:rPr>
          <w:rFonts w:hint="eastAsia" w:ascii="黑体" w:hAnsi="黑体" w:eastAsia="黑体" w:cs="黑体"/>
          <w:b/>
          <w:bCs/>
          <w:color w:val="000000"/>
          <w:sz w:val="30"/>
          <w:szCs w:val="30"/>
        </w:rPr>
        <w:t>9.4 五年现金流量表（中性情景基准）</w:t>
      </w:r>
      <w:bookmarkEnd w:id="155"/>
    </w:p>
    <w:p w14:paraId="070FB70A">
      <w:pPr>
        <w:widowControl/>
        <w:spacing w:before="120" w:after="120" w:line="279" w:lineRule="auto"/>
        <w:ind w:firstLine="560" w:firstLineChars="200"/>
        <w:rPr>
          <w:rFonts w:hint="eastAsia" w:ascii="宋体" w:hAnsi="宋体" w:eastAsia="宋体" w:cs="宋体"/>
          <w:color w:val="000000"/>
          <w:sz w:val="28"/>
          <w:szCs w:val="28"/>
        </w:rPr>
      </w:pPr>
      <w:r>
        <w:rPr>
          <w:rFonts w:hint="eastAsia" w:ascii="宋体" w:hAnsi="宋体" w:eastAsia="宋体" w:cs="宋体"/>
          <w:color w:val="000000"/>
          <w:sz w:val="28"/>
          <w:szCs w:val="28"/>
        </w:rPr>
        <w:t>现金流量表揭示项目真实的“造血能力”与“失血风险”，对于初创项目尤为关键。</w:t>
      </w:r>
    </w:p>
    <w:p w14:paraId="00E41660">
      <w:pPr>
        <w:widowControl/>
        <w:spacing w:before="120" w:after="120" w:line="279" w:lineRule="auto"/>
        <w:ind w:firstLine="422" w:firstLineChars="200"/>
        <w:jc w:val="center"/>
        <w:rPr>
          <w:rFonts w:hint="eastAsia" w:ascii="宋体" w:hAnsi="宋体" w:eastAsia="宋体" w:cs="宋体"/>
          <w:b/>
          <w:bCs/>
          <w:color w:val="000000"/>
          <w:sz w:val="21"/>
          <w:szCs w:val="21"/>
        </w:rPr>
      </w:pPr>
      <w:r>
        <w:rPr>
          <w:rFonts w:hint="eastAsia" w:ascii="宋体" w:hAnsi="宋体" w:eastAsia="宋体" w:cs="宋体"/>
          <w:b/>
          <w:bCs/>
          <w:color w:val="000000"/>
          <w:sz w:val="21"/>
          <w:szCs w:val="21"/>
        </w:rPr>
        <w:t>表9-5 2026-2030 核心现金流量表预测</w:t>
      </w:r>
    </w:p>
    <w:p w14:paraId="62D9198E">
      <w:pPr>
        <w:widowControl/>
        <w:spacing w:before="120" w:after="120" w:line="279" w:lineRule="auto"/>
        <w:rPr>
          <w:rFonts w:hint="eastAsia" w:ascii="宋体" w:hAnsi="宋体" w:eastAsia="宋体" w:cs="宋体"/>
          <w:color w:val="000000"/>
          <w:sz w:val="28"/>
          <w:szCs w:val="28"/>
        </w:rPr>
      </w:pPr>
    </w:p>
    <w:p w14:paraId="13F6FE86">
      <w:pPr>
        <w:widowControl/>
        <w:spacing w:before="120" w:after="120" w:line="279" w:lineRule="auto"/>
        <w:ind w:firstLine="560" w:firstLineChars="200"/>
        <w:rPr>
          <w:rFonts w:hint="eastAsia" w:ascii="宋体" w:hAnsi="宋体" w:eastAsia="宋体" w:cs="宋体"/>
          <w:color w:val="000000"/>
          <w:kern w:val="2"/>
          <w:sz w:val="28"/>
          <w:szCs w:val="28"/>
          <w:lang w:val="en-US" w:eastAsia="zh-CN" w:bidi="ar-SA"/>
        </w:rPr>
      </w:pPr>
      <w:r>
        <w:rPr>
          <w:rFonts w:hint="eastAsia" w:ascii="宋体" w:hAnsi="宋体" w:eastAsia="宋体" w:cs="宋体"/>
          <w:color w:val="000000"/>
          <w:kern w:val="2"/>
          <w:sz w:val="28"/>
          <w:szCs w:val="28"/>
          <w:lang w:val="en-US" w:eastAsia="zh-CN" w:bidi="ar-SA"/>
        </w:rPr>
        <w:t>关键现金流说明：2027 年末预计引入 A 轮外部融资100~150 万元，这是本项目从 “标杆破冰” 跨越至 “全面放量” 阶段的关键资本节点。融资估值逻辑：彼时项目已有 1 家头部大厂 POC 验证案例 + 48 家付费 SaaS 客户，ARR 约 26.5 万元，按硬科技 + SaaS 行业5~8 倍 ARR估值，融资前估值约133~212 万元；结合技术壁垒与赛道增速溢价，合理投前估值为160~185 万元，出让20%~30% 股权融资100~150 万元，估值逻辑严谨自洽。2028 年经营性现金流仍为微负（-1.9 万元），主要因放量期销售费用与库存快速扩张，但已接近经营性盈亏平衡，资金安全垫充足。</w:t>
      </w:r>
    </w:p>
    <w:p w14:paraId="5B9B532C">
      <w:pPr>
        <w:spacing w:line="279" w:lineRule="auto"/>
        <w:ind w:firstLine="602" w:firstLineChars="200"/>
        <w:outlineLvl w:val="0"/>
        <w:rPr>
          <w:rFonts w:hint="eastAsia" w:ascii="黑体" w:hAnsi="黑体" w:eastAsia="黑体" w:cs="黑体"/>
          <w:b/>
          <w:bCs/>
          <w:color w:val="000000"/>
          <w:sz w:val="30"/>
          <w:szCs w:val="30"/>
        </w:rPr>
      </w:pPr>
      <w:bookmarkStart w:id="156" w:name="_Toc15274"/>
      <w:r>
        <w:rPr>
          <w:rFonts w:hint="eastAsia" w:ascii="黑体" w:hAnsi="黑体" w:eastAsia="黑体" w:cs="黑体"/>
          <w:b/>
          <w:bCs/>
          <w:color w:val="000000"/>
          <w:sz w:val="30"/>
          <w:szCs w:val="30"/>
        </w:rPr>
        <w:t>9.5 五年资产负债表（中性情景基准）</w:t>
      </w:r>
      <w:bookmarkEnd w:id="156"/>
    </w:p>
    <w:p w14:paraId="66620513">
      <w:pPr>
        <w:widowControl/>
        <w:spacing w:before="120" w:after="120" w:line="279" w:lineRule="auto"/>
        <w:ind w:firstLine="560" w:firstLineChars="200"/>
        <w:rPr>
          <w:rFonts w:hint="eastAsia" w:ascii="宋体" w:hAnsi="宋体" w:eastAsia="宋体" w:cs="宋体"/>
          <w:color w:val="000000"/>
          <w:sz w:val="28"/>
          <w:szCs w:val="28"/>
        </w:rPr>
      </w:pPr>
      <w:r>
        <w:rPr>
          <w:rFonts w:hint="eastAsia" w:ascii="宋体" w:hAnsi="宋体" w:eastAsia="宋体" w:cs="宋体"/>
          <w:color w:val="000000"/>
          <w:sz w:val="28"/>
          <w:szCs w:val="28"/>
        </w:rPr>
        <w:t>资产负债表呈现项目在每个年末的财务健康状况与资产结构。</w:t>
      </w:r>
    </w:p>
    <w:p w14:paraId="160D79DD">
      <w:pPr>
        <w:widowControl/>
        <w:spacing w:before="120" w:after="120" w:line="279" w:lineRule="auto"/>
        <w:ind w:firstLine="422" w:firstLineChars="200"/>
        <w:jc w:val="center"/>
        <w:rPr>
          <w:rFonts w:hint="eastAsia" w:ascii="宋体" w:hAnsi="宋体" w:eastAsia="宋体" w:cs="宋体"/>
          <w:b/>
          <w:bCs/>
          <w:color w:val="000000"/>
          <w:sz w:val="21"/>
          <w:szCs w:val="21"/>
        </w:rPr>
      </w:pPr>
      <w:r>
        <w:rPr>
          <w:rFonts w:hint="eastAsia" w:ascii="宋体" w:hAnsi="宋体" w:eastAsia="宋体" w:cs="宋体"/>
          <w:b/>
          <w:bCs/>
          <w:color w:val="000000"/>
          <w:sz w:val="21"/>
          <w:szCs w:val="21"/>
        </w:rPr>
        <w:t>表9-6 2026-2030 资产负债表预测</w:t>
      </w:r>
    </w:p>
    <w:p w14:paraId="78C28038">
      <w:pPr>
        <w:widowControl/>
        <w:spacing w:before="120" w:after="120" w:line="279" w:lineRule="auto"/>
        <w:ind w:firstLine="440" w:firstLineChars="200"/>
        <w:rPr>
          <w:rFonts w:hint="eastAsia"/>
        </w:rPr>
      </w:pPr>
    </w:p>
    <w:p w14:paraId="7073DD59">
      <w:pPr>
        <w:widowControl/>
        <w:spacing w:before="120" w:after="120" w:line="279" w:lineRule="auto"/>
        <w:ind w:firstLine="562" w:firstLineChars="200"/>
        <w:rPr>
          <w:rFonts w:hint="eastAsia" w:ascii="宋体" w:hAnsi="宋体" w:eastAsia="宋体" w:cs="宋体"/>
          <w:color w:val="000000"/>
          <w:sz w:val="28"/>
          <w:szCs w:val="28"/>
        </w:rPr>
      </w:pPr>
      <w:r>
        <w:rPr>
          <w:rFonts w:hint="eastAsia" w:ascii="宋体" w:hAnsi="宋体" w:eastAsia="宋体" w:cs="宋体"/>
          <w:b/>
          <w:bCs/>
          <w:color w:val="000000"/>
          <w:sz w:val="28"/>
          <w:szCs w:val="28"/>
        </w:rPr>
        <w:t>报表勾稽验证</w:t>
      </w:r>
      <w:r>
        <w:rPr>
          <w:rFonts w:hint="eastAsia" w:ascii="宋体" w:hAnsi="宋体" w:eastAsia="宋体" w:cs="宋体"/>
          <w:color w:val="000000"/>
          <w:sz w:val="28"/>
          <w:szCs w:val="28"/>
        </w:rPr>
        <w:t>：每年末“资产总计=负债合计+所有者权益合计”均严格成立。未分配利润变动=上年末余额+当年净利润，亦与损益表完全对应。固定资产净值=上年净值+当年CapEx-当年折旧（约1.2万/年），计算逻辑一致。</w:t>
      </w:r>
    </w:p>
    <w:p w14:paraId="7E973F0C">
      <w:pPr>
        <w:spacing w:line="279" w:lineRule="auto"/>
        <w:ind w:firstLine="602" w:firstLineChars="200"/>
        <w:outlineLvl w:val="0"/>
        <w:rPr>
          <w:rFonts w:hint="eastAsia" w:ascii="黑体" w:hAnsi="黑体" w:eastAsia="黑体" w:cs="黑体"/>
          <w:b/>
          <w:bCs/>
          <w:color w:val="000000"/>
          <w:sz w:val="30"/>
          <w:szCs w:val="30"/>
        </w:rPr>
      </w:pPr>
      <w:bookmarkStart w:id="157" w:name="_Toc25163"/>
      <w:r>
        <w:rPr>
          <w:rFonts w:hint="eastAsia" w:ascii="黑体" w:hAnsi="黑体" w:eastAsia="黑体" w:cs="黑体"/>
          <w:b/>
          <w:bCs/>
          <w:color w:val="000000"/>
          <w:sz w:val="30"/>
          <w:szCs w:val="30"/>
        </w:rPr>
        <w:t>9.6 三情景五年营收与盈利对比表</w:t>
      </w:r>
      <w:bookmarkEnd w:id="157"/>
    </w:p>
    <w:p w14:paraId="65C71336">
      <w:pPr>
        <w:widowControl/>
        <w:spacing w:before="120" w:after="120" w:line="279" w:lineRule="auto"/>
        <w:ind w:firstLine="560" w:firstLineChars="200"/>
        <w:rPr>
          <w:rFonts w:hint="eastAsia" w:ascii="宋体" w:hAnsi="宋体" w:eastAsia="宋体" w:cs="宋体"/>
          <w:color w:val="000000"/>
          <w:sz w:val="28"/>
          <w:szCs w:val="28"/>
        </w:rPr>
      </w:pPr>
      <w:r>
        <w:rPr>
          <w:rFonts w:hint="eastAsia" w:ascii="宋体" w:hAnsi="宋体" w:eastAsia="宋体" w:cs="宋体"/>
          <w:color w:val="000000"/>
          <w:sz w:val="28"/>
          <w:szCs w:val="28"/>
        </w:rPr>
        <w:t>本表以嵌套对比结构呈现三种情景下的关键财务结果，供决策者快速判断风险边界。</w:t>
      </w:r>
    </w:p>
    <w:p w14:paraId="12901647">
      <w:pPr>
        <w:widowControl/>
        <w:spacing w:before="120" w:after="120" w:line="279" w:lineRule="auto"/>
        <w:ind w:firstLine="422" w:firstLineChars="200"/>
        <w:jc w:val="center"/>
        <w:rPr>
          <w:rFonts w:hint="eastAsia" w:ascii="黑体" w:hAnsi="黑体" w:eastAsia="黑体" w:cs="黑体"/>
          <w:b/>
          <w:bCs/>
          <w:color w:val="000000"/>
          <w:sz w:val="21"/>
          <w:szCs w:val="21"/>
        </w:rPr>
      </w:pPr>
      <w:r>
        <w:rPr>
          <w:rFonts w:hint="eastAsia" w:ascii="黑体" w:hAnsi="黑体" w:eastAsia="黑体" w:cs="黑体"/>
          <w:b/>
          <w:bCs/>
          <w:color w:val="000000"/>
          <w:sz w:val="21"/>
          <w:szCs w:val="21"/>
        </w:rPr>
        <w:t>表9-7 2026-2030三大情景财务敏感性及盈利平衡点预测</w:t>
      </w:r>
    </w:p>
    <w:p w14:paraId="2FCE9730">
      <w:pPr>
        <w:widowControl/>
        <w:spacing w:before="120" w:after="120" w:line="279" w:lineRule="auto"/>
        <w:rPr>
          <w:rFonts w:hint="eastAsia"/>
        </w:rPr>
      </w:pPr>
    </w:p>
    <w:p w14:paraId="6443451B">
      <w:pPr>
        <w:spacing w:line="279" w:lineRule="auto"/>
        <w:ind w:firstLine="602" w:firstLineChars="200"/>
        <w:outlineLvl w:val="0"/>
        <w:rPr>
          <w:rFonts w:hint="eastAsia" w:ascii="黑体" w:hAnsi="黑体" w:eastAsia="黑体" w:cs="黑体"/>
          <w:b/>
          <w:bCs/>
          <w:color w:val="000000"/>
          <w:sz w:val="30"/>
          <w:szCs w:val="30"/>
        </w:rPr>
      </w:pPr>
      <w:bookmarkStart w:id="158" w:name="_Toc19865"/>
      <w:r>
        <w:rPr>
          <w:rFonts w:hint="eastAsia" w:ascii="黑体" w:hAnsi="黑体" w:eastAsia="黑体" w:cs="黑体"/>
          <w:b/>
          <w:bCs/>
          <w:color w:val="000000"/>
          <w:sz w:val="30"/>
          <w:szCs w:val="30"/>
        </w:rPr>
        <w:t>9.7 盈亏平衡分析</w:t>
      </w:r>
      <w:bookmarkEnd w:id="158"/>
    </w:p>
    <w:p w14:paraId="137BB074">
      <w:pPr>
        <w:spacing w:line="279" w:lineRule="auto"/>
        <w:ind w:firstLine="560" w:firstLineChars="200"/>
        <w:rPr>
          <w:rFonts w:hint="eastAsia" w:ascii="宋体" w:hAnsi="宋体" w:eastAsia="宋体" w:cs="宋体"/>
          <w:color w:val="000000"/>
          <w:sz w:val="28"/>
          <w:szCs w:val="28"/>
        </w:rPr>
      </w:pPr>
      <w:r>
        <w:rPr>
          <w:rFonts w:hint="eastAsia" w:ascii="宋体" w:hAnsi="宋体" w:eastAsia="宋体" w:cs="宋体"/>
          <w:color w:val="000000"/>
          <w:sz w:val="28"/>
          <w:szCs w:val="28"/>
        </w:rPr>
        <w:t>盈亏平衡分析回答的核心问题是：“项目至少需要做多大的业务量，才能覆盖所有固定成本？”</w:t>
      </w:r>
    </w:p>
    <w:p w14:paraId="08623CBA">
      <w:pPr>
        <w:spacing w:line="279" w:lineRule="auto"/>
        <w:ind w:firstLine="562" w:firstLineChars="200"/>
        <w:outlineLvl w:val="1"/>
        <w:rPr>
          <w:rFonts w:hint="eastAsia" w:ascii="宋体" w:hAnsi="宋体" w:eastAsia="宋体" w:cs="宋体"/>
          <w:color w:val="000000"/>
          <w:sz w:val="28"/>
          <w:szCs w:val="28"/>
        </w:rPr>
      </w:pPr>
      <w:r>
        <w:rPr>
          <w:rFonts w:hint="eastAsia" w:ascii="黑体" w:hAnsi="黑体" w:eastAsia="黑体" w:cs="黑体"/>
          <w:b/>
          <w:bCs/>
          <w:color w:val="000000"/>
          <w:sz w:val="28"/>
          <w:szCs w:val="28"/>
        </w:rPr>
        <w:t>9.7.1 固定成本结构分解</w:t>
      </w:r>
      <w:r>
        <w:rPr>
          <w:rFonts w:hint="eastAsia" w:ascii="宋体" w:hAnsi="宋体" w:eastAsia="宋体" w:cs="宋体"/>
          <w:color w:val="000000"/>
          <w:sz w:val="28"/>
          <w:szCs w:val="28"/>
        </w:rPr>
        <w:t>​</w:t>
      </w:r>
    </w:p>
    <w:p w14:paraId="059EE32B">
      <w:pPr>
        <w:spacing w:line="279" w:lineRule="auto"/>
        <w:ind w:firstLine="560" w:firstLineChars="200"/>
        <w:rPr>
          <w:rFonts w:hint="eastAsia" w:ascii="宋体" w:hAnsi="宋体" w:eastAsia="宋体" w:cs="宋体"/>
          <w:color w:val="000000"/>
          <w:sz w:val="28"/>
          <w:szCs w:val="28"/>
        </w:rPr>
      </w:pPr>
      <w:r>
        <w:rPr>
          <w:rFonts w:hint="eastAsia" w:ascii="宋体" w:hAnsi="宋体" w:eastAsia="宋体" w:cs="宋体"/>
          <w:color w:val="000000"/>
          <w:sz w:val="28"/>
          <w:szCs w:val="28"/>
        </w:rPr>
        <w:t>本项目的固定成本主要由研发人员薪酬、服务器基础费用、管理费用中的固定部分构成。以第3年（2028年）为基准年进行盈亏平衡分析（此时业务模式已成型，最具代表性）：</w:t>
      </w:r>
    </w:p>
    <w:p w14:paraId="5EA75206">
      <w:pPr>
        <w:spacing w:line="279" w:lineRule="auto"/>
        <w:ind w:firstLine="560" w:firstLineChars="200"/>
        <w:rPr>
          <w:rFonts w:hint="eastAsia" w:ascii="宋体" w:hAnsi="宋体" w:eastAsia="宋体" w:cs="宋体"/>
          <w:color w:val="000000"/>
          <w:sz w:val="28"/>
          <w:szCs w:val="28"/>
        </w:rPr>
      </w:pPr>
      <w:r>
        <w:rPr>
          <w:rFonts w:hint="eastAsia" w:ascii="宋体" w:hAnsi="宋体" w:eastAsia="宋体" w:cs="宋体"/>
          <w:color w:val="000000"/>
          <w:sz w:val="28"/>
          <w:szCs w:val="28"/>
        </w:rPr>
        <w:t>2028年固定成本估算：</w:t>
      </w:r>
    </w:p>
    <w:p w14:paraId="75995712">
      <w:pPr>
        <w:widowControl/>
        <w:spacing w:before="120" w:after="120" w:line="279" w:lineRule="auto"/>
        <w:ind w:firstLine="560" w:firstLineChars="200"/>
        <w:rPr>
          <w:rFonts w:hint="eastAsia" w:ascii="宋体" w:hAnsi="宋体" w:eastAsia="宋体" w:cs="宋体"/>
          <w:color w:val="000000"/>
          <w:sz w:val="28"/>
          <w:szCs w:val="28"/>
        </w:rPr>
      </w:pPr>
      <w:r>
        <w:rPr>
          <w:rFonts w:hint="eastAsia" w:ascii="宋体" w:hAnsi="宋体" w:eastAsia="宋体" w:cs="宋体"/>
          <w:color w:val="000000"/>
          <w:sz w:val="28"/>
          <w:szCs w:val="28"/>
        </w:rPr>
        <w:t>（1）研发人员固定薪酬：约28万元/年（3~4名核心工程师）</w:t>
      </w:r>
    </w:p>
    <w:p w14:paraId="6BD4382A">
      <w:pPr>
        <w:widowControl/>
        <w:spacing w:before="120" w:after="120" w:line="279" w:lineRule="auto"/>
        <w:ind w:firstLine="560" w:firstLineChars="200"/>
        <w:rPr>
          <w:rFonts w:hint="eastAsia" w:ascii="宋体" w:hAnsi="宋体" w:eastAsia="宋体" w:cs="宋体"/>
          <w:color w:val="000000"/>
          <w:sz w:val="28"/>
          <w:szCs w:val="28"/>
        </w:rPr>
      </w:pPr>
      <w:r>
        <w:rPr>
          <w:rFonts w:hint="eastAsia" w:ascii="宋体" w:hAnsi="宋体" w:eastAsia="宋体" w:cs="宋体"/>
          <w:color w:val="000000"/>
          <w:sz w:val="28"/>
          <w:szCs w:val="28"/>
        </w:rPr>
        <w:t>（2）云服务器基础费用（不随用量变动部分）：约5万元/年</w:t>
      </w:r>
    </w:p>
    <w:p w14:paraId="3BD0C215">
      <w:pPr>
        <w:widowControl/>
        <w:spacing w:before="120" w:after="120" w:line="279" w:lineRule="auto"/>
        <w:ind w:firstLine="560" w:firstLineChars="200"/>
        <w:rPr>
          <w:rFonts w:hint="eastAsia" w:ascii="宋体" w:hAnsi="宋体" w:eastAsia="宋体" w:cs="宋体"/>
          <w:color w:val="000000"/>
          <w:sz w:val="28"/>
          <w:szCs w:val="28"/>
        </w:rPr>
      </w:pPr>
      <w:r>
        <w:rPr>
          <w:rFonts w:hint="eastAsia" w:ascii="宋体" w:hAnsi="宋体" w:eastAsia="宋体" w:cs="宋体"/>
          <w:color w:val="000000"/>
          <w:sz w:val="28"/>
          <w:szCs w:val="28"/>
        </w:rPr>
        <w:t>（3）管理人员薪酬及行政费用：约12万元/年</w:t>
      </w:r>
    </w:p>
    <w:p w14:paraId="7628D422">
      <w:pPr>
        <w:widowControl/>
        <w:spacing w:before="120" w:after="120" w:line="279" w:lineRule="auto"/>
        <w:ind w:firstLine="560" w:firstLineChars="200"/>
        <w:rPr>
          <w:rFonts w:hint="eastAsia" w:ascii="宋体" w:hAnsi="宋体" w:eastAsia="宋体" w:cs="宋体"/>
          <w:color w:val="000000"/>
          <w:sz w:val="28"/>
          <w:szCs w:val="28"/>
        </w:rPr>
      </w:pPr>
      <w:r>
        <w:rPr>
          <w:rFonts w:hint="eastAsia" w:ascii="宋体" w:hAnsi="宋体" w:eastAsia="宋体" w:cs="宋体"/>
          <w:color w:val="000000"/>
          <w:sz w:val="28"/>
          <w:szCs w:val="28"/>
        </w:rPr>
        <w:t>（4）固定销售费用（品牌推广、展会）：约8万元/年</w:t>
      </w:r>
    </w:p>
    <w:p w14:paraId="48A1F141">
      <w:pPr>
        <w:widowControl/>
        <w:spacing w:before="120" w:after="120" w:line="279" w:lineRule="auto"/>
        <w:ind w:firstLine="560" w:firstLineChars="200"/>
        <w:rPr>
          <w:rStyle w:val="9"/>
          <w:rFonts w:hint="eastAsia" w:ascii="宋体" w:hAnsi="宋体" w:eastAsia="宋体" w:cs="宋体"/>
          <w:color w:val="000000"/>
          <w:sz w:val="28"/>
          <w:szCs w:val="28"/>
        </w:rPr>
      </w:pPr>
      <w:r>
        <w:rPr>
          <w:rStyle w:val="9"/>
          <w:rFonts w:hint="eastAsia" w:ascii="宋体" w:hAnsi="宋体" w:eastAsia="宋体" w:cs="宋体"/>
          <w:b w:val="0"/>
          <w:bCs/>
          <w:color w:val="000000"/>
          <w:sz w:val="28"/>
          <w:szCs w:val="28"/>
        </w:rPr>
        <w:t>（5）固定成本合计（FC）</w:t>
      </w:r>
      <w:r>
        <w:rPr>
          <w:rStyle w:val="9"/>
          <w:rFonts w:hint="eastAsia" w:ascii="宋体" w:hAnsi="宋体" w:eastAsia="宋体" w:cs="宋体"/>
          <w:color w:val="000000"/>
          <w:sz w:val="28"/>
          <w:szCs w:val="28"/>
        </w:rPr>
        <w:t>：约53万元/年</w:t>
      </w:r>
    </w:p>
    <w:p w14:paraId="54AB3689">
      <w:pPr>
        <w:widowControl/>
        <w:spacing w:before="120" w:after="120" w:line="279" w:lineRule="auto"/>
        <w:ind w:firstLine="560" w:firstLineChars="200"/>
        <w:rPr>
          <w:rFonts w:hint="eastAsia" w:ascii="宋体" w:hAnsi="宋体" w:eastAsia="宋体" w:cs="宋体"/>
          <w:bCs/>
          <w:color w:val="000000"/>
          <w:sz w:val="28"/>
          <w:szCs w:val="28"/>
        </w:rPr>
      </w:pPr>
      <w:r>
        <w:rPr>
          <w:rFonts w:hint="eastAsia" w:ascii="宋体" w:hAnsi="宋体" w:eastAsia="宋体" w:cs="宋体"/>
          <w:bCs/>
          <w:color w:val="000000"/>
          <w:sz w:val="28"/>
          <w:szCs w:val="28"/>
        </w:rPr>
        <w:t>变动成本率（Variable Cost Ratio）= 1 - 综合毛利率 = 1 - 57.7% = 42.3%​</w:t>
      </w:r>
    </w:p>
    <w:p w14:paraId="1CAAA421">
      <w:pPr>
        <w:spacing w:line="279" w:lineRule="auto"/>
        <w:ind w:firstLine="562" w:firstLineChars="200"/>
        <w:outlineLvl w:val="1"/>
        <w:rPr>
          <w:rFonts w:hint="eastAsia" w:ascii="黑体" w:hAnsi="黑体" w:eastAsia="黑体" w:cs="黑体"/>
          <w:b/>
          <w:bCs/>
          <w:color w:val="000000"/>
          <w:sz w:val="28"/>
          <w:szCs w:val="28"/>
        </w:rPr>
      </w:pPr>
      <w:r>
        <w:rPr>
          <w:rFonts w:hint="eastAsia" w:ascii="黑体" w:hAnsi="黑体" w:eastAsia="黑体" w:cs="黑体"/>
          <w:b/>
          <w:bCs/>
          <w:color w:val="000000"/>
          <w:sz w:val="28"/>
          <w:szCs w:val="28"/>
        </w:rPr>
        <w:t>9.7.2 盈亏平衡点计算</w:t>
      </w:r>
    </w:p>
    <w:p w14:paraId="7EB9E659">
      <w:pPr>
        <w:spacing w:line="279" w:lineRule="auto"/>
        <w:ind w:firstLine="440" w:firstLineChars="200"/>
        <w:rPr>
          <w:rFonts w:hint="eastAsia" w:ascii="宋体" w:hAnsi="宋体" w:eastAsia="宋体" w:cs="宋体"/>
        </w:rPr>
      </w:pPr>
    </w:p>
    <w:p w14:paraId="00A89C20">
      <w:pPr>
        <w:spacing w:line="279" w:lineRule="auto"/>
        <w:ind w:firstLine="560" w:firstLineChars="200"/>
        <w:rPr>
          <w:rFonts w:hint="eastAsia" w:ascii="宋体" w:hAnsi="宋体" w:eastAsia="宋体" w:cs="宋体"/>
          <w:color w:val="000000"/>
          <w:sz w:val="28"/>
          <w:szCs w:val="28"/>
        </w:rPr>
      </w:pPr>
      <w:r>
        <w:rPr>
          <w:rFonts w:hint="eastAsia" w:ascii="宋体" w:hAnsi="宋体" w:eastAsia="宋体" w:cs="宋体"/>
          <w:color w:val="000000"/>
          <w:sz w:val="28"/>
          <w:szCs w:val="28"/>
        </w:rPr>
        <w:t>这意味着2028年只需实现约91.9万元营收即可覆盖全部固定成本，而该年实际预测营收为183.9万元，安全边际高达50.0%​，盈利确定性较强。</w:t>
      </w:r>
    </w:p>
    <w:p w14:paraId="493157BB">
      <w:pPr>
        <w:spacing w:line="279" w:lineRule="auto"/>
        <w:ind w:firstLine="560" w:firstLineChars="200"/>
        <w:rPr>
          <w:rFonts w:hint="eastAsia" w:ascii="宋体" w:hAnsi="宋体" w:eastAsia="宋体" w:cs="宋体"/>
          <w:color w:val="000000"/>
          <w:sz w:val="28"/>
          <w:szCs w:val="28"/>
        </w:rPr>
      </w:pPr>
    </w:p>
    <w:p w14:paraId="7119CFFC">
      <w:pPr>
        <w:spacing w:line="279" w:lineRule="auto"/>
        <w:ind w:firstLine="562" w:firstLineChars="200"/>
        <w:outlineLvl w:val="1"/>
        <w:rPr>
          <w:rFonts w:hint="eastAsia" w:ascii="黑体" w:hAnsi="黑体" w:eastAsia="黑体" w:cs="黑体"/>
          <w:b/>
          <w:bCs/>
          <w:color w:val="000000"/>
          <w:sz w:val="28"/>
          <w:szCs w:val="28"/>
        </w:rPr>
      </w:pPr>
      <w:r>
        <w:rPr>
          <w:rFonts w:hint="eastAsia" w:ascii="黑体" w:hAnsi="黑体" w:eastAsia="黑体" w:cs="黑体"/>
          <w:b/>
          <w:bCs/>
          <w:color w:val="000000"/>
          <w:sz w:val="28"/>
          <w:szCs w:val="28"/>
        </w:rPr>
        <w:t>9.7.3 分业务线盈亏平衡台数分析</w:t>
      </w:r>
    </w:p>
    <w:p w14:paraId="0488C8DB">
      <w:pPr>
        <w:spacing w:line="279" w:lineRule="auto"/>
        <w:ind w:firstLine="560" w:firstLineChars="200"/>
        <w:rPr>
          <w:rFonts w:hAnsi="Cambria Math" w:eastAsia="宋体" w:cs="宋体"/>
          <w:iCs/>
          <w:sz w:val="28"/>
          <w:szCs w:val="28"/>
        </w:rPr>
      </w:pPr>
    </w:p>
    <w:p w14:paraId="46BA71F3">
      <w:pPr>
        <w:spacing w:line="279" w:lineRule="auto"/>
        <w:ind w:firstLine="422" w:firstLineChars="200"/>
        <w:jc w:val="center"/>
        <w:rPr>
          <w:rFonts w:hint="eastAsia"/>
        </w:rPr>
      </w:pPr>
      <w:r>
        <w:rPr>
          <w:rFonts w:hint="eastAsia" w:ascii="黑体" w:hAnsi="黑体" w:eastAsia="黑体" w:cs="黑体"/>
          <w:b/>
          <w:bCs/>
          <w:iCs/>
          <w:sz w:val="21"/>
          <w:szCs w:val="21"/>
        </w:rPr>
        <w:t>表9-8 2026-2030盈亏平衡与安全边际测算表</w:t>
      </w:r>
    </w:p>
    <w:p w14:paraId="5EA07925">
      <w:pPr>
        <w:spacing w:line="279" w:lineRule="auto"/>
        <w:ind w:firstLine="560" w:firstLineChars="200"/>
        <w:rPr>
          <w:rFonts w:hAnsi="Cambria Math" w:eastAsia="宋体" w:cs="宋体"/>
          <w:sz w:val="28"/>
          <w:szCs w:val="28"/>
        </w:rPr>
      </w:pPr>
    </w:p>
    <w:p w14:paraId="777823DB">
      <w:pPr>
        <w:spacing w:line="279" w:lineRule="auto"/>
        <w:ind w:firstLine="560" w:firstLineChars="200"/>
        <w:rPr>
          <w:rFonts w:hAnsi="Cambria Math" w:eastAsia="宋体" w:cs="宋体"/>
          <w:iCs/>
          <w:sz w:val="28"/>
          <w:szCs w:val="28"/>
        </w:rPr>
      </w:pPr>
      <w:r>
        <w:rPr>
          <w:rFonts w:hint="eastAsia" w:hAnsi="Cambria Math" w:eastAsia="宋体" w:cs="宋体"/>
          <w:iCs/>
          <w:sz w:val="28"/>
          <w:szCs w:val="28"/>
        </w:rPr>
        <w:t>计算说明：“达到BEP所需最低在网设备台数”基于设备租赁+SaaS混合收入结构，假设SaaS渗透率60%、加权年费3.85万元，每台设备年均贡献收入=1,500元×12+3.85万×60% = 1.8万+2.31万 = 4.11万元，则BEP台数= 91.9万÷4.11万≈22台</w:t>
      </w:r>
      <w:r>
        <w:rPr>
          <w:rFonts w:hint="eastAsia" w:hAnsi="Cambria Math" w:eastAsia="宋体" w:cs="宋体"/>
          <w:iCs/>
          <w:sz w:val="28"/>
          <w:szCs w:val="28"/>
          <w:lang w:eastAsia="zh-CN"/>
        </w:rPr>
        <w:t>，</w:t>
      </w:r>
      <w:r>
        <w:rPr>
          <w:rFonts w:hint="eastAsia" w:hAnsi="Cambria Math" w:eastAsia="宋体" w:cs="宋体"/>
          <w:iCs/>
          <w:sz w:val="28"/>
          <w:szCs w:val="28"/>
        </w:rPr>
        <w:t>安全边际极为充裕。</w:t>
      </w:r>
      <w:r>
        <w:rPr>
          <w:rFonts w:hint="eastAsia" w:ascii="Calibri" w:hAnsi="Cambria Math" w:eastAsia="宋体" w:cs="宋体"/>
          <w:iCs/>
          <w:kern w:val="2"/>
          <w:sz w:val="28"/>
          <w:szCs w:val="28"/>
          <w:lang w:val="en-US" w:eastAsia="zh-CN" w:bidi="ar-SA"/>
        </w:rPr>
        <w:t>此处 BEP 台数基于稳态业务模型，即设备铺设满 1 年后的年均收入贡献，未考虑首年半年费的时间差。实际首年达到 BEP 所需台数会略高（约 25 台），但安全边际仍极为充裕。</w:t>
      </w:r>
    </w:p>
    <w:p w14:paraId="12E4768E">
      <w:pPr>
        <w:spacing w:line="279" w:lineRule="auto"/>
        <w:ind w:firstLine="643" w:firstLineChars="200"/>
        <w:outlineLvl w:val="0"/>
        <w:rPr>
          <w:rFonts w:hint="eastAsia" w:ascii="黑体" w:hAnsi="黑体" w:eastAsia="黑体" w:cs="黑体"/>
          <w:b/>
          <w:bCs/>
          <w:sz w:val="32"/>
          <w:szCs w:val="32"/>
        </w:rPr>
      </w:pPr>
      <w:bookmarkStart w:id="159" w:name="_Toc17165"/>
      <w:r>
        <w:rPr>
          <w:rFonts w:hint="eastAsia" w:ascii="黑体" w:hAnsi="黑体" w:eastAsia="黑体" w:cs="黑体"/>
          <w:b/>
          <w:bCs/>
          <w:sz w:val="32"/>
          <w:szCs w:val="32"/>
        </w:rPr>
        <w:t>9.8 敏感性分析</w:t>
      </w:r>
      <w:bookmarkEnd w:id="159"/>
    </w:p>
    <w:p w14:paraId="5FC54B4F">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敏感性分析回答的核心问题是：“哪些假设变量一旦出错，对项目盈利的冲击最大？”以2028年净利润（5.8万元）和2030年净利润（248.6万元）为基准，对六大核心变量进行单变量敏感性测试。</w:t>
      </w:r>
    </w:p>
    <w:p w14:paraId="723D2FB4">
      <w:pPr>
        <w:spacing w:line="279" w:lineRule="auto"/>
        <w:ind w:firstLine="643" w:firstLineChars="200"/>
        <w:outlineLvl w:val="1"/>
        <w:rPr>
          <w:rFonts w:hint="eastAsia" w:ascii="黑体" w:hAnsi="黑体" w:eastAsia="黑体" w:cs="黑体"/>
          <w:b/>
          <w:bCs/>
          <w:sz w:val="32"/>
          <w:szCs w:val="32"/>
        </w:rPr>
      </w:pPr>
      <w:r>
        <w:rPr>
          <w:rFonts w:hint="eastAsia" w:ascii="黑体" w:hAnsi="黑体" w:eastAsia="黑体" w:cs="黑体"/>
          <w:b/>
          <w:bCs/>
          <w:sz w:val="32"/>
          <w:szCs w:val="32"/>
        </w:rPr>
        <w:t>9.8.1 单变量敏感性分析表（基准年：2028年）</w:t>
      </w:r>
    </w:p>
    <w:p w14:paraId="76B1A60F">
      <w:pPr>
        <w:spacing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图9-9 关键变量财务敏感性压力测试与评级矩阵</w:t>
      </w:r>
    </w:p>
    <w:p w14:paraId="7462A0E9">
      <w:pPr>
        <w:spacing w:line="279" w:lineRule="auto"/>
        <w:outlineLvl w:val="1"/>
        <w:rPr>
          <w:rFonts w:hint="eastAsia" w:ascii="黑体" w:hAnsi="黑体" w:eastAsia="黑体" w:cs="黑体"/>
          <w:b/>
          <w:bCs/>
          <w:sz w:val="32"/>
          <w:szCs w:val="32"/>
        </w:rPr>
      </w:pPr>
      <w:r>
        <w:rPr>
          <w:rFonts w:hint="eastAsia" w:ascii="黑体" w:hAnsi="黑体" w:eastAsia="黑体" w:cs="黑体"/>
          <w:b/>
          <w:bCs/>
          <w:sz w:val="32"/>
          <w:szCs w:val="32"/>
        </w:rPr>
        <w:t>​9.8.2 双变量敏感性矩阵（2030年净利润，万元）</w:t>
      </w:r>
    </w:p>
    <w:p w14:paraId="151259FF">
      <w:pPr>
        <w:spacing w:line="279" w:lineRule="auto"/>
        <w:ind w:firstLine="560" w:firstLineChars="200"/>
        <w:rPr>
          <w:rFonts w:hint="eastAsia" w:ascii="黑体" w:hAnsi="黑体" w:eastAsia="黑体" w:cs="黑体"/>
          <w:b/>
          <w:bCs/>
          <w:sz w:val="32"/>
          <w:szCs w:val="32"/>
        </w:rPr>
      </w:pPr>
      <w:r>
        <w:rPr>
          <w:rFonts w:hint="eastAsia" w:ascii="宋体" w:hAnsi="宋体" w:eastAsia="宋体" w:cs="宋体"/>
          <w:sz w:val="28"/>
          <w:szCs w:val="28"/>
        </w:rPr>
        <w:t>以SaaS渗透率（列）和综合客户留存率（行）为双轴，构建二维敏感性矩阵，揭示两大核心变量交互作用下的利润分布区间。基准值为中性情景（渗透率60%，留存率87%），对应净利润248.6万元。</w:t>
      </w:r>
    </w:p>
    <w:p w14:paraId="3C104668">
      <w:pPr>
        <w:spacing w:line="279" w:lineRule="auto"/>
        <w:jc w:val="center"/>
        <w:rPr>
          <w:rFonts w:hint="eastAsia"/>
        </w:rPr>
      </w:pPr>
      <w:r>
        <w:rPr>
          <w:rFonts w:hint="eastAsia" w:ascii="黑体" w:hAnsi="黑体" w:eastAsia="黑体" w:cs="黑体"/>
          <w:b/>
          <w:bCs/>
          <w:sz w:val="21"/>
          <w:szCs w:val="21"/>
        </w:rPr>
        <w:t>表9-10 双变量交叉敏感性分析：净利润规模（2030年/万元）</w:t>
      </w:r>
    </w:p>
    <w:p w14:paraId="215A714B">
      <w:pPr>
        <w:spacing w:line="279" w:lineRule="auto"/>
        <w:rPr>
          <w:rFonts w:hint="eastAsia"/>
        </w:rPr>
      </w:pPr>
    </w:p>
    <w:p w14:paraId="495F2C35">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矩阵解读：矩阵中左下角（低渗透率+低留存率）为最悲观区间，最低值约98.4万元，仍为正盈利，说明即便两大核心变量同时大幅恶化，项目在第5年仍能维持盈利，下行风险可控。矩阵右上角（高渗透率+高留存率）最优值约418.8万元，展示了乐观情景下的利润天花板。</w:t>
      </w:r>
    </w:p>
    <w:p w14:paraId="150147ED">
      <w:pPr>
        <w:spacing w:line="279" w:lineRule="auto"/>
        <w:ind w:firstLine="562" w:firstLineChars="200"/>
        <w:outlineLvl w:val="1"/>
        <w:rPr>
          <w:rFonts w:hint="eastAsia" w:ascii="黑体" w:hAnsi="黑体" w:eastAsia="黑体" w:cs="黑体"/>
          <w:b/>
          <w:bCs/>
          <w:sz w:val="28"/>
          <w:szCs w:val="28"/>
        </w:rPr>
      </w:pPr>
      <w:r>
        <w:rPr>
          <w:rFonts w:hint="eastAsia" w:ascii="黑体" w:hAnsi="黑体" w:eastAsia="黑体" w:cs="黑体"/>
          <w:b/>
          <w:bCs/>
          <w:sz w:val="28"/>
          <w:szCs w:val="28"/>
        </w:rPr>
        <w:t>9.8.3 龙卷风图变量排序（2028年净利润敏感度排名）</w:t>
      </w:r>
    </w:p>
    <w:p w14:paraId="0A1D1F6F">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龙卷风图以水平条形图形式直观呈现各变量的影响幅度，从大到小排列如下：</w:t>
      </w:r>
    </w:p>
    <w:p w14:paraId="7D0D4E88">
      <w:pPr>
        <w:spacing w:line="279" w:lineRule="auto"/>
        <w:ind w:firstLine="560" w:firstLineChars="200"/>
        <w:rPr>
          <w:rFonts w:hint="eastAsia" w:ascii="宋体" w:hAnsi="宋体" w:eastAsia="宋体" w:cs="宋体"/>
          <w:sz w:val="28"/>
          <w:szCs w:val="28"/>
        </w:rPr>
      </w:pPr>
    </w:p>
    <w:p w14:paraId="6A1AA5CA">
      <w:pPr>
        <w:spacing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图9-1 净利润压力测试：单敏感变量（龙卷风图）</w:t>
      </w:r>
    </w:p>
    <w:p w14:paraId="2CF235F9">
      <w:pPr>
        <w:spacing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SaaS渗透率是第一敏感变量，运营团队应将“设备转化SaaS订阅”列为最高优先级KPI；研发费用率管控是第二敏感变量，需在研发投入与费用管控之间动态平衡；在网设备台数增长是第三敏感变量，渠道铺设速度直接决定盈利节奏。</w:t>
      </w:r>
    </w:p>
    <w:p w14:paraId="0328D4BD">
      <w:pPr>
        <w:spacing w:line="279" w:lineRule="auto"/>
        <w:ind w:firstLine="602" w:firstLineChars="200"/>
        <w:outlineLvl w:val="0"/>
        <w:rPr>
          <w:rFonts w:hint="eastAsia" w:ascii="黑体" w:hAnsi="黑体" w:eastAsia="黑体" w:cs="黑体"/>
          <w:b/>
          <w:bCs/>
          <w:sz w:val="30"/>
          <w:szCs w:val="30"/>
        </w:rPr>
      </w:pPr>
      <w:bookmarkStart w:id="160" w:name="_Toc32198"/>
      <w:r>
        <w:rPr>
          <w:rFonts w:hint="eastAsia" w:ascii="黑体" w:hAnsi="黑体" w:eastAsia="黑体" w:cs="黑体"/>
          <w:b/>
          <w:bCs/>
          <w:sz w:val="30"/>
          <w:szCs w:val="30"/>
        </w:rPr>
        <w:t>9.9 关键财务比率趋势表</w:t>
      </w:r>
      <w:bookmarkEnd w:id="160"/>
    </w:p>
    <w:p w14:paraId="030E5445">
      <w:pPr>
        <w:spacing w:line="279" w:lineRule="auto"/>
        <w:ind w:firstLine="562" w:firstLineChars="200"/>
        <w:outlineLvl w:val="1"/>
        <w:rPr>
          <w:rFonts w:hint="eastAsia" w:ascii="黑体" w:hAnsi="黑体" w:eastAsia="黑体" w:cs="黑体"/>
          <w:b/>
          <w:bCs/>
          <w:sz w:val="28"/>
          <w:szCs w:val="28"/>
        </w:rPr>
      </w:pPr>
      <w:r>
        <w:rPr>
          <w:rFonts w:hint="eastAsia" w:ascii="黑体" w:hAnsi="黑体" w:eastAsia="黑体" w:cs="黑体"/>
          <w:b/>
          <w:bCs/>
          <w:sz w:val="28"/>
          <w:szCs w:val="28"/>
        </w:rPr>
        <w:t>9.9.1 综合财务比率五年趋势（中性情景）​</w:t>
      </w:r>
    </w:p>
    <w:p w14:paraId="2C7CF2F4">
      <w:pPr>
        <w:spacing w:line="279" w:lineRule="auto"/>
        <w:ind w:firstLine="422" w:firstLineChars="200"/>
        <w:jc w:val="center"/>
        <w:rPr>
          <w:rFonts w:hint="eastAsia" w:ascii="黑体" w:hAnsi="黑体" w:eastAsia="黑体" w:cs="黑体"/>
          <w:b/>
          <w:bCs/>
          <w:sz w:val="21"/>
          <w:szCs w:val="21"/>
        </w:rPr>
      </w:pPr>
      <w:r>
        <w:rPr>
          <w:rFonts w:hint="eastAsia" w:ascii="黑体" w:hAnsi="黑体" w:eastAsia="黑体" w:cs="黑体"/>
          <w:b/>
          <w:bCs/>
          <w:sz w:val="21"/>
          <w:szCs w:val="21"/>
        </w:rPr>
        <w:t>表9-11 财务比率及核心经营指标演进分析</w:t>
      </w:r>
    </w:p>
    <w:p w14:paraId="38147570">
      <w:pPr>
        <w:spacing w:line="279" w:lineRule="auto"/>
        <w:rPr>
          <w:rFonts w:hint="eastAsia"/>
        </w:rPr>
      </w:pPr>
    </w:p>
    <w:p w14:paraId="3408C44C">
      <w:pPr>
        <w:spacing w:line="279" w:lineRule="auto"/>
        <w:ind w:firstLine="562" w:firstLineChars="200"/>
        <w:rPr>
          <w:rFonts w:hint="eastAsia" w:ascii="宋体" w:hAnsi="宋体" w:eastAsia="宋体" w:cs="宋体"/>
          <w:sz w:val="28"/>
          <w:szCs w:val="28"/>
        </w:rPr>
      </w:pPr>
      <w:r>
        <w:rPr>
          <w:rStyle w:val="9"/>
          <w:rFonts w:ascii="宋体" w:hAnsi="宋体" w:eastAsia="宋体" w:cs="宋体"/>
          <w:color w:val="000000"/>
          <w:sz w:val="28"/>
          <w:szCs w:val="28"/>
        </w:rPr>
        <w:t>NDR超过100%说明：​</w:t>
      </w:r>
      <w:r>
        <w:rPr>
          <w:rFonts w:ascii="宋体" w:hAnsi="宋体" w:eastAsia="宋体" w:cs="宋体"/>
          <w:sz w:val="28"/>
          <w:szCs w:val="28"/>
        </w:rPr>
        <w:t xml:space="preserve"> 2029年NDR达108%、2030年达115%，意味着即使不新增任何客户，仅靠老客户从基础版升级专业版/企业版（即</w:t>
      </w:r>
      <w:r>
        <w:rPr>
          <w:rFonts w:hint="eastAsia" w:ascii="宋体" w:hAnsi="宋体" w:eastAsia="宋体" w:cs="宋体"/>
          <w:sz w:val="28"/>
          <w:szCs w:val="28"/>
          <w:lang w:eastAsia="zh-CN"/>
        </w:rPr>
        <w:t>“</w:t>
      </w:r>
      <w:r>
        <w:rPr>
          <w:rFonts w:ascii="宋体" w:hAnsi="宋体" w:eastAsia="宋体" w:cs="宋体"/>
          <w:sz w:val="28"/>
          <w:szCs w:val="28"/>
        </w:rPr>
        <w:t>向上销售</w:t>
      </w:r>
      <w:r>
        <w:rPr>
          <w:rFonts w:hint="default" w:ascii="宋体" w:hAnsi="宋体" w:eastAsia="宋体" w:cs="宋体"/>
          <w:sz w:val="28"/>
          <w:szCs w:val="28"/>
          <w:lang w:val="en-US" w:eastAsia="zh-CN"/>
        </w:rPr>
        <w:t>”</w:t>
      </w:r>
      <w:r>
        <w:rPr>
          <w:rFonts w:ascii="宋体" w:hAnsi="宋体" w:eastAsia="宋体" w:cs="宋体"/>
          <w:sz w:val="28"/>
          <w:szCs w:val="28"/>
        </w:rPr>
        <w:t>），收入也能自然增长8~15%。这是SaaS模式最健康的标志，说明产品价值在客户使用过程中得到充分验证。</w:t>
      </w:r>
    </w:p>
    <w:p w14:paraId="29A9337F">
      <w:pPr>
        <w:spacing w:line="279" w:lineRule="auto"/>
        <w:ind w:firstLine="602" w:firstLineChars="200"/>
        <w:outlineLvl w:val="0"/>
        <w:rPr>
          <w:rFonts w:hint="eastAsia" w:ascii="黑体" w:hAnsi="黑体" w:eastAsia="黑体" w:cs="黑体"/>
          <w:b/>
          <w:bCs/>
          <w:sz w:val="30"/>
          <w:szCs w:val="30"/>
        </w:rPr>
      </w:pPr>
      <w:bookmarkStart w:id="161" w:name="_Toc30925"/>
      <w:r>
        <w:rPr>
          <w:rFonts w:hint="eastAsia" w:ascii="黑体" w:hAnsi="黑体" w:eastAsia="黑体" w:cs="黑体"/>
          <w:b/>
          <w:bCs/>
          <w:sz w:val="30"/>
          <w:szCs w:val="30"/>
        </w:rPr>
        <w:t>9.10 资本需求与融资规划</w:t>
      </w:r>
      <w:bookmarkEnd w:id="161"/>
    </w:p>
    <w:p w14:paraId="047DE34D">
      <w:pPr>
        <w:spacing w:line="279" w:lineRule="auto"/>
        <w:ind w:firstLine="562" w:firstLineChars="200"/>
        <w:outlineLvl w:val="1"/>
        <w:rPr>
          <w:rFonts w:hint="eastAsia" w:ascii="黑体" w:hAnsi="黑体" w:eastAsia="黑体" w:cs="黑体"/>
          <w:b/>
          <w:bCs/>
          <w:sz w:val="28"/>
          <w:szCs w:val="28"/>
        </w:rPr>
      </w:pPr>
      <w:r>
        <w:rPr>
          <w:rFonts w:hint="eastAsia" w:ascii="黑体" w:hAnsi="黑体" w:eastAsia="黑体" w:cs="黑体"/>
          <w:b/>
          <w:bCs/>
          <w:sz w:val="28"/>
          <w:szCs w:val="28"/>
        </w:rPr>
        <w:t>9.10.1 资金缺口分析</w:t>
      </w:r>
    </w:p>
    <w:p w14:paraId="325752EB">
      <w:pPr>
        <w:spacing w:line="279" w:lineRule="auto"/>
        <w:ind w:firstLine="480" w:firstLineChars="200"/>
        <w:rPr>
          <w:rFonts w:hint="eastAsia" w:ascii="宋体" w:hAnsi="宋体" w:eastAsia="宋体" w:cs="宋体"/>
          <w:bCs/>
          <w:color w:val="000000"/>
          <w:sz w:val="24"/>
        </w:rPr>
      </w:pPr>
      <w:r>
        <w:rPr>
          <w:rFonts w:ascii="宋体" w:hAnsi="宋体" w:eastAsia="宋体" w:cs="宋体"/>
          <w:bCs/>
          <w:color w:val="000000"/>
          <w:sz w:val="24"/>
        </w:rPr>
        <w:t>基于现金流量表，项目各阶段资金需求与来源如下：</w:t>
      </w:r>
    </w:p>
    <w:p w14:paraId="4FBFEA16">
      <w:pPr>
        <w:spacing w:line="279" w:lineRule="auto"/>
        <w:ind w:firstLine="422" w:firstLineChars="200"/>
        <w:jc w:val="center"/>
        <w:rPr>
          <w:rFonts w:hint="eastAsia" w:ascii="黑体" w:hAnsi="黑体" w:eastAsia="黑体" w:cs="黑体"/>
          <w:b/>
          <w:color w:val="000000"/>
          <w:sz w:val="21"/>
          <w:szCs w:val="21"/>
        </w:rPr>
      </w:pPr>
      <w:r>
        <w:rPr>
          <w:rFonts w:hint="eastAsia" w:ascii="黑体" w:hAnsi="黑体" w:eastAsia="黑体" w:cs="黑体"/>
          <w:b/>
          <w:color w:val="000000"/>
          <w:sz w:val="21"/>
          <w:szCs w:val="21"/>
        </w:rPr>
        <w:t>表9-12 各阶段资金需求</w:t>
      </w:r>
    </w:p>
    <w:p w14:paraId="3D86A5FA">
      <w:pPr>
        <w:spacing w:line="279" w:lineRule="auto"/>
        <w:rPr>
          <w:rFonts w:hint="eastAsia" w:ascii="宋体" w:hAnsi="宋体" w:eastAsia="宋体" w:cs="宋体"/>
          <w:b/>
          <w:color w:val="000000"/>
          <w:sz w:val="24"/>
        </w:rPr>
      </w:pPr>
    </w:p>
    <w:p w14:paraId="6E1352A6">
      <w:pPr>
        <w:spacing w:line="279" w:lineRule="auto"/>
        <w:ind w:firstLine="562" w:firstLineChars="200"/>
        <w:outlineLvl w:val="1"/>
        <w:rPr>
          <w:rFonts w:hint="eastAsia" w:ascii="黑体" w:hAnsi="黑体" w:eastAsia="黑体" w:cs="黑体"/>
          <w:b/>
          <w:color w:val="000000"/>
          <w:sz w:val="28"/>
          <w:szCs w:val="28"/>
        </w:rPr>
      </w:pPr>
      <w:r>
        <w:rPr>
          <w:rFonts w:hint="eastAsia" w:ascii="黑体" w:hAnsi="黑体" w:eastAsia="黑体" w:cs="黑体"/>
          <w:b/>
          <w:color w:val="000000"/>
          <w:sz w:val="28"/>
          <w:szCs w:val="28"/>
        </w:rPr>
        <w:t>9.10.2 A轮融资估值逻辑</w:t>
      </w:r>
    </w:p>
    <w:p w14:paraId="655F749A">
      <w:pPr>
        <w:spacing w:line="279" w:lineRule="auto"/>
        <w:ind w:firstLine="560" w:firstLineChars="200"/>
        <w:rPr>
          <w:rFonts w:hint="eastAsia" w:ascii="宋体" w:hAnsi="宋体" w:eastAsia="宋体" w:cs="宋体"/>
          <w:bCs/>
          <w:color w:val="000000"/>
          <w:sz w:val="28"/>
          <w:szCs w:val="28"/>
        </w:rPr>
      </w:pPr>
      <w:r>
        <w:rPr>
          <w:rFonts w:hint="eastAsia" w:ascii="宋体" w:hAnsi="宋体" w:eastAsia="宋体" w:cs="宋体"/>
          <w:bCs/>
          <w:color w:val="000000"/>
          <w:sz w:val="28"/>
          <w:szCs w:val="28"/>
        </w:rPr>
        <w:t>A轮融资预计于2027年第四季度启动，届时项目具备以下融资支撑要素：</w:t>
      </w:r>
    </w:p>
    <w:p w14:paraId="7067E6A3">
      <w:pPr>
        <w:pStyle w:val="6"/>
        <w:widowControl/>
        <w:spacing w:before="120" w:beforeAutospacing="0" w:after="120" w:afterAutospacing="0" w:line="279" w:lineRule="auto"/>
        <w:ind w:firstLine="562" w:firstLineChars="200"/>
        <w:rPr>
          <w:rFonts w:hint="eastAsia" w:ascii="宋体" w:hAnsi="宋体" w:eastAsia="宋体" w:cs="宋体"/>
          <w:bCs/>
          <w:color w:val="000000"/>
          <w:kern w:val="2"/>
          <w:sz w:val="28"/>
          <w:szCs w:val="28"/>
        </w:rPr>
      </w:pPr>
      <w:r>
        <w:rPr>
          <w:rFonts w:hint="eastAsia" w:ascii="宋体" w:hAnsi="宋体" w:eastAsia="宋体" w:cs="宋体"/>
          <w:b/>
          <w:bCs w:val="0"/>
          <w:color w:val="000000"/>
          <w:kern w:val="2"/>
          <w:sz w:val="28"/>
          <w:szCs w:val="28"/>
        </w:rPr>
        <w:t>技术层面：</w:t>
      </w:r>
      <w:r>
        <w:rPr>
          <w:rFonts w:hint="eastAsia" w:ascii="宋体" w:hAnsi="宋体" w:eastAsia="宋体" w:cs="宋体"/>
          <w:bCs/>
          <w:color w:val="000000"/>
          <w:kern w:val="2"/>
          <w:sz w:val="28"/>
          <w:szCs w:val="28"/>
        </w:rPr>
        <w:t>已完成DFA-MSC-Lasso算法在真实产线的POC验证，定性准确率98.7%、R²≥0.95的核心指标有第三方实测数据背书，专利申请已受理。</w:t>
      </w:r>
    </w:p>
    <w:p w14:paraId="08E7D71C">
      <w:pPr>
        <w:widowControl/>
        <w:spacing w:before="120" w:after="120" w:line="279" w:lineRule="auto"/>
        <w:ind w:firstLine="562" w:firstLineChars="200"/>
        <w:rPr>
          <w:rFonts w:hint="eastAsia" w:ascii="宋体" w:hAnsi="宋体" w:eastAsia="宋体" w:cs="宋体"/>
          <w:bCs/>
          <w:color w:val="000000"/>
          <w:sz w:val="28"/>
          <w:szCs w:val="28"/>
        </w:rPr>
      </w:pPr>
      <w:r>
        <w:rPr>
          <w:rFonts w:hint="eastAsia" w:ascii="宋体" w:hAnsi="宋体" w:eastAsia="宋体" w:cs="宋体"/>
          <w:b/>
          <w:bCs w:val="0"/>
          <w:color w:val="000000"/>
          <w:sz w:val="28"/>
          <w:szCs w:val="28"/>
        </w:rPr>
        <w:t>商业层面：</w:t>
      </w:r>
      <w:r>
        <w:rPr>
          <w:rFonts w:hint="eastAsia" w:ascii="宋体" w:hAnsi="宋体" w:eastAsia="宋体" w:cs="宋体"/>
          <w:bCs/>
          <w:color w:val="000000"/>
          <w:sz w:val="28"/>
          <w:szCs w:val="28"/>
        </w:rPr>
        <w:t>至少1家头部饮料大厂完成POC测试并进入合同谈判，48家中小客户付费订阅，ARR约</w:t>
      </w:r>
      <w:r>
        <w:rPr>
          <w:rFonts w:hint="eastAsia" w:ascii="宋体" w:hAnsi="宋体" w:eastAsia="宋体" w:cs="宋体"/>
          <w:bCs/>
          <w:color w:val="000000"/>
          <w:sz w:val="28"/>
          <w:szCs w:val="28"/>
          <w:lang w:val="en-US" w:eastAsia="zh-CN"/>
        </w:rPr>
        <w:t>26</w:t>
      </w:r>
      <w:r>
        <w:rPr>
          <w:rFonts w:hint="eastAsia" w:ascii="宋体" w:hAnsi="宋体" w:eastAsia="宋体" w:cs="宋体"/>
          <w:bCs/>
          <w:color w:val="000000"/>
          <w:sz w:val="28"/>
          <w:szCs w:val="28"/>
        </w:rPr>
        <w:t>.5万元，月度环比增长率约25%。</w:t>
      </w:r>
    </w:p>
    <w:p w14:paraId="730B3A10">
      <w:pPr>
        <w:widowControl/>
        <w:spacing w:before="120" w:after="120" w:line="279" w:lineRule="auto"/>
        <w:ind w:firstLine="562" w:firstLineChars="200"/>
        <w:rPr>
          <w:rFonts w:hint="eastAsia" w:ascii="宋体" w:hAnsi="宋体" w:eastAsia="宋体" w:cs="宋体"/>
          <w:b/>
          <w:bCs/>
          <w:color w:val="000000"/>
          <w:sz w:val="28"/>
          <w:szCs w:val="28"/>
        </w:rPr>
      </w:pPr>
      <w:r>
        <w:rPr>
          <w:rFonts w:hint="eastAsia" w:ascii="宋体" w:hAnsi="宋体" w:eastAsia="宋体" w:cs="宋体"/>
          <w:b/>
          <w:bCs/>
          <w:sz w:val="28"/>
          <w:szCs w:val="28"/>
        </w:rPr>
        <w:t>估值区间推算：</w:t>
      </w:r>
    </w:p>
    <w:p w14:paraId="7109BF87">
      <w:pPr>
        <w:spacing w:line="279" w:lineRule="auto"/>
        <w:ind w:firstLine="560" w:firstLineChars="200"/>
        <w:rPr>
          <w:rFonts w:hint="eastAsia" w:ascii="宋体" w:hAnsi="宋体" w:eastAsia="宋体" w:cs="宋体"/>
          <w:sz w:val="28"/>
          <w:szCs w:val="28"/>
        </w:rPr>
      </w:pPr>
    </w:p>
    <w:p w14:paraId="3C8EF374">
      <w:pPr>
        <w:widowControl/>
        <w:spacing w:before="120" w:after="120" w:line="279" w:lineRule="auto"/>
        <w:ind w:firstLine="560" w:firstLineChars="200"/>
        <w:rPr>
          <w:rFonts w:hint="eastAsia" w:ascii="宋体" w:hAnsi="宋体" w:eastAsia="宋体" w:cs="宋体"/>
          <w:sz w:val="28"/>
          <w:szCs w:val="28"/>
        </w:rPr>
      </w:pPr>
      <w:r>
        <w:rPr>
          <w:rFonts w:hint="eastAsia" w:ascii="宋体" w:hAnsi="宋体" w:eastAsia="宋体" w:cs="宋体"/>
          <w:sz w:val="28"/>
          <w:szCs w:val="28"/>
        </w:rPr>
        <w:t>考虑到技术壁垒溢价与市场增速溢价，合理估值区间为</w:t>
      </w:r>
      <w:r>
        <w:rPr>
          <w:rFonts w:hint="eastAsia" w:ascii="宋体" w:hAnsi="宋体" w:eastAsia="宋体" w:cs="宋体"/>
          <w:sz w:val="28"/>
          <w:szCs w:val="28"/>
          <w:lang w:val="en-US" w:eastAsia="zh-CN"/>
        </w:rPr>
        <w:t>160</w:t>
      </w:r>
      <w:r>
        <w:rPr>
          <w:rFonts w:hint="eastAsia" w:ascii="宋体" w:hAnsi="宋体" w:eastAsia="宋体" w:cs="宋体"/>
          <w:sz w:val="28"/>
          <w:szCs w:val="28"/>
        </w:rPr>
        <w:t>~</w:t>
      </w:r>
      <w:r>
        <w:rPr>
          <w:rFonts w:hint="eastAsia" w:ascii="宋体" w:hAnsi="宋体" w:eastAsia="宋体" w:cs="宋体"/>
          <w:sz w:val="28"/>
          <w:szCs w:val="28"/>
          <w:lang w:val="en-US" w:eastAsia="zh-CN"/>
        </w:rPr>
        <w:t>185</w:t>
      </w:r>
      <w:r>
        <w:rPr>
          <w:rFonts w:hint="eastAsia" w:ascii="宋体" w:hAnsi="宋体" w:eastAsia="宋体" w:cs="宋体"/>
          <w:sz w:val="28"/>
          <w:szCs w:val="28"/>
        </w:rPr>
        <w:t>万元人民币，出让20~</w:t>
      </w:r>
      <w:r>
        <w:rPr>
          <w:rFonts w:hint="eastAsia" w:ascii="宋体" w:hAnsi="宋体" w:eastAsia="宋体" w:cs="宋体"/>
          <w:sz w:val="28"/>
          <w:szCs w:val="28"/>
          <w:lang w:val="en-US" w:eastAsia="zh-CN"/>
        </w:rPr>
        <w:t>30</w:t>
      </w:r>
      <w:r>
        <w:rPr>
          <w:rFonts w:hint="eastAsia" w:ascii="宋体" w:hAnsi="宋体" w:eastAsia="宋体" w:cs="宋体"/>
          <w:sz w:val="28"/>
          <w:szCs w:val="28"/>
        </w:rPr>
        <w:t>%股权，融资金额1</w:t>
      </w:r>
      <w:r>
        <w:rPr>
          <w:rFonts w:hint="eastAsia" w:ascii="宋体" w:hAnsi="宋体" w:eastAsia="宋体" w:cs="宋体"/>
          <w:sz w:val="28"/>
          <w:szCs w:val="28"/>
          <w:lang w:val="en-US" w:eastAsia="zh-CN"/>
        </w:rPr>
        <w:t>0</w:t>
      </w:r>
      <w:r>
        <w:rPr>
          <w:rFonts w:hint="eastAsia" w:ascii="宋体" w:hAnsi="宋体" w:eastAsia="宋体" w:cs="宋体"/>
          <w:sz w:val="28"/>
          <w:szCs w:val="28"/>
        </w:rPr>
        <w:t>0~</w:t>
      </w:r>
      <w:r>
        <w:rPr>
          <w:rFonts w:hint="eastAsia" w:ascii="宋体" w:hAnsi="宋体" w:eastAsia="宋体" w:cs="宋体"/>
          <w:sz w:val="28"/>
          <w:szCs w:val="28"/>
          <w:lang w:val="en-US" w:eastAsia="zh-CN"/>
        </w:rPr>
        <w:t>150</w:t>
      </w:r>
      <w:r>
        <w:rPr>
          <w:rFonts w:hint="eastAsia" w:ascii="宋体" w:hAnsi="宋体" w:eastAsia="宋体" w:cs="宋体"/>
          <w:sz w:val="28"/>
          <w:szCs w:val="28"/>
        </w:rPr>
        <w:t>万元，用于渠道扩张、OEM量产模具开发及算法工程团队扩充。</w:t>
      </w:r>
    </w:p>
    <w:p w14:paraId="7BCDBBAC">
      <w:pPr>
        <w:widowControl/>
        <w:spacing w:before="120" w:after="120" w:line="279" w:lineRule="auto"/>
        <w:outlineLvl w:val="0"/>
        <w:rPr>
          <w:rFonts w:hint="eastAsia" w:ascii="黑体" w:hAnsi="黑体" w:eastAsia="黑体" w:cs="黑体"/>
          <w:b/>
          <w:bCs/>
          <w:sz w:val="32"/>
          <w:szCs w:val="32"/>
          <w:lang w:val="en-US" w:eastAsia="zh-CN"/>
        </w:rPr>
      </w:pPr>
      <w:bookmarkStart w:id="162" w:name="_Toc20689"/>
      <w:r>
        <w:rPr>
          <w:rFonts w:hint="eastAsia" w:ascii="黑体" w:hAnsi="黑体" w:eastAsia="黑体" w:cs="黑体"/>
          <w:b/>
          <w:bCs/>
          <w:sz w:val="32"/>
          <w:szCs w:val="32"/>
          <w:lang w:val="en-US" w:eastAsia="zh-CN"/>
        </w:rPr>
        <w:t>第十章：风险分析</w:t>
      </w:r>
      <w:bookmarkEnd w:id="162"/>
    </w:p>
    <w:p w14:paraId="3C777DE2">
      <w:pPr>
        <w:widowControl w:val="0"/>
        <w:spacing w:after="160" w:line="279" w:lineRule="auto"/>
        <w:ind w:firstLine="602" w:firstLineChars="200"/>
        <w:outlineLvl w:val="0"/>
        <w:rPr>
          <w:rFonts w:hint="eastAsia" w:ascii="黑体" w:hAnsi="黑体" w:eastAsia="黑体" w:cs="黑体"/>
          <w:b/>
          <w:bCs/>
          <w:kern w:val="2"/>
          <w:sz w:val="30"/>
          <w:szCs w:val="30"/>
          <w:lang w:val="en-US" w:eastAsia="zh-CN" w:bidi="ar-SA"/>
        </w:rPr>
      </w:pPr>
      <w:bookmarkStart w:id="163" w:name="_Toc19824"/>
      <w:r>
        <w:rPr>
          <w:rFonts w:hint="eastAsia" w:ascii="黑体" w:hAnsi="黑体" w:eastAsia="黑体" w:cs="黑体"/>
          <w:b/>
          <w:bCs/>
          <w:kern w:val="2"/>
          <w:sz w:val="30"/>
          <w:szCs w:val="30"/>
          <w:lang w:val="en-US" w:eastAsia="zh-CN" w:bidi="ar-SA"/>
        </w:rPr>
        <w:t>10.1 分析假设条件声明</w:t>
      </w:r>
      <w:bookmarkEnd w:id="163"/>
    </w:p>
    <w:p w14:paraId="49E471C3">
      <w:pPr>
        <w:widowControl/>
        <w:spacing w:before="120" w:after="120" w:line="279" w:lineRule="auto"/>
        <w:ind w:firstLine="560" w:firstLineChars="200"/>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本章风险分析基于以下七项核心假设条件，所有假设均有明确的逻辑来源与数据支撑：</w:t>
      </w:r>
    </w:p>
    <w:p w14:paraId="60219B7B">
      <w:pPr>
        <w:widowControl/>
        <w:spacing w:before="120" w:after="120" w:line="279" w:lineRule="auto"/>
        <w:ind w:firstLine="422" w:firstLineChars="200"/>
        <w:jc w:val="center"/>
        <w:rPr>
          <w:rFonts w:hint="eastAsia" w:ascii="黑体" w:hAnsi="黑体" w:eastAsia="黑体" w:cs="黑体"/>
          <w:b/>
          <w:bCs/>
          <w:kern w:val="2"/>
          <w:sz w:val="21"/>
          <w:szCs w:val="21"/>
          <w:lang w:val="en-US" w:eastAsia="zh-CN" w:bidi="ar-SA"/>
        </w:rPr>
      </w:pPr>
      <w:r>
        <w:rPr>
          <w:rFonts w:hint="eastAsia" w:ascii="黑体" w:hAnsi="黑体" w:eastAsia="黑体" w:cs="黑体"/>
          <w:b/>
          <w:bCs/>
          <w:kern w:val="2"/>
          <w:sz w:val="21"/>
          <w:szCs w:val="21"/>
          <w:lang w:val="en-US" w:eastAsia="zh-CN" w:bidi="ar-SA"/>
        </w:rPr>
        <w:t>表10-1财务预测核心假设清单</w:t>
      </w:r>
    </w:p>
    <w:p w14:paraId="5B638CD2">
      <w:pPr>
        <w:widowControl/>
        <w:spacing w:before="120" w:after="120" w:line="279" w:lineRule="auto"/>
      </w:pPr>
    </w:p>
    <w:p w14:paraId="5929926E">
      <w:pPr>
        <w:widowControl w:val="0"/>
        <w:spacing w:after="160" w:line="279" w:lineRule="auto"/>
        <w:ind w:firstLine="602" w:firstLineChars="200"/>
        <w:outlineLvl w:val="0"/>
        <w:rPr>
          <w:rFonts w:hint="eastAsia" w:ascii="黑体" w:hAnsi="黑体" w:eastAsia="黑体" w:cs="黑体"/>
          <w:b/>
          <w:bCs/>
          <w:kern w:val="2"/>
          <w:sz w:val="30"/>
          <w:szCs w:val="30"/>
          <w:lang w:val="en-US" w:eastAsia="zh-CN" w:bidi="ar-SA"/>
        </w:rPr>
      </w:pPr>
      <w:bookmarkStart w:id="164" w:name="_Toc27075"/>
      <w:r>
        <w:rPr>
          <w:rFonts w:hint="eastAsia" w:ascii="黑体" w:hAnsi="黑体" w:eastAsia="黑体" w:cs="黑体"/>
          <w:b/>
          <w:bCs/>
          <w:kern w:val="2"/>
          <w:sz w:val="30"/>
          <w:szCs w:val="30"/>
          <w:lang w:val="en-US" w:eastAsia="zh-CN" w:bidi="ar-SA"/>
        </w:rPr>
        <w:t>10.2 财务风险维度分析</w:t>
      </w:r>
      <w:bookmarkEnd w:id="164"/>
    </w:p>
    <w:p w14:paraId="6138A1FA">
      <w:pPr>
        <w:widowControl w:val="0"/>
        <w:spacing w:after="160" w:line="279" w:lineRule="auto"/>
        <w:ind w:firstLine="562" w:firstLineChars="200"/>
        <w:outlineLvl w:val="1"/>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10.2.1 现金流断裂风险（风险等级：高）</w:t>
      </w:r>
    </w:p>
    <w:p w14:paraId="22AFC168">
      <w:pPr>
        <w:widowControl w:val="0"/>
        <w:spacing w:after="160" w:line="279" w:lineRule="auto"/>
        <w:ind w:firstLine="560" w:firstLineChars="200"/>
        <w:outlineLvl w:val="9"/>
        <w:rPr>
          <w:rFonts w:hint="eastAsia" w:ascii="宋体" w:hAnsi="宋体" w:eastAsia="宋体" w:cs="宋体"/>
          <w:kern w:val="2"/>
          <w:sz w:val="28"/>
          <w:szCs w:val="28"/>
          <w:lang w:val="en-US" w:eastAsia="zh-CN" w:bidi="ar-SA"/>
        </w:rPr>
      </w:pPr>
      <w:bookmarkStart w:id="165" w:name="_Toc911"/>
      <w:r>
        <w:rPr>
          <w:rFonts w:hint="eastAsia" w:ascii="宋体" w:hAnsi="宋体" w:eastAsia="宋体" w:cs="宋体"/>
          <w:kern w:val="2"/>
          <w:sz w:val="28"/>
          <w:szCs w:val="28"/>
          <w:lang w:val="en-US" w:eastAsia="zh-CN" w:bidi="ar-SA"/>
        </w:rPr>
        <w:t>风险描述：项目前两年经营性现金流持续为负，高度依赖外部融资续命，若A轮融资延迟或失败，将面临资金链断裂风险。</w:t>
      </w:r>
      <w:bookmarkEnd w:id="165"/>
    </w:p>
    <w:p w14:paraId="69433F50">
      <w:pPr>
        <w:widowControl w:val="0"/>
        <w:spacing w:after="160" w:line="279" w:lineRule="auto"/>
        <w:ind w:firstLine="562" w:firstLineChars="200"/>
        <w:outlineLvl w:val="9"/>
        <w:rPr>
          <w:rFonts w:hint="eastAsia" w:ascii="宋体" w:hAnsi="宋体" w:eastAsia="宋体" w:cs="宋体"/>
          <w:kern w:val="2"/>
          <w:sz w:val="28"/>
          <w:szCs w:val="28"/>
          <w:lang w:val="en-US" w:eastAsia="zh-CN" w:bidi="ar-SA"/>
        </w:rPr>
      </w:pPr>
      <w:bookmarkStart w:id="166" w:name="_Toc16519"/>
      <w:r>
        <w:rPr>
          <w:rFonts w:hint="eastAsia" w:ascii="宋体" w:hAnsi="宋体" w:eastAsia="宋体" w:cs="宋体"/>
          <w:b/>
          <w:bCs/>
          <w:kern w:val="2"/>
          <w:sz w:val="28"/>
          <w:szCs w:val="28"/>
          <w:lang w:val="en-US" w:eastAsia="zh-CN" w:bidi="ar-SA"/>
        </w:rPr>
        <w:t>数据支撑：</w:t>
      </w:r>
      <w:bookmarkEnd w:id="166"/>
    </w:p>
    <w:p w14:paraId="66ABF5BF">
      <w:pPr>
        <w:keepNext w:val="0"/>
        <w:keepLines w:val="0"/>
        <w:pageBreakBefore w:val="0"/>
        <w:widowControl w:val="0"/>
        <w:kinsoku/>
        <w:wordWrap/>
        <w:overflowPunct/>
        <w:topLinePunct w:val="0"/>
        <w:autoSpaceDE/>
        <w:autoSpaceDN/>
        <w:bidi w:val="0"/>
        <w:adjustRightInd/>
        <w:snapToGrid/>
        <w:spacing w:after="160" w:line="279" w:lineRule="auto"/>
        <w:ind w:firstLine="560" w:firstLineChars="200"/>
        <w:textAlignment w:val="auto"/>
        <w:outlineLvl w:val="9"/>
        <w:rPr>
          <w:rFonts w:hint="eastAsia" w:ascii="宋体" w:hAnsi="宋体" w:eastAsia="宋体" w:cs="宋体"/>
          <w:kern w:val="2"/>
          <w:sz w:val="28"/>
          <w:szCs w:val="28"/>
          <w:lang w:val="en-US" w:eastAsia="zh-CN" w:bidi="ar-SA"/>
        </w:rPr>
      </w:pPr>
      <w:bookmarkStart w:id="167" w:name="_Toc10616"/>
      <w:r>
        <w:rPr>
          <w:rFonts w:hint="eastAsia" w:ascii="宋体" w:hAnsi="宋体" w:eastAsia="宋体" w:cs="宋体"/>
          <w:kern w:val="2"/>
          <w:sz w:val="28"/>
          <w:szCs w:val="28"/>
          <w:lang w:val="en-US" w:eastAsia="zh-CN" w:bidi="ar-SA"/>
        </w:rPr>
        <w:t>（1）2026年经营活动净现金流：-3.1万元</w:t>
      </w:r>
      <w:bookmarkEnd w:id="167"/>
    </w:p>
    <w:p w14:paraId="7380EDDE">
      <w:pPr>
        <w:keepNext w:val="0"/>
        <w:keepLines w:val="0"/>
        <w:pageBreakBefore w:val="0"/>
        <w:widowControl w:val="0"/>
        <w:numPr>
          <w:ilvl w:val="0"/>
          <w:numId w:val="0"/>
        </w:numPr>
        <w:kinsoku/>
        <w:wordWrap/>
        <w:overflowPunct/>
        <w:topLinePunct w:val="0"/>
        <w:autoSpaceDE/>
        <w:autoSpaceDN/>
        <w:bidi w:val="0"/>
        <w:adjustRightInd/>
        <w:snapToGrid/>
        <w:spacing w:after="160" w:line="279" w:lineRule="auto"/>
        <w:ind w:left="0" w:leftChars="0" w:firstLine="560" w:firstLineChars="200"/>
        <w:textAlignment w:val="auto"/>
        <w:outlineLvl w:val="9"/>
        <w:rPr>
          <w:rFonts w:hint="eastAsia" w:ascii="宋体" w:hAnsi="宋体" w:eastAsia="宋体" w:cs="宋体"/>
          <w:kern w:val="2"/>
          <w:sz w:val="28"/>
          <w:szCs w:val="28"/>
          <w:lang w:val="en-US" w:eastAsia="zh-CN" w:bidi="ar-SA"/>
        </w:rPr>
      </w:pPr>
      <w:bookmarkStart w:id="168" w:name="_Toc17097"/>
      <w:r>
        <w:rPr>
          <w:rFonts w:hint="eastAsia" w:ascii="宋体" w:hAnsi="宋体" w:eastAsia="宋体" w:cs="宋体"/>
          <w:kern w:val="2"/>
          <w:sz w:val="28"/>
          <w:szCs w:val="28"/>
          <w:lang w:val="en-US" w:eastAsia="zh-CN" w:bidi="ar-SA"/>
        </w:rPr>
        <w:t>（2）2027年经营活动净现金流：-15.3万元</w:t>
      </w:r>
      <w:bookmarkEnd w:id="168"/>
    </w:p>
    <w:p w14:paraId="504BEF2E">
      <w:pPr>
        <w:keepNext w:val="0"/>
        <w:keepLines w:val="0"/>
        <w:pageBreakBefore w:val="0"/>
        <w:widowControl w:val="0"/>
        <w:numPr>
          <w:ilvl w:val="0"/>
          <w:numId w:val="0"/>
        </w:numPr>
        <w:kinsoku/>
        <w:wordWrap/>
        <w:overflowPunct/>
        <w:topLinePunct w:val="0"/>
        <w:autoSpaceDE/>
        <w:autoSpaceDN/>
        <w:bidi w:val="0"/>
        <w:adjustRightInd/>
        <w:snapToGrid/>
        <w:spacing w:after="160" w:line="279" w:lineRule="auto"/>
        <w:ind w:left="0" w:leftChars="0" w:firstLine="560" w:firstLineChars="200"/>
        <w:textAlignment w:val="auto"/>
        <w:outlineLvl w:val="9"/>
        <w:rPr>
          <w:rFonts w:hint="eastAsia" w:ascii="宋体" w:hAnsi="宋体" w:eastAsia="宋体" w:cs="宋体"/>
          <w:kern w:val="2"/>
          <w:sz w:val="28"/>
          <w:szCs w:val="28"/>
          <w:lang w:val="en-US" w:eastAsia="zh-CN" w:bidi="ar-SA"/>
        </w:rPr>
      </w:pPr>
      <w:bookmarkStart w:id="169" w:name="_Toc8026"/>
      <w:r>
        <w:rPr>
          <w:rFonts w:hint="eastAsia" w:ascii="宋体" w:hAnsi="宋体" w:eastAsia="宋体" w:cs="宋体"/>
          <w:kern w:val="2"/>
          <w:sz w:val="28"/>
          <w:szCs w:val="28"/>
          <w:lang w:val="en-US" w:eastAsia="zh-CN" w:bidi="ar-SA"/>
        </w:rPr>
        <w:t>（3）2027年末预计A轮融资：200万元</w:t>
      </w:r>
      <w:bookmarkEnd w:id="169"/>
    </w:p>
    <w:p w14:paraId="6A3E8B8E">
      <w:pPr>
        <w:keepNext w:val="0"/>
        <w:keepLines w:val="0"/>
        <w:pageBreakBefore w:val="0"/>
        <w:widowControl w:val="0"/>
        <w:numPr>
          <w:ilvl w:val="0"/>
          <w:numId w:val="0"/>
        </w:numPr>
        <w:kinsoku/>
        <w:wordWrap/>
        <w:overflowPunct/>
        <w:topLinePunct w:val="0"/>
        <w:autoSpaceDE/>
        <w:autoSpaceDN/>
        <w:bidi w:val="0"/>
        <w:adjustRightInd/>
        <w:snapToGrid/>
        <w:spacing w:after="160" w:line="279" w:lineRule="auto"/>
        <w:ind w:left="0" w:leftChars="0" w:firstLine="560" w:firstLineChars="200"/>
        <w:textAlignment w:val="auto"/>
        <w:outlineLvl w:val="9"/>
        <w:rPr>
          <w:rFonts w:hint="eastAsia" w:ascii="宋体" w:hAnsi="宋体" w:eastAsia="宋体" w:cs="宋体"/>
          <w:kern w:val="2"/>
          <w:sz w:val="28"/>
          <w:szCs w:val="28"/>
          <w:lang w:val="en-US" w:eastAsia="zh-CN" w:bidi="ar-SA"/>
        </w:rPr>
      </w:pPr>
      <w:bookmarkStart w:id="170" w:name="_Toc24909"/>
      <w:r>
        <w:rPr>
          <w:rFonts w:hint="eastAsia" w:ascii="宋体" w:hAnsi="宋体" w:eastAsia="宋体" w:cs="宋体"/>
          <w:kern w:val="2"/>
          <w:sz w:val="28"/>
          <w:szCs w:val="28"/>
          <w:lang w:val="en-US" w:eastAsia="zh-CN" w:bidi="ar-SA"/>
        </w:rPr>
        <w:t>（4）若融资失败，期末现金余额仅175.6万元，难以支撑2028年全面放量期扩张</w:t>
      </w:r>
      <w:bookmarkEnd w:id="170"/>
    </w:p>
    <w:p w14:paraId="7DE75CAF">
      <w:pPr>
        <w:pStyle w:val="6"/>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right="0" w:firstLine="562" w:firstLineChars="200"/>
        <w:textAlignment w:val="auto"/>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行业案例对标：</w:t>
      </w:r>
    </w:p>
    <w:p w14:paraId="3B3B4D46">
      <w:pPr>
        <w:pStyle w:val="6"/>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right="0" w:firstLine="560" w:firstLineChars="200"/>
        <w:textAlignment w:val="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根据清科研究中心数据，2023年中国早期科技项目A轮融资失败率约35%，平均融资周期6-9个月。本项目融资窗口锁定2027年第四季度，需预留6个月缓冲期。</w:t>
      </w:r>
    </w:p>
    <w:p w14:paraId="7FBBE831">
      <w:pPr>
        <w:keepNext w:val="0"/>
        <w:keepLines w:val="0"/>
        <w:widowControl/>
        <w:suppressLineNumbers w:val="0"/>
        <w:spacing w:before="120" w:beforeAutospacing="0" w:after="120" w:afterAutospacing="0" w:line="278" w:lineRule="auto"/>
        <w:ind w:left="440" w:leftChars="200" w:right="0" w:rightChars="0"/>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量化评估：</w:t>
      </w:r>
    </w:p>
    <w:p w14:paraId="7DD9A363">
      <w:pPr>
        <w:keepNext w:val="0"/>
        <w:keepLines w:val="0"/>
        <w:widowControl/>
        <w:suppressLineNumbers w:val="0"/>
        <w:spacing w:before="120" w:beforeAutospacing="0" w:after="120" w:afterAutospacing="0" w:line="278" w:lineRule="auto"/>
        <w:ind w:left="440" w:leftChars="200" w:right="0" w:rightChars="0"/>
        <w:jc w:val="center"/>
        <w:rPr>
          <w:rFonts w:hint="default" w:ascii="黑体" w:hAnsi="黑体" w:eastAsia="黑体" w:cs="黑体"/>
          <w:b/>
          <w:bCs/>
          <w:kern w:val="2"/>
          <w:sz w:val="21"/>
          <w:szCs w:val="21"/>
          <w:lang w:val="en-US" w:eastAsia="zh-CN" w:bidi="ar-SA"/>
        </w:rPr>
      </w:pPr>
      <w:r>
        <w:rPr>
          <w:rFonts w:hint="eastAsia" w:ascii="黑体" w:hAnsi="黑体" w:eastAsia="黑体" w:cs="黑体"/>
          <w:b/>
          <w:bCs/>
          <w:kern w:val="2"/>
          <w:sz w:val="21"/>
          <w:szCs w:val="21"/>
          <w:lang w:val="en-US" w:eastAsia="zh-CN" w:bidi="ar-SA"/>
        </w:rPr>
        <w:t>表10-2 2027年A轮融资核心风险分析</w:t>
      </w:r>
    </w:p>
    <w:p w14:paraId="4BFFD6E1">
      <w:pPr>
        <w:keepNext w:val="0"/>
        <w:keepLines w:val="0"/>
        <w:widowControl/>
        <w:suppressLineNumbers w:val="0"/>
        <w:spacing w:before="120" w:beforeAutospacing="0" w:after="120" w:afterAutospacing="0" w:line="278" w:lineRule="auto"/>
        <w:ind w:left="440" w:leftChars="200" w:right="0" w:rightChars="0"/>
      </w:pPr>
    </w:p>
    <w:p w14:paraId="530A520A">
      <w:pPr>
        <w:keepNext w:val="0"/>
        <w:keepLines w:val="0"/>
        <w:widowControl/>
        <w:suppressLineNumbers w:val="0"/>
        <w:spacing w:before="120" w:beforeAutospacing="0" w:after="120" w:afterAutospacing="0" w:line="278" w:lineRule="auto"/>
        <w:ind w:left="440" w:leftChars="200" w:right="0" w:rightChars="0"/>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应对策略：</w:t>
      </w:r>
    </w:p>
    <w:p w14:paraId="56A55D3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right="0" w:rightChars="0"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（1）减轻：建立6个月现金储备（约25万元），2027年Q2启动融资预热</w:t>
      </w:r>
    </w:p>
    <w:p w14:paraId="39332E5E">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right="0" w:rightChars="0"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（2）转移：设置融资对赌条款上限，避免估值下调触发清算条款</w:t>
      </w:r>
    </w:p>
    <w:p w14:paraId="46981D1B">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right="0" w:rightChars="0" w:firstLine="48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（3）规避：同步申请科创孵化补贴（预计3万元/年），降低融资依赖度</w:t>
      </w:r>
    </w:p>
    <w:p w14:paraId="707A8D79">
      <w:pPr>
        <w:widowControl w:val="0"/>
        <w:spacing w:after="160" w:line="279" w:lineRule="auto"/>
        <w:ind w:firstLine="562" w:firstLineChars="200"/>
        <w:outlineLvl w:val="1"/>
        <w:rPr>
          <w:rFonts w:hint="eastAsia" w:ascii="黑体" w:hAnsi="黑体" w:eastAsia="黑体" w:cs="黑体"/>
          <w:b/>
          <w:bCs/>
          <w:kern w:val="2"/>
          <w:sz w:val="30"/>
          <w:szCs w:val="30"/>
          <w:lang w:val="en-US" w:eastAsia="zh-CN" w:bidi="ar-SA"/>
        </w:rPr>
      </w:pPr>
      <w:r>
        <w:rPr>
          <w:rFonts w:hint="eastAsia" w:ascii="黑体" w:hAnsi="黑体" w:eastAsia="黑体" w:cs="黑体"/>
          <w:b/>
          <w:bCs/>
          <w:kern w:val="2"/>
          <w:sz w:val="28"/>
          <w:szCs w:val="28"/>
          <w:lang w:val="en-US" w:eastAsia="zh-CN" w:bidi="ar-SA"/>
        </w:rPr>
        <w:t>10.2.2 SaaS渗透率波动风险（风险等级：高）</w:t>
      </w:r>
    </w:p>
    <w:p w14:paraId="2EF3C095">
      <w:pPr>
        <w:widowControl w:val="0"/>
        <w:spacing w:after="160" w:line="279" w:lineRule="auto"/>
        <w:ind w:firstLine="562" w:firstLineChars="200"/>
        <w:outlineLvl w:val="9"/>
        <w:rPr>
          <w:rFonts w:hint="eastAsia" w:ascii="宋体" w:hAnsi="宋体" w:eastAsia="宋体" w:cs="宋体"/>
          <w:b w:val="0"/>
          <w:bCs w:val="0"/>
          <w:kern w:val="2"/>
          <w:sz w:val="28"/>
          <w:szCs w:val="28"/>
          <w:lang w:val="en-US" w:eastAsia="zh-CN" w:bidi="ar-SA"/>
        </w:rPr>
      </w:pPr>
      <w:bookmarkStart w:id="171" w:name="_Toc27742"/>
      <w:r>
        <w:rPr>
          <w:rFonts w:hint="eastAsia" w:ascii="宋体" w:hAnsi="宋体" w:eastAsia="宋体" w:cs="宋体"/>
          <w:b/>
          <w:bCs/>
          <w:kern w:val="2"/>
          <w:sz w:val="28"/>
          <w:szCs w:val="28"/>
          <w:lang w:val="en-US" w:eastAsia="zh-CN" w:bidi="ar-SA"/>
        </w:rPr>
        <w:t>风险描述：</w:t>
      </w:r>
      <w:r>
        <w:rPr>
          <w:rFonts w:hint="eastAsia" w:ascii="宋体" w:hAnsi="宋体" w:eastAsia="宋体" w:cs="宋体"/>
          <w:b w:val="0"/>
          <w:bCs w:val="0"/>
          <w:kern w:val="2"/>
          <w:sz w:val="28"/>
          <w:szCs w:val="28"/>
          <w:lang w:val="en-US" w:eastAsia="zh-CN" w:bidi="ar-SA"/>
        </w:rPr>
        <w:t>SaaS渗透率是第一敏感变量，±10pct波动导致净利润大幅变化，若客户转化不及预期将直接影响商业模式可行性。</w:t>
      </w:r>
      <w:bookmarkEnd w:id="171"/>
      <w:bookmarkStart w:id="172" w:name="_Toc23314"/>
    </w:p>
    <w:p w14:paraId="6371201B">
      <w:pPr>
        <w:widowControl w:val="0"/>
        <w:spacing w:after="160" w:line="279" w:lineRule="auto"/>
        <w:ind w:left="0" w:leftChars="0" w:firstLine="0" w:firstLineChars="0"/>
        <w:outlineLvl w:val="9"/>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数据支撑：</w:t>
      </w:r>
      <w:bookmarkEnd w:id="172"/>
    </w:p>
    <w:p w14:paraId="1121AC37">
      <w:pPr>
        <w:widowControl/>
        <w:numPr>
          <w:ilvl w:val="0"/>
          <w:numId w:val="9"/>
        </w:numPr>
        <w:spacing w:beforeAutospacing="1" w:after="100" w:afterAutospacing="1" w:line="279" w:lineRule="auto"/>
        <w:ind w:left="-300" w:leftChars="0" w:firstLine="0" w:firstLineChars="0"/>
        <w:rPr>
          <w:rFonts w:hint="eastAsia" w:ascii="宋体" w:hAnsi="宋体" w:eastAsia="宋体" w:cs="宋体"/>
          <w:b w:val="0"/>
          <w:bCs w:val="0"/>
          <w:kern w:val="0"/>
          <w:sz w:val="28"/>
          <w:szCs w:val="28"/>
          <w:lang w:val="en-US" w:eastAsia="zh-CN" w:bidi="ar-SA"/>
        </w:rPr>
      </w:pPr>
      <w:r>
        <w:rPr>
          <w:rFonts w:hint="eastAsia" w:ascii="宋体" w:hAnsi="宋体" w:eastAsia="宋体" w:cs="宋体"/>
          <w:b w:val="0"/>
          <w:bCs w:val="0"/>
          <w:kern w:val="0"/>
          <w:sz w:val="28"/>
          <w:szCs w:val="28"/>
          <w:lang w:val="en-US" w:eastAsia="zh-CN" w:bidi="ar-SA"/>
        </w:rPr>
        <w:t>中性情景SaaS渗透率：60%</w:t>
      </w:r>
    </w:p>
    <w:p w14:paraId="7849D0AF">
      <w:pPr>
        <w:widowControl/>
        <w:numPr>
          <w:ilvl w:val="0"/>
          <w:numId w:val="9"/>
        </w:numPr>
        <w:spacing w:beforeAutospacing="1" w:after="100" w:afterAutospacing="1" w:line="279" w:lineRule="auto"/>
        <w:ind w:left="-300" w:leftChars="0" w:firstLine="0" w:firstLineChars="0"/>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保守情景SaaS渗透率：45%</w:t>
      </w:r>
    </w:p>
    <w:p w14:paraId="7CECE238">
      <w:pPr>
        <w:widowControl/>
        <w:numPr>
          <w:ilvl w:val="0"/>
          <w:numId w:val="9"/>
        </w:numPr>
        <w:spacing w:beforeAutospacing="1" w:after="100" w:afterAutospacing="1" w:line="279" w:lineRule="auto"/>
        <w:ind w:left="-300" w:leftChars="0" w:firstLine="0" w:firstLineChars="0"/>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2028年净利润影响：渗透率-10pct导致净利润从5.8万元降至-3.8万元</w:t>
      </w:r>
    </w:p>
    <w:p w14:paraId="41E04856">
      <w:pPr>
        <w:widowControl/>
        <w:numPr>
          <w:ilvl w:val="0"/>
          <w:numId w:val="9"/>
        </w:numPr>
        <w:spacing w:beforeAutospacing="1" w:after="100" w:afterAutospacing="1" w:line="279" w:lineRule="auto"/>
        <w:ind w:left="-300" w:leftChars="0" w:firstLine="0" w:firstLineChars="0"/>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2030年净利润影响：渗透率45%情景下净利润62.8万元，较中性情景248.6万元降幅74.7%</w:t>
      </w:r>
    </w:p>
    <w:p w14:paraId="4C0065AD">
      <w:pPr>
        <w:pStyle w:val="6"/>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firstLine="562" w:firstLineChars="200"/>
        <w:textAlignment w:val="auto"/>
        <w:rPr>
          <w:rFonts w:hint="eastAsia" w:ascii="宋体" w:hAnsi="宋体" w:eastAsia="宋体" w:cs="宋体"/>
          <w:b/>
          <w:bCs/>
          <w:kern w:val="0"/>
          <w:sz w:val="28"/>
          <w:szCs w:val="28"/>
          <w:lang w:val="en-US" w:eastAsia="zh-CN" w:bidi="ar-SA"/>
        </w:rPr>
      </w:pPr>
      <w:r>
        <w:rPr>
          <w:rFonts w:hint="eastAsia" w:ascii="宋体" w:hAnsi="宋体" w:eastAsia="宋体" w:cs="宋体"/>
          <w:b/>
          <w:bCs/>
          <w:kern w:val="0"/>
          <w:sz w:val="28"/>
          <w:szCs w:val="28"/>
          <w:lang w:val="en-US" w:eastAsia="zh-CN" w:bidi="ar-SA"/>
        </w:rPr>
        <w:t>行业案例对标：</w:t>
      </w:r>
    </w:p>
    <w:p w14:paraId="0F1C05E8">
      <w:pPr>
        <w:pStyle w:val="6"/>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firstLine="560" w:firstLine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根据SaaS行业基准数据，中小制造企业SaaS渗透率中位数约52%，本项目60%假设略高于行业均值，存在下行风险。</w:t>
      </w:r>
    </w:p>
    <w:p w14:paraId="6E42629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bCs/>
          <w:kern w:val="0"/>
          <w:sz w:val="28"/>
          <w:szCs w:val="28"/>
          <w:lang w:val="en-US" w:eastAsia="zh-CN" w:bidi="ar-SA"/>
        </w:rPr>
      </w:pPr>
      <w:r>
        <w:rPr>
          <w:rFonts w:hint="eastAsia" w:ascii="宋体" w:hAnsi="宋体" w:eastAsia="宋体" w:cs="宋体"/>
          <w:b/>
          <w:bCs/>
          <w:kern w:val="0"/>
          <w:sz w:val="28"/>
          <w:szCs w:val="28"/>
          <w:lang w:val="en-US" w:eastAsia="zh-CN" w:bidi="ar-SA"/>
        </w:rPr>
        <w:t>量化评估：</w:t>
      </w:r>
    </w:p>
    <w:p w14:paraId="70E5F62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422" w:firstLineChars="200"/>
        <w:jc w:val="center"/>
        <w:textAlignment w:val="auto"/>
        <w:rPr>
          <w:rFonts w:hint="eastAsia" w:ascii="黑体" w:hAnsi="黑体" w:eastAsia="黑体" w:cs="黑体"/>
          <w:b/>
          <w:bCs/>
          <w:kern w:val="0"/>
          <w:sz w:val="21"/>
          <w:szCs w:val="21"/>
          <w:lang w:val="en-US" w:eastAsia="zh-CN" w:bidi="ar-SA"/>
        </w:rPr>
      </w:pPr>
      <w:r>
        <w:rPr>
          <w:rFonts w:hint="eastAsia" w:ascii="黑体" w:hAnsi="黑体" w:eastAsia="黑体" w:cs="黑体"/>
          <w:b/>
          <w:bCs/>
          <w:kern w:val="0"/>
          <w:sz w:val="21"/>
          <w:szCs w:val="21"/>
          <w:lang w:val="en-US" w:eastAsia="zh-CN" w:bidi="ar-SA"/>
        </w:rPr>
        <w:t xml:space="preserve">表10-3 </w:t>
      </w:r>
      <w:r>
        <w:rPr>
          <w:rFonts w:hint="eastAsia" w:ascii="黑体" w:hAnsi="黑体" w:eastAsia="黑体" w:cs="黑体"/>
          <w:b/>
          <w:bCs/>
          <w:kern w:val="2"/>
          <w:sz w:val="21"/>
          <w:szCs w:val="21"/>
          <w:lang w:val="en-US" w:eastAsia="zh-CN" w:bidi="ar-SA"/>
        </w:rPr>
        <w:t>SaaS转化及客户付费意愿风险分析</w:t>
      </w:r>
    </w:p>
    <w:p w14:paraId="3C579E9B">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440" w:firstLineChars="200"/>
        <w:textAlignment w:val="auto"/>
      </w:pPr>
    </w:p>
    <w:p w14:paraId="3F24C24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bCs/>
          <w:kern w:val="0"/>
          <w:sz w:val="28"/>
          <w:szCs w:val="28"/>
          <w:lang w:val="en-US" w:eastAsia="zh-CN" w:bidi="ar-SA"/>
        </w:rPr>
      </w:pPr>
      <w:r>
        <w:rPr>
          <w:rFonts w:hint="eastAsia" w:ascii="宋体" w:hAnsi="宋体" w:eastAsia="宋体" w:cs="宋体"/>
          <w:b/>
          <w:bCs/>
          <w:kern w:val="0"/>
          <w:sz w:val="28"/>
          <w:szCs w:val="28"/>
          <w:lang w:val="en-US" w:eastAsia="zh-CN" w:bidi="ar-SA"/>
        </w:rPr>
        <w:t>应对策略：</w:t>
      </w:r>
    </w:p>
    <w:p w14:paraId="38DFD04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0"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val="0"/>
          <w:bCs w:val="0"/>
          <w:kern w:val="0"/>
          <w:sz w:val="28"/>
          <w:szCs w:val="28"/>
          <w:lang w:val="en-US" w:eastAsia="zh-CN" w:bidi="ar-SA"/>
        </w:rPr>
        <w:t>减轻：将"设备转化SaaS订阅"列为最高优先级KPI，配置专职客户成功团队</w:t>
      </w:r>
    </w:p>
    <w:p w14:paraId="0AC8608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0"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val="0"/>
          <w:bCs w:val="0"/>
          <w:kern w:val="0"/>
          <w:sz w:val="28"/>
          <w:szCs w:val="28"/>
          <w:lang w:val="en-US" w:eastAsia="zh-CN" w:bidi="ar-SA"/>
        </w:rPr>
        <w:t>规避：设备租赁合约中嵌入SaaS试用条款，6个月后自动升</w:t>
      </w:r>
    </w:p>
    <w:p w14:paraId="44EA3D6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0" w:firstLineChars="200"/>
        <w:textAlignment w:val="auto"/>
        <w:rPr>
          <w:rFonts w:hint="eastAsia"/>
          <w:lang w:val="en-US" w:eastAsia="zh-CN"/>
        </w:rPr>
      </w:pPr>
      <w:r>
        <w:rPr>
          <w:rFonts w:hint="eastAsia" w:ascii="宋体" w:hAnsi="宋体" w:eastAsia="宋体" w:cs="宋体"/>
          <w:b w:val="0"/>
          <w:bCs w:val="0"/>
          <w:kern w:val="0"/>
          <w:sz w:val="28"/>
          <w:szCs w:val="28"/>
          <w:lang w:val="en-US" w:eastAsia="zh-CN" w:bidi="ar-SA"/>
        </w:rPr>
        <w:t>接受：预留15%营收预算用于SaaS促销补贴，加速渗透率爬坡</w:t>
      </w:r>
    </w:p>
    <w:p w14:paraId="0492C582">
      <w:pPr>
        <w:widowControl w:val="0"/>
        <w:spacing w:after="160" w:line="279" w:lineRule="auto"/>
        <w:ind w:firstLine="562" w:firstLineChars="200"/>
        <w:outlineLvl w:val="1"/>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10.2.3 应收账款占用风险（风险等级：中）</w:t>
      </w:r>
    </w:p>
    <w:p w14:paraId="631FDD67">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bCs/>
          <w:kern w:val="0"/>
          <w:sz w:val="28"/>
          <w:szCs w:val="28"/>
          <w:lang w:val="en-US" w:eastAsia="zh-CN" w:bidi="ar-SA"/>
        </w:rPr>
        <w:t>风险描述：</w:t>
      </w:r>
      <w:r>
        <w:rPr>
          <w:rFonts w:hint="eastAsia" w:ascii="宋体" w:hAnsi="宋体" w:eastAsia="宋体" w:cs="宋体"/>
          <w:b w:val="0"/>
          <w:bCs w:val="0"/>
          <w:kern w:val="0"/>
          <w:sz w:val="28"/>
          <w:szCs w:val="28"/>
          <w:lang w:val="en-US" w:eastAsia="zh-CN" w:bidi="ar-SA"/>
        </w:rPr>
        <w:t>G端采购账期90天、大厂账期60天，应收账款规模随营收扩张快速增长，可能形成资金占用压力。</w:t>
      </w:r>
    </w:p>
    <w:p w14:paraId="42F101B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bCs/>
          <w:kern w:val="0"/>
          <w:sz w:val="28"/>
          <w:szCs w:val="28"/>
          <w:lang w:val="en-US" w:eastAsia="zh-CN" w:bidi="ar-SA"/>
        </w:rPr>
      </w:pPr>
      <w:r>
        <w:rPr>
          <w:rFonts w:hint="eastAsia" w:ascii="宋体" w:hAnsi="宋体" w:eastAsia="宋体" w:cs="宋体"/>
          <w:b/>
          <w:bCs/>
          <w:kern w:val="0"/>
          <w:sz w:val="28"/>
          <w:szCs w:val="28"/>
          <w:lang w:val="en-US" w:eastAsia="zh-CN" w:bidi="ar-SA"/>
        </w:rPr>
        <w:t>数据支撑：</w:t>
      </w:r>
    </w:p>
    <w:p w14:paraId="74F4CF27">
      <w:pPr>
        <w:widowControl/>
        <w:numPr>
          <w:ilvl w:val="0"/>
          <w:numId w:val="0"/>
        </w:numPr>
        <w:spacing w:beforeAutospacing="1" w:after="100" w:afterAutospacing="1" w:line="279" w:lineRule="auto"/>
        <w:ind w:leftChars="-200"/>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（1）2030年应收账款：193.9万元</w:t>
      </w:r>
    </w:p>
    <w:p w14:paraId="0208BB98">
      <w:pPr>
        <w:widowControl/>
        <w:numPr>
          <w:ilvl w:val="0"/>
          <w:numId w:val="0"/>
        </w:numPr>
        <w:spacing w:beforeAutospacing="1" w:after="100" w:afterAutospacing="1" w:line="279" w:lineRule="auto"/>
        <w:ind w:leftChars="-200"/>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（2）占流动资产比例：29.4%</w:t>
      </w:r>
    </w:p>
    <w:p w14:paraId="642A04DF">
      <w:pPr>
        <w:widowControl/>
        <w:numPr>
          <w:ilvl w:val="0"/>
          <w:numId w:val="0"/>
        </w:numPr>
        <w:spacing w:beforeAutospacing="1" w:after="100" w:afterAutospacing="1" w:line="279" w:lineRule="auto"/>
        <w:ind w:leftChars="-200"/>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（3）加权平均周转天数：45天</w:t>
      </w:r>
    </w:p>
    <w:p w14:paraId="0C0D2C44">
      <w:pPr>
        <w:widowControl/>
        <w:numPr>
          <w:ilvl w:val="0"/>
          <w:numId w:val="0"/>
        </w:numPr>
        <w:spacing w:beforeAutospacing="1" w:after="100" w:afterAutospacing="1" w:line="279" w:lineRule="auto"/>
        <w:ind w:leftChars="-200"/>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（4）2030年经营活动净现金流：194.9万元</w:t>
      </w:r>
    </w:p>
    <w:p w14:paraId="61D4A18B">
      <w:pPr>
        <w:pStyle w:val="6"/>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firstLine="562" w:firstLine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bCs/>
          <w:kern w:val="0"/>
          <w:sz w:val="28"/>
          <w:szCs w:val="28"/>
          <w:lang w:val="en-US" w:eastAsia="zh-CN" w:bidi="ar-SA"/>
        </w:rPr>
        <w:t>行业案例对标：</w:t>
      </w:r>
      <w:r>
        <w:rPr>
          <w:rFonts w:hint="eastAsia" w:ascii="宋体" w:hAnsi="宋体" w:eastAsia="宋体" w:cs="宋体"/>
          <w:b w:val="0"/>
          <w:bCs w:val="0"/>
          <w:kern w:val="0"/>
          <w:sz w:val="28"/>
          <w:szCs w:val="28"/>
          <w:lang w:val="en-US" w:eastAsia="zh-CN" w:bidi="ar-SA"/>
        </w:rPr>
        <w:t>工业检测行业应收账款周转天数中位数约60天，本项目45天假设优于行业均值，但G端项目实际回款周期常超预期。</w:t>
      </w:r>
    </w:p>
    <w:p w14:paraId="4F5974F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bCs/>
          <w:kern w:val="0"/>
          <w:sz w:val="28"/>
          <w:szCs w:val="28"/>
          <w:lang w:val="en-US" w:eastAsia="zh-CN" w:bidi="ar-SA"/>
        </w:rPr>
      </w:pPr>
      <w:r>
        <w:rPr>
          <w:rFonts w:hint="eastAsia" w:ascii="宋体" w:hAnsi="宋体" w:eastAsia="宋体" w:cs="宋体"/>
          <w:b/>
          <w:bCs/>
          <w:kern w:val="0"/>
          <w:sz w:val="28"/>
          <w:szCs w:val="28"/>
          <w:lang w:val="en-US" w:eastAsia="zh-CN" w:bidi="ar-SA"/>
        </w:rPr>
        <w:t>量化评估：</w:t>
      </w:r>
    </w:p>
    <w:p w14:paraId="45083C2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422" w:firstLineChars="200"/>
        <w:jc w:val="center"/>
        <w:textAlignment w:val="auto"/>
        <w:rPr>
          <w:rFonts w:hint="eastAsia" w:ascii="黑体" w:hAnsi="黑体" w:eastAsia="黑体" w:cs="黑体"/>
          <w:b/>
          <w:bCs/>
          <w:kern w:val="0"/>
          <w:sz w:val="21"/>
          <w:szCs w:val="21"/>
          <w:lang w:val="en-US" w:eastAsia="zh-CN" w:bidi="ar-SA"/>
        </w:rPr>
      </w:pPr>
      <w:r>
        <w:rPr>
          <w:rFonts w:hint="eastAsia" w:ascii="黑体" w:hAnsi="黑体" w:eastAsia="黑体" w:cs="黑体"/>
          <w:b/>
          <w:bCs/>
          <w:kern w:val="0"/>
          <w:sz w:val="21"/>
          <w:szCs w:val="21"/>
          <w:lang w:val="en-US" w:eastAsia="zh-CN" w:bidi="ar-SA"/>
        </w:rPr>
        <w:t>表10-3应收账款回款延迟风险分析</w:t>
      </w:r>
    </w:p>
    <w:p w14:paraId="36A5C37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bCs/>
          <w:kern w:val="0"/>
          <w:sz w:val="28"/>
          <w:szCs w:val="28"/>
          <w:lang w:val="en-US" w:eastAsia="zh-CN" w:bidi="ar-SA"/>
        </w:rPr>
      </w:pPr>
    </w:p>
    <w:p w14:paraId="3AA1E8D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bCs/>
          <w:kern w:val="0"/>
          <w:sz w:val="28"/>
          <w:szCs w:val="28"/>
          <w:lang w:val="en-US" w:eastAsia="zh-CN" w:bidi="ar-SA"/>
        </w:rPr>
      </w:pPr>
      <w:r>
        <w:rPr>
          <w:rFonts w:hint="eastAsia" w:ascii="宋体" w:hAnsi="宋体" w:eastAsia="宋体" w:cs="宋体"/>
          <w:b/>
          <w:bCs/>
          <w:kern w:val="0"/>
          <w:sz w:val="28"/>
          <w:szCs w:val="28"/>
          <w:lang w:val="en-US" w:eastAsia="zh-CN" w:bidi="ar-SA"/>
        </w:rPr>
        <w:t>应对策略：</w:t>
      </w:r>
    </w:p>
    <w:p w14:paraId="43B4433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ind w:left="0" w:leftChars="0" w:right="0" w:rightChars="0" w:firstLine="560"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val="0"/>
          <w:bCs w:val="0"/>
          <w:kern w:val="0"/>
          <w:sz w:val="28"/>
          <w:szCs w:val="28"/>
          <w:lang w:val="en-US" w:eastAsia="zh-CN" w:bidi="ar-SA"/>
        </w:rPr>
        <w:t>转移：与银行合作开展应收账款保理业务，贴现率约5-8%</w:t>
      </w:r>
    </w:p>
    <w:p w14:paraId="3499CCE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ind w:left="0" w:leftChars="0" w:right="0" w:rightChars="0" w:firstLine="560"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val="0"/>
          <w:bCs w:val="0"/>
          <w:kern w:val="0"/>
          <w:sz w:val="28"/>
          <w:szCs w:val="28"/>
          <w:lang w:val="en-US" w:eastAsia="zh-CN" w:bidi="ar-SA"/>
        </w:rPr>
        <w:t>减轻：G端项目预收30%款项，验收后付60%，质保金10%</w:t>
      </w:r>
    </w:p>
    <w:p w14:paraId="7A5BDE77">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ind w:left="0" w:leftChars="0" w:right="0" w:rightChars="0" w:firstLine="560"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val="0"/>
          <w:bCs w:val="0"/>
          <w:kern w:val="0"/>
          <w:sz w:val="28"/>
          <w:szCs w:val="28"/>
          <w:lang w:val="en-US" w:eastAsia="zh-CN" w:bidi="ar-SA"/>
        </w:rPr>
        <w:t>规避：下沉市场坚持月付订阅模式，应收账款占比控制在30%以内</w:t>
      </w:r>
    </w:p>
    <w:p w14:paraId="2DC118D4">
      <w:pPr>
        <w:widowControl w:val="0"/>
        <w:spacing w:after="160" w:line="279" w:lineRule="auto"/>
        <w:ind w:firstLine="562" w:firstLineChars="200"/>
        <w:outlineLvl w:val="1"/>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10.2.4 研发费用率管控风险（风险等级：中）</w:t>
      </w:r>
    </w:p>
    <w:p w14:paraId="61901EF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ind w:left="0" w:leftChars="0" w:right="0" w:rightChars="0" w:firstLine="562"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bCs/>
          <w:kern w:val="0"/>
          <w:sz w:val="28"/>
          <w:szCs w:val="28"/>
          <w:lang w:val="en-US" w:eastAsia="zh-CN" w:bidi="ar-SA"/>
        </w:rPr>
        <w:t>风险描述：</w:t>
      </w:r>
      <w:r>
        <w:rPr>
          <w:rFonts w:hint="eastAsia" w:ascii="宋体" w:hAnsi="宋体" w:eastAsia="宋体" w:cs="宋体"/>
          <w:b w:val="0"/>
          <w:bCs w:val="0"/>
          <w:kern w:val="0"/>
          <w:sz w:val="28"/>
          <w:szCs w:val="28"/>
          <w:lang w:val="en-US" w:eastAsia="zh-CN" w:bidi="ar-SA"/>
        </w:rPr>
        <w:t>研发费用率是第二敏感变量，前两年高投入（45-55%）若不能如期产生技术壁垒，将形成沉没成本。</w:t>
      </w:r>
    </w:p>
    <w:p w14:paraId="737ACB6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ind w:left="0" w:leftChars="0" w:right="0" w:rightChars="0" w:firstLine="562" w:firstLineChars="200"/>
        <w:textAlignment w:val="auto"/>
        <w:rPr>
          <w:rFonts w:hint="eastAsia" w:ascii="宋体" w:hAnsi="宋体" w:eastAsia="宋体" w:cs="宋体"/>
          <w:b/>
          <w:bCs/>
          <w:kern w:val="0"/>
          <w:sz w:val="28"/>
          <w:szCs w:val="28"/>
          <w:lang w:val="en-US" w:eastAsia="zh-CN" w:bidi="ar-SA"/>
        </w:rPr>
      </w:pPr>
      <w:r>
        <w:rPr>
          <w:rFonts w:hint="eastAsia" w:ascii="宋体" w:hAnsi="宋体" w:eastAsia="宋体" w:cs="宋体"/>
          <w:b/>
          <w:bCs/>
          <w:kern w:val="0"/>
          <w:sz w:val="28"/>
          <w:szCs w:val="28"/>
          <w:lang w:val="en-US" w:eastAsia="zh-CN" w:bidi="ar-SA"/>
        </w:rPr>
        <w:t>数据支撑：</w:t>
      </w:r>
    </w:p>
    <w:p w14:paraId="47C054E3">
      <w:pPr>
        <w:keepNext w:val="0"/>
        <w:keepLines w:val="0"/>
        <w:pageBreakBefore w:val="0"/>
        <w:widowControl/>
        <w:numPr>
          <w:ilvl w:val="0"/>
          <w:numId w:val="10"/>
        </w:numPr>
        <w:kinsoku/>
        <w:wordWrap/>
        <w:overflowPunct/>
        <w:topLinePunct w:val="0"/>
        <w:autoSpaceDE/>
        <w:autoSpaceDN/>
        <w:bidi w:val="0"/>
        <w:adjustRightInd/>
        <w:snapToGrid/>
        <w:spacing w:beforeAutospacing="1" w:after="100" w:afterAutospacing="1" w:line="240" w:lineRule="auto"/>
        <w:ind w:left="560" w:leftChars="0" w:hanging="560" w:hanging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（1）2026年研发费用：12万元，研发费用率444%</w:t>
      </w:r>
    </w:p>
    <w:p w14:paraId="6E18F180">
      <w:pPr>
        <w:keepNext w:val="0"/>
        <w:keepLines w:val="0"/>
        <w:pageBreakBefore w:val="0"/>
        <w:widowControl/>
        <w:numPr>
          <w:ilvl w:val="0"/>
          <w:numId w:val="10"/>
        </w:numPr>
        <w:kinsoku/>
        <w:wordWrap/>
        <w:overflowPunct/>
        <w:topLinePunct w:val="0"/>
        <w:autoSpaceDE/>
        <w:autoSpaceDN/>
        <w:bidi w:val="0"/>
        <w:adjustRightInd/>
        <w:snapToGrid/>
        <w:spacing w:beforeAutospacing="1" w:after="100" w:afterAutospacing="1" w:line="240" w:lineRule="auto"/>
        <w:ind w:left="560" w:leftChars="0" w:hanging="560" w:hanging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（2）2027年研发费用：18.5万元，研发费用率49.6%</w:t>
      </w:r>
    </w:p>
    <w:p w14:paraId="1EB9092D">
      <w:pPr>
        <w:keepNext w:val="0"/>
        <w:keepLines w:val="0"/>
        <w:pageBreakBefore w:val="0"/>
        <w:widowControl/>
        <w:numPr>
          <w:ilvl w:val="0"/>
          <w:numId w:val="10"/>
        </w:numPr>
        <w:kinsoku/>
        <w:wordWrap/>
        <w:overflowPunct/>
        <w:topLinePunct w:val="0"/>
        <w:autoSpaceDE/>
        <w:autoSpaceDN/>
        <w:bidi w:val="0"/>
        <w:adjustRightInd/>
        <w:snapToGrid/>
        <w:spacing w:beforeAutospacing="1" w:after="100" w:afterAutospacing="1" w:line="240" w:lineRule="auto"/>
        <w:ind w:left="560" w:leftChars="0" w:hanging="560" w:hanging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（3）2028年研发费用率目标：23.0%</w:t>
      </w:r>
    </w:p>
    <w:p w14:paraId="0C431AB8">
      <w:pPr>
        <w:keepNext w:val="0"/>
        <w:keepLines w:val="0"/>
        <w:pageBreakBefore w:val="0"/>
        <w:widowControl/>
        <w:numPr>
          <w:ilvl w:val="0"/>
          <w:numId w:val="10"/>
        </w:numPr>
        <w:kinsoku/>
        <w:wordWrap/>
        <w:overflowPunct/>
        <w:topLinePunct w:val="0"/>
        <w:autoSpaceDE/>
        <w:autoSpaceDN/>
        <w:bidi w:val="0"/>
        <w:adjustRightInd/>
        <w:snapToGrid/>
        <w:spacing w:beforeAutospacing="1" w:after="100" w:afterAutospacing="1" w:line="240" w:lineRule="auto"/>
        <w:ind w:left="560" w:leftChars="0" w:hanging="560" w:hanging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（4）研发费用率±5pct导致2028年净利润波动±9.2万元</w:t>
      </w:r>
    </w:p>
    <w:p w14:paraId="55883D6D">
      <w:pPr>
        <w:keepNext w:val="0"/>
        <w:keepLines w:val="0"/>
        <w:pageBreakBefore w:val="0"/>
        <w:widowControl/>
        <w:numPr>
          <w:ilvl w:val="0"/>
          <w:numId w:val="10"/>
        </w:numPr>
        <w:kinsoku/>
        <w:wordWrap/>
        <w:overflowPunct/>
        <w:topLinePunct w:val="0"/>
        <w:autoSpaceDE/>
        <w:autoSpaceDN/>
        <w:bidi w:val="0"/>
        <w:adjustRightInd/>
        <w:snapToGrid/>
        <w:spacing w:beforeAutospacing="1" w:after="100" w:afterAutospacing="1" w:line="240" w:lineRule="auto"/>
        <w:ind w:left="562" w:leftChars="0" w:hanging="562" w:hanging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bCs/>
          <w:kern w:val="0"/>
          <w:sz w:val="28"/>
          <w:szCs w:val="28"/>
          <w:lang w:val="en-US" w:eastAsia="zh-CN" w:bidi="ar-SA"/>
        </w:rPr>
        <w:t>行业案例对标：</w:t>
      </w:r>
    </w:p>
    <w:p w14:paraId="6A754D16">
      <w:pPr>
        <w:keepNext w:val="0"/>
        <w:keepLines w:val="0"/>
        <w:pageBreakBefore w:val="0"/>
        <w:widowControl/>
        <w:numPr>
          <w:ilvl w:val="0"/>
          <w:numId w:val="10"/>
        </w:numPr>
        <w:kinsoku/>
        <w:wordWrap/>
        <w:overflowPunct/>
        <w:topLinePunct w:val="0"/>
        <w:autoSpaceDE/>
        <w:autoSpaceDN/>
        <w:bidi w:val="0"/>
        <w:adjustRightInd/>
        <w:snapToGrid/>
        <w:spacing w:beforeAutospacing="1" w:after="100" w:afterAutospacing="1" w:line="240" w:lineRule="auto"/>
        <w:ind w:left="560" w:leftChars="0" w:hanging="560" w:hanging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SaaS行业研发费用率中位数约25%，本项目第3年23%假设合理，但前两年近50%的投入强度需严格管控产出效率。</w:t>
      </w:r>
    </w:p>
    <w:p w14:paraId="142A7A5C">
      <w:pPr>
        <w:widowControl/>
        <w:numPr>
          <w:ilvl w:val="0"/>
          <w:numId w:val="10"/>
        </w:numPr>
        <w:spacing w:beforeAutospacing="1" w:after="100" w:afterAutospacing="1" w:line="279" w:lineRule="auto"/>
        <w:ind w:left="562" w:leftChars="0" w:hanging="562" w:hangingChars="200"/>
        <w:rPr>
          <w:rFonts w:hint="eastAsia" w:ascii="黑体" w:hAnsi="黑体" w:eastAsia="黑体" w:cs="黑体"/>
          <w:b/>
          <w:bCs/>
          <w:kern w:val="2"/>
          <w:sz w:val="30"/>
          <w:szCs w:val="30"/>
          <w:lang w:val="en-US" w:eastAsia="zh-CN" w:bidi="ar-SA"/>
        </w:rPr>
      </w:pPr>
      <w:r>
        <w:rPr>
          <w:rFonts w:hint="eastAsia" w:ascii="宋体" w:hAnsi="宋体" w:eastAsia="宋体" w:cs="宋体"/>
          <w:b/>
          <w:bCs/>
          <w:kern w:val="0"/>
          <w:sz w:val="28"/>
          <w:szCs w:val="28"/>
          <w:lang w:val="en-US" w:eastAsia="zh-CN" w:bidi="ar-SA"/>
        </w:rPr>
        <w:t>应对策略：</w:t>
      </w:r>
    </w:p>
    <w:p w14:paraId="1AECFA44">
      <w:pPr>
        <w:widowControl/>
        <w:numPr>
          <w:ilvl w:val="0"/>
          <w:numId w:val="10"/>
        </w:numPr>
        <w:spacing w:beforeAutospacing="1" w:after="100" w:afterAutospacing="1" w:line="279" w:lineRule="auto"/>
        <w:ind w:left="560" w:leftChars="0" w:hanging="560" w:hangingChars="200"/>
        <w:rPr>
          <w:rFonts w:hint="eastAsia" w:ascii="黑体" w:hAnsi="黑体" w:eastAsia="黑体" w:cs="黑体"/>
          <w:b w:val="0"/>
          <w:bCs w:val="0"/>
          <w:kern w:val="2"/>
          <w:sz w:val="28"/>
          <w:szCs w:val="28"/>
          <w:lang w:val="en-US" w:eastAsia="zh-CN" w:bidi="ar-SA"/>
        </w:rPr>
      </w:pPr>
      <w:r>
        <w:rPr>
          <w:rFonts w:hint="eastAsia" w:ascii="宋体" w:hAnsi="宋体" w:eastAsia="宋体" w:cs="宋体"/>
          <w:b w:val="0"/>
          <w:bCs w:val="0"/>
          <w:kern w:val="0"/>
          <w:sz w:val="28"/>
          <w:szCs w:val="28"/>
          <w:lang w:val="en-US" w:eastAsia="zh-CN" w:bidi="ar-SA"/>
        </w:rPr>
        <w:t>减轻：建立研发里程碑考核机制，算法准确率、专利数量与预算挂钩</w:t>
      </w:r>
    </w:p>
    <w:p w14:paraId="04EB94B4">
      <w:pPr>
        <w:widowControl/>
        <w:numPr>
          <w:ilvl w:val="0"/>
          <w:numId w:val="10"/>
        </w:numPr>
        <w:spacing w:beforeAutospacing="1" w:after="100" w:afterAutospacing="1" w:line="279" w:lineRule="auto"/>
        <w:ind w:left="560" w:leftChars="0" w:hanging="560" w:hangingChars="200"/>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转移：申请研发费用加计扣除100%政策，降低应税所得额</w:t>
      </w:r>
    </w:p>
    <w:p w14:paraId="23E5514B">
      <w:pPr>
        <w:widowControl/>
        <w:numPr>
          <w:ilvl w:val="0"/>
          <w:numId w:val="10"/>
        </w:numPr>
        <w:spacing w:beforeAutospacing="1" w:after="100" w:afterAutospacing="1" w:line="279" w:lineRule="auto"/>
        <w:ind w:left="560" w:leftChars="0" w:hanging="560" w:hangingChars="200"/>
        <w:rPr>
          <w:rFonts w:hint="eastAsia" w:ascii="黑体" w:hAnsi="黑体" w:eastAsia="黑体" w:cs="黑体"/>
          <w:b w:val="0"/>
          <w:bCs w:val="0"/>
          <w:kern w:val="2"/>
          <w:sz w:val="28"/>
          <w:szCs w:val="28"/>
          <w:lang w:val="en-US" w:eastAsia="zh-CN" w:bidi="ar-SA"/>
        </w:rPr>
      </w:pPr>
      <w:r>
        <w:rPr>
          <w:rFonts w:hint="eastAsia" w:ascii="宋体" w:hAnsi="宋体" w:eastAsia="宋体" w:cs="宋体"/>
          <w:b w:val="0"/>
          <w:bCs w:val="0"/>
          <w:kern w:val="0"/>
          <w:sz w:val="28"/>
          <w:szCs w:val="28"/>
          <w:lang w:val="en-US" w:eastAsia="zh-CN" w:bidi="ar-SA"/>
        </w:rPr>
        <w:t>接受：前两年战略性高投入，第3年起强制降至25%以内</w:t>
      </w:r>
    </w:p>
    <w:p w14:paraId="56968E46">
      <w:pPr>
        <w:widowControl w:val="0"/>
        <w:spacing w:after="160" w:line="279" w:lineRule="auto"/>
        <w:ind w:firstLine="562" w:firstLineChars="200"/>
        <w:outlineLvl w:val="1"/>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10.2.5 毛利率结构性下滑风险（风险等级：低）</w:t>
      </w:r>
    </w:p>
    <w:p w14:paraId="1A0B01E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bCs/>
          <w:kern w:val="0"/>
          <w:sz w:val="28"/>
          <w:szCs w:val="28"/>
          <w:lang w:val="en-US" w:eastAsia="zh-CN" w:bidi="ar-SA"/>
        </w:rPr>
        <w:t>风险描述：</w:t>
      </w:r>
      <w:r>
        <w:rPr>
          <w:rFonts w:hint="eastAsia" w:ascii="宋体" w:hAnsi="宋体" w:eastAsia="宋体" w:cs="宋体"/>
          <w:b w:val="0"/>
          <w:bCs w:val="0"/>
          <w:kern w:val="0"/>
          <w:sz w:val="28"/>
          <w:szCs w:val="28"/>
          <w:lang w:val="en-US" w:eastAsia="zh-CN" w:bidi="ar-SA"/>
        </w:rPr>
        <w:t>综合毛利率从第1年14.8%提升至第5年70.8%，依赖SaaS收入占比持续提升，若硬件销售占比反弹将拉低整体毛利。</w:t>
      </w:r>
    </w:p>
    <w:p w14:paraId="7817AE5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bCs/>
          <w:kern w:val="0"/>
          <w:sz w:val="28"/>
          <w:szCs w:val="28"/>
          <w:lang w:val="en-US" w:eastAsia="zh-CN" w:bidi="ar-SA"/>
        </w:rPr>
      </w:pPr>
      <w:r>
        <w:rPr>
          <w:rFonts w:hint="eastAsia" w:ascii="宋体" w:hAnsi="宋体" w:eastAsia="宋体" w:cs="宋体"/>
          <w:b/>
          <w:bCs/>
          <w:kern w:val="0"/>
          <w:sz w:val="28"/>
          <w:szCs w:val="28"/>
          <w:lang w:val="en-US" w:eastAsia="zh-CN" w:bidi="ar-SA"/>
        </w:rPr>
        <w:t>数据支撑：</w:t>
      </w:r>
    </w:p>
    <w:p w14:paraId="763BD02B">
      <w:pPr>
        <w:widowControl/>
        <w:numPr>
          <w:ilvl w:val="0"/>
          <w:numId w:val="11"/>
        </w:numPr>
        <w:spacing w:beforeAutospacing="1" w:after="100" w:afterAutospacing="1" w:line="279" w:lineRule="auto"/>
        <w:ind w:left="560" w:leftChars="0" w:hanging="560" w:hangingChars="200"/>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（1）2026年综合毛利率：14.8%</w:t>
      </w:r>
    </w:p>
    <w:p w14:paraId="58089210">
      <w:pPr>
        <w:widowControl/>
        <w:numPr>
          <w:ilvl w:val="0"/>
          <w:numId w:val="11"/>
        </w:numPr>
        <w:spacing w:beforeAutospacing="1" w:after="100" w:afterAutospacing="1" w:line="279" w:lineRule="auto"/>
        <w:ind w:left="560" w:leftChars="0" w:hanging="560" w:hangingChars="200"/>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（2）2030年综合毛利率：70.8%</w:t>
      </w:r>
    </w:p>
    <w:p w14:paraId="6E015B74">
      <w:pPr>
        <w:widowControl/>
        <w:numPr>
          <w:ilvl w:val="0"/>
          <w:numId w:val="11"/>
        </w:numPr>
        <w:spacing w:beforeAutospacing="1" w:after="100" w:afterAutospacing="1" w:line="279" w:lineRule="auto"/>
        <w:ind w:left="560" w:leftChars="0" w:hanging="560" w:hangingChars="200"/>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（3）硬件租赁/销售毛利率：35%</w:t>
      </w:r>
    </w:p>
    <w:p w14:paraId="5608002E">
      <w:pPr>
        <w:widowControl/>
        <w:numPr>
          <w:ilvl w:val="0"/>
          <w:numId w:val="11"/>
        </w:numPr>
        <w:spacing w:beforeAutospacing="1" w:after="100" w:afterAutospacing="1" w:line="279" w:lineRule="auto"/>
        <w:ind w:left="560" w:leftChars="0" w:hanging="560" w:hangingChars="200"/>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（4）SaaS算法订阅毛利率：78%</w:t>
      </w:r>
    </w:p>
    <w:p w14:paraId="26140426">
      <w:pPr>
        <w:keepNext w:val="0"/>
        <w:keepLines w:val="0"/>
        <w:pageBreakBefore w:val="0"/>
        <w:widowControl/>
        <w:numPr>
          <w:ilvl w:val="0"/>
          <w:numId w:val="11"/>
        </w:numPr>
        <w:kinsoku/>
        <w:wordWrap/>
        <w:overflowPunct/>
        <w:topLinePunct w:val="0"/>
        <w:autoSpaceDE/>
        <w:autoSpaceDN/>
        <w:bidi w:val="0"/>
        <w:adjustRightInd/>
        <w:snapToGrid/>
        <w:spacing w:beforeAutospacing="1" w:after="100" w:afterAutospacing="1" w:line="240" w:lineRule="auto"/>
        <w:ind w:left="562" w:leftChars="0" w:hanging="562" w:hangingChars="200"/>
        <w:textAlignment w:val="auto"/>
        <w:rPr>
          <w:rFonts w:hint="eastAsia" w:ascii="宋体" w:hAnsi="宋体" w:eastAsia="宋体" w:cs="宋体"/>
          <w:b/>
          <w:bCs/>
          <w:kern w:val="0"/>
          <w:sz w:val="28"/>
          <w:szCs w:val="28"/>
          <w:lang w:val="en-US" w:eastAsia="zh-CN" w:bidi="ar"/>
        </w:rPr>
      </w:pPr>
      <w:r>
        <w:rPr>
          <w:rFonts w:hint="eastAsia" w:ascii="宋体" w:hAnsi="宋体" w:eastAsia="宋体" w:cs="宋体"/>
          <w:b/>
          <w:bCs/>
          <w:kern w:val="0"/>
          <w:sz w:val="28"/>
          <w:szCs w:val="28"/>
          <w:lang w:val="en-US" w:eastAsia="zh-CN" w:bidi="ar-SA"/>
        </w:rPr>
        <w:t>应对策略：</w:t>
      </w:r>
    </w:p>
    <w:p w14:paraId="24018075">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440" w:leftChars="-200" w:firstLine="560" w:firstLine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规避：硬件定价策略坚持"低毛利获客"定位，不追求硬件利润</w:t>
      </w:r>
    </w:p>
    <w:p w14:paraId="550C7B1B">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440" w:leftChars="-200" w:firstLine="560"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val="0"/>
          <w:bCs w:val="0"/>
          <w:kern w:val="0"/>
          <w:sz w:val="28"/>
          <w:szCs w:val="28"/>
          <w:lang w:val="en-US" w:eastAsia="zh-CN" w:bidi="ar-SA"/>
        </w:rPr>
        <w:t>减轻：SaaS套餐设计阶梯式价格，引导客户向高毛利版本升级</w:t>
      </w:r>
    </w:p>
    <w:p w14:paraId="5488DBFC">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0" w:leftChars="0" w:firstLine="602" w:firstLineChars="200"/>
        <w:textAlignment w:val="auto"/>
        <w:outlineLvl w:val="0"/>
        <w:rPr>
          <w:rFonts w:hint="eastAsia" w:ascii="黑体" w:hAnsi="黑体" w:eastAsia="黑体" w:cs="黑体"/>
          <w:b/>
          <w:bCs w:val="0"/>
          <w:kern w:val="0"/>
          <w:sz w:val="30"/>
          <w:szCs w:val="30"/>
          <w:lang w:val="en-US" w:eastAsia="zh-CN" w:bidi="ar"/>
        </w:rPr>
      </w:pPr>
      <w:bookmarkStart w:id="173" w:name="_Toc15782"/>
      <w:r>
        <w:rPr>
          <w:rFonts w:hint="eastAsia" w:ascii="黑体" w:hAnsi="黑体" w:eastAsia="黑体" w:cs="黑体"/>
          <w:b/>
          <w:bCs w:val="0"/>
          <w:kern w:val="0"/>
          <w:sz w:val="30"/>
          <w:szCs w:val="30"/>
          <w:lang w:val="en-US" w:eastAsia="zh-CN" w:bidi="ar-SA"/>
        </w:rPr>
        <w:t>10.3 市场风险维度分析</w:t>
      </w:r>
      <w:bookmarkEnd w:id="173"/>
    </w:p>
    <w:p w14:paraId="4B107A77">
      <w:pPr>
        <w:keepNext w:val="0"/>
        <w:keepLines w:val="0"/>
        <w:pageBreakBefore w:val="0"/>
        <w:widowControl/>
        <w:numPr>
          <w:ilvl w:val="0"/>
          <w:numId w:val="11"/>
        </w:numPr>
        <w:kinsoku/>
        <w:wordWrap/>
        <w:overflowPunct/>
        <w:topLinePunct w:val="0"/>
        <w:autoSpaceDE/>
        <w:autoSpaceDN/>
        <w:bidi w:val="0"/>
        <w:adjustRightInd/>
        <w:snapToGrid/>
        <w:spacing w:beforeAutospacing="1" w:after="100" w:afterAutospacing="1" w:line="240" w:lineRule="auto"/>
        <w:ind w:left="562" w:leftChars="0" w:hanging="562" w:hangingChars="200"/>
        <w:textAlignment w:val="auto"/>
        <w:outlineLvl w:val="1"/>
        <w:rPr>
          <w:rFonts w:hint="eastAsia" w:ascii="黑体" w:hAnsi="黑体" w:eastAsia="黑体" w:cs="黑体"/>
          <w:b/>
          <w:bCs w:val="0"/>
          <w:kern w:val="0"/>
          <w:sz w:val="28"/>
          <w:szCs w:val="28"/>
          <w:lang w:val="en-US" w:eastAsia="zh-CN" w:bidi="ar"/>
        </w:rPr>
      </w:pPr>
      <w:r>
        <w:rPr>
          <w:rFonts w:hint="eastAsia" w:ascii="黑体" w:hAnsi="黑体" w:eastAsia="黑体" w:cs="黑体"/>
          <w:b/>
          <w:bCs w:val="0"/>
          <w:kern w:val="0"/>
          <w:sz w:val="28"/>
          <w:szCs w:val="28"/>
          <w:lang w:val="en-US" w:eastAsia="zh-CN" w:bidi="ar-SA"/>
        </w:rPr>
        <w:t>10.3.1 竞争加剧风险（风险等级：中）</w:t>
      </w:r>
    </w:p>
    <w:p w14:paraId="29694FC3">
      <w:pPr>
        <w:pStyle w:val="6"/>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ind w:left="0" w:right="0" w:firstLine="562" w:firstLine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bCs/>
          <w:kern w:val="0"/>
          <w:sz w:val="28"/>
          <w:szCs w:val="28"/>
          <w:lang w:val="en-US" w:eastAsia="zh-CN" w:bidi="ar-SA"/>
        </w:rPr>
        <w:t>风险描述：</w:t>
      </w:r>
      <w:r>
        <w:rPr>
          <w:rFonts w:hint="eastAsia" w:ascii="宋体" w:hAnsi="宋体" w:eastAsia="宋体" w:cs="宋体"/>
          <w:b w:val="0"/>
          <w:bCs w:val="0"/>
          <w:kern w:val="0"/>
          <w:sz w:val="28"/>
          <w:szCs w:val="28"/>
          <w:lang w:val="en-US" w:eastAsia="zh-CN" w:bidi="ar-SA"/>
        </w:rPr>
        <w:t>国内光谱企业加速布局，硬件巨头可能向下整合，价格竞争将压缩毛利率空间。</w:t>
      </w:r>
    </w:p>
    <w:p w14:paraId="07D084C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ind w:left="0" w:leftChars="0" w:right="0" w:rightChars="0" w:firstLine="562" w:firstLineChars="200"/>
        <w:textAlignment w:val="auto"/>
        <w:rPr>
          <w:rFonts w:hint="eastAsia" w:ascii="宋体" w:hAnsi="宋体" w:eastAsia="宋体" w:cs="宋体"/>
          <w:b/>
          <w:bCs/>
          <w:kern w:val="0"/>
          <w:sz w:val="28"/>
          <w:szCs w:val="28"/>
          <w:lang w:val="en-US" w:eastAsia="zh-CN" w:bidi="ar-SA"/>
        </w:rPr>
      </w:pPr>
      <w:r>
        <w:rPr>
          <w:rFonts w:hint="eastAsia" w:ascii="宋体" w:hAnsi="宋体" w:eastAsia="宋体" w:cs="宋体"/>
          <w:b/>
          <w:bCs/>
          <w:kern w:val="0"/>
          <w:sz w:val="28"/>
          <w:szCs w:val="28"/>
          <w:lang w:val="en-US" w:eastAsia="zh-CN" w:bidi="ar-SA"/>
        </w:rPr>
        <w:t>竞争格局：</w:t>
      </w:r>
    </w:p>
    <w:p w14:paraId="11B9264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ind w:left="0" w:leftChars="0" w:right="0" w:rightChars="0" w:firstLine="422" w:firstLineChars="200"/>
        <w:jc w:val="center"/>
        <w:textAlignment w:val="auto"/>
        <w:rPr>
          <w:rFonts w:hint="eastAsia" w:ascii="黑体" w:hAnsi="黑体" w:eastAsia="黑体" w:cs="黑体"/>
          <w:b/>
          <w:bCs/>
          <w:kern w:val="0"/>
          <w:sz w:val="21"/>
          <w:szCs w:val="21"/>
          <w:lang w:val="en-US" w:eastAsia="zh-CN" w:bidi="ar-SA"/>
        </w:rPr>
      </w:pPr>
      <w:r>
        <w:rPr>
          <w:rFonts w:hint="eastAsia" w:ascii="黑体" w:hAnsi="黑体" w:eastAsia="黑体" w:cs="黑体"/>
          <w:b/>
          <w:bCs/>
          <w:kern w:val="0"/>
          <w:sz w:val="21"/>
          <w:szCs w:val="21"/>
          <w:lang w:val="en-US" w:eastAsia="zh-CN" w:bidi="ar-SA"/>
        </w:rPr>
        <w:t>表10-4不同类型竞品威胁评估及差异化打法</w:t>
      </w:r>
    </w:p>
    <w:p w14:paraId="328B554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440" w:firstLineChars="200"/>
        <w:textAlignment w:val="auto"/>
      </w:pPr>
    </w:p>
    <w:p w14:paraId="1E03B541">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bCs/>
          <w:kern w:val="0"/>
          <w:sz w:val="28"/>
          <w:szCs w:val="28"/>
          <w:lang w:val="en-US" w:eastAsia="zh-CN" w:bidi="ar-SA"/>
        </w:rPr>
        <w:t>数据支撑：</w:t>
      </w:r>
      <w:r>
        <w:rPr>
          <w:rFonts w:hint="eastAsia" w:ascii="宋体" w:hAnsi="宋体" w:eastAsia="宋体" w:cs="宋体"/>
          <w:b w:val="0"/>
          <w:bCs w:val="0"/>
          <w:kern w:val="0"/>
          <w:sz w:val="28"/>
          <w:szCs w:val="28"/>
          <w:lang w:val="en-US" w:eastAsia="zh-CN" w:bidi="ar-SA"/>
        </w:rPr>
        <w:t>中国工业机器视觉市场2024年规模268.3亿元，CAGR超过30%，高增速吸引新进入者</w:t>
      </w:r>
    </w:p>
    <w:p w14:paraId="11AC63F8">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bCs/>
          <w:kern w:val="0"/>
          <w:sz w:val="28"/>
          <w:szCs w:val="28"/>
          <w:lang w:val="en-US" w:eastAsia="zh-CN" w:bidi="ar-SA"/>
        </w:rPr>
      </w:pPr>
      <w:r>
        <w:rPr>
          <w:rFonts w:hint="eastAsia" w:ascii="宋体" w:hAnsi="宋体" w:eastAsia="宋体" w:cs="宋体"/>
          <w:b/>
          <w:bCs/>
          <w:kern w:val="0"/>
          <w:sz w:val="28"/>
          <w:szCs w:val="28"/>
          <w:lang w:val="en-US" w:eastAsia="zh-CN" w:bidi="ar-SA"/>
        </w:rPr>
        <w:t>应对策略：</w:t>
      </w:r>
    </w:p>
    <w:p w14:paraId="79F7C51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0"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val="0"/>
          <w:bCs w:val="0"/>
          <w:kern w:val="0"/>
          <w:sz w:val="28"/>
          <w:szCs w:val="28"/>
          <w:lang w:val="en-US" w:eastAsia="zh-CN" w:bidi="ar-SA"/>
        </w:rPr>
        <w:t>规避：聚焦饮料色素检测细分赛道，不做通用光谱设备</w:t>
      </w:r>
    </w:p>
    <w:p w14:paraId="575BECC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0"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val="0"/>
          <w:bCs w:val="0"/>
          <w:kern w:val="0"/>
          <w:sz w:val="28"/>
          <w:szCs w:val="28"/>
          <w:lang w:val="en-US" w:eastAsia="zh-CN" w:bidi="ar-SA"/>
        </w:rPr>
        <w:t>减轻：加速数据飞轮构建，千万级特征向量图谱库形成壁垒</w:t>
      </w:r>
    </w:p>
    <w:p w14:paraId="4455EEA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0"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val="0"/>
          <w:bCs w:val="0"/>
          <w:kern w:val="0"/>
          <w:sz w:val="28"/>
          <w:szCs w:val="28"/>
          <w:lang w:val="en-US" w:eastAsia="zh-CN" w:bidi="ar-SA"/>
        </w:rPr>
        <w:t>转移：与第三方检测机构战略合作，将竞争转化为渠道</w:t>
      </w:r>
    </w:p>
    <w:p w14:paraId="5315ADD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outlineLvl w:val="1"/>
        <w:rPr>
          <w:rFonts w:hint="eastAsia" w:ascii="宋体" w:hAnsi="宋体" w:eastAsia="宋体" w:cs="宋体"/>
          <w:b w:val="0"/>
          <w:bCs w:val="0"/>
          <w:kern w:val="0"/>
          <w:sz w:val="28"/>
          <w:szCs w:val="28"/>
          <w:lang w:val="en-US" w:eastAsia="zh-CN" w:bidi="ar-SA"/>
        </w:rPr>
      </w:pPr>
      <w:r>
        <w:rPr>
          <w:rFonts w:hint="eastAsia" w:ascii="黑体" w:hAnsi="黑体" w:eastAsia="黑体" w:cs="黑体"/>
          <w:b/>
          <w:bCs/>
          <w:kern w:val="0"/>
          <w:sz w:val="28"/>
          <w:szCs w:val="28"/>
          <w:lang w:val="en-US" w:eastAsia="zh-CN" w:bidi="ar-SA"/>
        </w:rPr>
        <w:t>10.3.2 客户集中度风险（风险等级：低）</w:t>
      </w:r>
    </w:p>
    <w:p w14:paraId="699B5ADE">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bCs/>
          <w:kern w:val="0"/>
          <w:sz w:val="28"/>
          <w:szCs w:val="28"/>
          <w:lang w:val="en-US" w:eastAsia="zh-CN" w:bidi="ar-SA"/>
        </w:rPr>
        <w:t>风险描述：</w:t>
      </w:r>
      <w:r>
        <w:rPr>
          <w:rFonts w:hint="eastAsia" w:ascii="宋体" w:hAnsi="宋体" w:eastAsia="宋体" w:cs="宋体"/>
          <w:b w:val="0"/>
          <w:bCs w:val="0"/>
          <w:kern w:val="0"/>
          <w:sz w:val="28"/>
          <w:szCs w:val="28"/>
          <w:lang w:val="en-US" w:eastAsia="zh-CN" w:bidi="ar-SA"/>
        </w:rPr>
        <w:t>大厂集成收入占比提升，若头部客户流失将显著影响营收稳定性。</w:t>
      </w:r>
    </w:p>
    <w:p w14:paraId="5093B5A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bCs/>
          <w:kern w:val="0"/>
          <w:sz w:val="28"/>
          <w:szCs w:val="28"/>
          <w:lang w:val="en-US" w:eastAsia="zh-CN" w:bidi="ar-SA"/>
        </w:rPr>
      </w:pPr>
      <w:r>
        <w:rPr>
          <w:rFonts w:hint="eastAsia" w:ascii="宋体" w:hAnsi="宋体" w:eastAsia="宋体" w:cs="宋体"/>
          <w:b/>
          <w:bCs/>
          <w:kern w:val="0"/>
          <w:sz w:val="28"/>
          <w:szCs w:val="28"/>
          <w:lang w:val="en-US" w:eastAsia="zh-CN" w:bidi="ar-SA"/>
        </w:rPr>
        <w:t>数据支撑：</w:t>
      </w:r>
    </w:p>
    <w:p w14:paraId="4860C39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0" w:firstLineChars="200"/>
        <w:textAlignment w:val="auto"/>
        <w:rPr>
          <w:rFonts w:hint="eastAsia" w:ascii="宋体" w:hAnsi="宋体" w:eastAsia="宋体" w:cs="宋体"/>
          <w:b w:val="0"/>
          <w:bCs/>
          <w:kern w:val="0"/>
          <w:sz w:val="28"/>
          <w:szCs w:val="28"/>
          <w:lang w:val="en-US" w:eastAsia="zh-CN" w:bidi="ar-SA"/>
        </w:rPr>
      </w:pPr>
      <w:r>
        <w:rPr>
          <w:rFonts w:hint="eastAsia" w:ascii="宋体" w:hAnsi="宋体" w:eastAsia="宋体" w:cs="宋体"/>
          <w:b w:val="0"/>
          <w:bCs/>
          <w:kern w:val="0"/>
          <w:sz w:val="28"/>
          <w:szCs w:val="28"/>
          <w:lang w:val="en-US" w:eastAsia="zh-CN" w:bidi="ar-SA"/>
        </w:rPr>
        <w:t>（1）2030年大厂集成收入：144万元</w:t>
      </w:r>
    </w:p>
    <w:p w14:paraId="57199EFB">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0" w:firstLineChars="200"/>
        <w:textAlignment w:val="auto"/>
        <w:rPr>
          <w:rFonts w:hint="eastAsia" w:ascii="宋体" w:hAnsi="宋体" w:eastAsia="宋体" w:cs="宋体"/>
          <w:b w:val="0"/>
          <w:bCs/>
          <w:kern w:val="0"/>
          <w:sz w:val="28"/>
          <w:szCs w:val="28"/>
          <w:lang w:val="en-US" w:eastAsia="zh-CN" w:bidi="ar-SA"/>
        </w:rPr>
      </w:pPr>
      <w:r>
        <w:rPr>
          <w:rFonts w:hint="eastAsia" w:ascii="宋体" w:hAnsi="宋体" w:eastAsia="宋体" w:cs="宋体"/>
          <w:b w:val="0"/>
          <w:bCs/>
          <w:kern w:val="0"/>
          <w:sz w:val="28"/>
          <w:szCs w:val="28"/>
          <w:lang w:val="en-US" w:eastAsia="zh-CN" w:bidi="ar-SA"/>
        </w:rPr>
        <w:t>（2）占营收比例：14.2%</w:t>
      </w:r>
    </w:p>
    <w:p w14:paraId="0512F70E">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0"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
        </w:rPr>
        <w:t>（3）</w:t>
      </w:r>
      <w:r>
        <w:rPr>
          <w:rFonts w:hint="eastAsia" w:ascii="宋体" w:hAnsi="宋体" w:eastAsia="宋体" w:cs="宋体"/>
          <w:b w:val="0"/>
          <w:bCs/>
          <w:kern w:val="0"/>
          <w:sz w:val="28"/>
          <w:szCs w:val="28"/>
          <w:lang w:val="en-US" w:eastAsia="zh-CN" w:bidi="ar-SA"/>
        </w:rPr>
        <w:t>2030年大厂签约数：15家</w:t>
      </w:r>
    </w:p>
    <w:p w14:paraId="0FC0612F">
      <w:pPr>
        <w:keepNext w:val="0"/>
        <w:keepLines w:val="0"/>
        <w:pageBreakBefore w:val="0"/>
        <w:widowControl/>
        <w:numPr>
          <w:ilvl w:val="0"/>
          <w:numId w:val="8"/>
        </w:numPr>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0" w:firstLineChars="200"/>
        <w:textAlignment w:val="auto"/>
        <w:rPr>
          <w:rFonts w:hint="eastAsia" w:ascii="宋体" w:hAnsi="宋体" w:eastAsia="宋体" w:cs="宋体"/>
          <w:b w:val="0"/>
          <w:bCs/>
          <w:kern w:val="0"/>
          <w:sz w:val="28"/>
          <w:szCs w:val="28"/>
          <w:lang w:val="en-US" w:eastAsia="zh-CN" w:bidi="ar-SA"/>
        </w:rPr>
      </w:pPr>
      <w:r>
        <w:rPr>
          <w:rFonts w:hint="eastAsia" w:ascii="宋体" w:hAnsi="宋体" w:eastAsia="宋体" w:cs="宋体"/>
          <w:b w:val="0"/>
          <w:bCs/>
          <w:kern w:val="0"/>
          <w:sz w:val="28"/>
          <w:szCs w:val="28"/>
          <w:lang w:val="en-US" w:eastAsia="zh-CN" w:bidi="ar-SA"/>
        </w:rPr>
        <w:t>企业版API客户留存率：95%</w:t>
      </w:r>
    </w:p>
    <w:p w14:paraId="06874810">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bCs w:val="0"/>
          <w:kern w:val="0"/>
          <w:sz w:val="28"/>
          <w:szCs w:val="28"/>
          <w:lang w:val="en-US" w:eastAsia="zh-CN" w:bidi="ar-SA"/>
        </w:rPr>
      </w:pPr>
      <w:r>
        <w:rPr>
          <w:rFonts w:hint="eastAsia" w:ascii="宋体" w:hAnsi="宋体" w:eastAsia="宋体" w:cs="宋体"/>
          <w:b/>
          <w:bCs w:val="0"/>
          <w:kern w:val="0"/>
          <w:sz w:val="28"/>
          <w:szCs w:val="28"/>
          <w:lang w:val="en-US" w:eastAsia="zh-CN" w:bidi="ar-SA"/>
        </w:rPr>
        <w:t>应对策略：</w:t>
      </w:r>
    </w:p>
    <w:p w14:paraId="3CCADF52">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0" w:firstLineChars="200"/>
        <w:textAlignment w:val="auto"/>
        <w:rPr>
          <w:rFonts w:hint="eastAsia" w:ascii="宋体" w:hAnsi="宋体" w:eastAsia="宋体" w:cs="宋体"/>
          <w:b w:val="0"/>
          <w:bCs/>
          <w:kern w:val="0"/>
          <w:sz w:val="28"/>
          <w:szCs w:val="28"/>
          <w:lang w:val="en-US" w:eastAsia="zh-CN" w:bidi="ar-SA"/>
        </w:rPr>
      </w:pPr>
      <w:r>
        <w:rPr>
          <w:rFonts w:hint="eastAsia" w:ascii="宋体" w:hAnsi="宋体" w:eastAsia="宋体" w:cs="宋体"/>
          <w:b w:val="0"/>
          <w:bCs/>
          <w:kern w:val="0"/>
          <w:sz w:val="28"/>
          <w:szCs w:val="28"/>
          <w:lang w:val="en-US" w:eastAsia="zh-CN" w:bidi="ar-SA"/>
        </w:rPr>
        <w:t>减轻：客户多元化拓展，单一客户营收占比不超过5%</w:t>
      </w:r>
    </w:p>
    <w:p w14:paraId="52D18B14">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0" w:firstLineChars="200"/>
        <w:textAlignment w:val="auto"/>
        <w:rPr>
          <w:rFonts w:hint="eastAsia" w:ascii="宋体" w:hAnsi="宋体" w:eastAsia="宋体" w:cs="宋体"/>
          <w:b w:val="0"/>
          <w:bCs/>
          <w:kern w:val="0"/>
          <w:sz w:val="28"/>
          <w:szCs w:val="28"/>
          <w:lang w:val="en-US" w:eastAsia="zh-CN" w:bidi="ar-SA"/>
        </w:rPr>
      </w:pPr>
      <w:r>
        <w:rPr>
          <w:rFonts w:hint="eastAsia" w:ascii="宋体" w:hAnsi="宋体" w:eastAsia="宋体" w:cs="宋体"/>
          <w:b w:val="0"/>
          <w:bCs/>
          <w:kern w:val="0"/>
          <w:sz w:val="28"/>
          <w:szCs w:val="28"/>
          <w:lang w:val="en-US" w:eastAsia="zh-CN" w:bidi="ar-SA"/>
        </w:rPr>
        <w:t>转移：大厂合约设置3年锁定期，提前解约需支付违约金</w:t>
      </w:r>
    </w:p>
    <w:p w14:paraId="46EC2110">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0" w:firstLineChars="200"/>
        <w:textAlignment w:val="auto"/>
        <w:rPr>
          <w:rFonts w:hint="default" w:ascii="宋体" w:hAnsi="宋体" w:eastAsia="宋体" w:cs="宋体"/>
          <w:b w:val="0"/>
          <w:bCs/>
          <w:kern w:val="0"/>
          <w:sz w:val="28"/>
          <w:szCs w:val="28"/>
          <w:lang w:val="en-US" w:eastAsia="zh-CN" w:bidi="ar-SA"/>
        </w:rPr>
      </w:pPr>
      <w:r>
        <w:rPr>
          <w:rFonts w:hint="eastAsia" w:ascii="宋体" w:hAnsi="宋体" w:eastAsia="宋体" w:cs="宋体"/>
          <w:b w:val="0"/>
          <w:bCs/>
          <w:kern w:val="0"/>
          <w:sz w:val="28"/>
          <w:szCs w:val="28"/>
          <w:lang w:val="en-US" w:eastAsia="zh-CN" w:bidi="ar-SA"/>
        </w:rPr>
        <w:t>接受：15家大客户流失2-3家影响可控，下沉市场基本盘稳固</w:t>
      </w:r>
    </w:p>
    <w:p w14:paraId="0CECB09B">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val="0"/>
          <w:bCs w:val="0"/>
          <w:kern w:val="0"/>
          <w:sz w:val="28"/>
          <w:szCs w:val="28"/>
          <w:lang w:val="en-US" w:eastAsia="zh-CN" w:bidi="ar-SA"/>
        </w:rPr>
      </w:pPr>
      <w:r>
        <w:rPr>
          <w:rFonts w:hint="eastAsia" w:ascii="黑体" w:hAnsi="黑体" w:eastAsia="黑体" w:cs="黑体"/>
          <w:b/>
          <w:bCs/>
          <w:kern w:val="0"/>
          <w:sz w:val="28"/>
          <w:szCs w:val="28"/>
          <w:lang w:val="en-US" w:eastAsia="zh-CN" w:bidi="ar-SA"/>
        </w:rPr>
        <w:t>10.3.3 市场教育成本超预期风险（风险等级：中）</w:t>
      </w:r>
    </w:p>
    <w:p w14:paraId="1C9FA9EB">
      <w:pPr>
        <w:widowControl w:val="0"/>
        <w:spacing w:after="160" w:line="279" w:lineRule="auto"/>
        <w:ind w:firstLine="562" w:firstLineChars="200"/>
        <w:outlineLvl w:val="9"/>
        <w:rPr>
          <w:rFonts w:hint="eastAsia" w:ascii="宋体" w:hAnsi="宋体" w:eastAsia="宋体" w:cs="宋体"/>
          <w:b w:val="0"/>
          <w:bCs/>
          <w:kern w:val="0"/>
          <w:sz w:val="28"/>
          <w:szCs w:val="28"/>
          <w:lang w:val="en-US" w:eastAsia="zh-CN" w:bidi="ar-SA"/>
        </w:rPr>
      </w:pPr>
      <w:bookmarkStart w:id="174" w:name="_Toc5029"/>
      <w:r>
        <w:rPr>
          <w:rFonts w:hint="eastAsia" w:ascii="宋体" w:hAnsi="宋体" w:eastAsia="宋体" w:cs="宋体"/>
          <w:b/>
          <w:bCs w:val="0"/>
          <w:kern w:val="0"/>
          <w:sz w:val="28"/>
          <w:szCs w:val="28"/>
          <w:lang w:val="en-US" w:eastAsia="zh-CN" w:bidi="ar-SA"/>
        </w:rPr>
        <w:t>风险描述：</w:t>
      </w:r>
      <w:r>
        <w:rPr>
          <w:rFonts w:hint="eastAsia" w:ascii="宋体" w:hAnsi="宋体" w:eastAsia="宋体" w:cs="宋体"/>
          <w:b w:val="0"/>
          <w:bCs/>
          <w:kern w:val="0"/>
          <w:sz w:val="28"/>
          <w:szCs w:val="28"/>
          <w:lang w:val="en-US" w:eastAsia="zh-CN" w:bidi="ar-SA"/>
        </w:rPr>
        <w:t>下沉市场中小饮料厂对高光谱检测认知度低，市场教育周期可能长于预期，影响设备铺设速度。</w:t>
      </w:r>
      <w:bookmarkEnd w:id="174"/>
    </w:p>
    <w:p w14:paraId="5A851332">
      <w:pPr>
        <w:widowControl w:val="0"/>
        <w:spacing w:after="160" w:line="279" w:lineRule="auto"/>
        <w:ind w:firstLine="562" w:firstLineChars="200"/>
        <w:outlineLvl w:val="9"/>
        <w:rPr>
          <w:rFonts w:hint="eastAsia" w:ascii="宋体" w:hAnsi="宋体" w:eastAsia="宋体" w:cs="宋体"/>
          <w:b/>
          <w:bCs w:val="0"/>
          <w:kern w:val="0"/>
          <w:sz w:val="28"/>
          <w:szCs w:val="28"/>
          <w:lang w:val="en-US" w:eastAsia="zh-CN" w:bidi="ar-SA"/>
        </w:rPr>
      </w:pPr>
      <w:bookmarkStart w:id="175" w:name="_Toc16342"/>
      <w:r>
        <w:rPr>
          <w:rFonts w:hint="eastAsia" w:ascii="宋体" w:hAnsi="宋体" w:eastAsia="宋体" w:cs="宋体"/>
          <w:b/>
          <w:bCs w:val="0"/>
          <w:kern w:val="0"/>
          <w:sz w:val="28"/>
          <w:szCs w:val="28"/>
          <w:lang w:val="en-US" w:eastAsia="zh-CN" w:bidi="ar-SA"/>
        </w:rPr>
        <w:t>数据支撑：</w:t>
      </w:r>
      <w:bookmarkEnd w:id="175"/>
    </w:p>
    <w:p w14:paraId="315F0F3A">
      <w:pPr>
        <w:widowControl w:val="0"/>
        <w:spacing w:after="160" w:line="279" w:lineRule="auto"/>
        <w:ind w:firstLine="560" w:firstLineChars="200"/>
        <w:outlineLvl w:val="9"/>
        <w:rPr>
          <w:rFonts w:hint="eastAsia" w:ascii="宋体" w:hAnsi="宋体" w:eastAsia="宋体" w:cs="宋体"/>
          <w:b w:val="0"/>
          <w:bCs/>
          <w:kern w:val="0"/>
          <w:sz w:val="28"/>
          <w:szCs w:val="28"/>
          <w:lang w:val="en-US" w:eastAsia="zh-CN" w:bidi="ar-SA"/>
        </w:rPr>
      </w:pPr>
      <w:bookmarkStart w:id="176" w:name="_Toc7064"/>
      <w:r>
        <w:rPr>
          <w:rFonts w:hint="eastAsia" w:ascii="宋体" w:hAnsi="宋体" w:eastAsia="宋体" w:cs="宋体"/>
          <w:b w:val="0"/>
          <w:bCs/>
          <w:kern w:val="0"/>
          <w:sz w:val="28"/>
          <w:szCs w:val="28"/>
          <w:lang w:val="en-US" w:eastAsia="zh-CN" w:bidi="ar-SA"/>
        </w:rPr>
        <w:t>（1）2027年末在网设备目标：80台</w:t>
      </w:r>
      <w:bookmarkEnd w:id="176"/>
    </w:p>
    <w:p w14:paraId="7DE99253">
      <w:pPr>
        <w:widowControl w:val="0"/>
        <w:spacing w:after="160" w:line="279" w:lineRule="auto"/>
        <w:ind w:firstLine="560" w:firstLineChars="200"/>
        <w:outlineLvl w:val="9"/>
        <w:rPr>
          <w:rFonts w:hint="eastAsia" w:ascii="宋体" w:hAnsi="宋体" w:eastAsia="宋体" w:cs="宋体"/>
          <w:b w:val="0"/>
          <w:bCs/>
          <w:kern w:val="0"/>
          <w:sz w:val="28"/>
          <w:szCs w:val="28"/>
          <w:lang w:val="en-US" w:eastAsia="zh-CN" w:bidi="ar-SA"/>
        </w:rPr>
      </w:pPr>
      <w:bookmarkStart w:id="177" w:name="_Toc8191"/>
      <w:r>
        <w:rPr>
          <w:rFonts w:hint="eastAsia" w:ascii="宋体" w:hAnsi="宋体" w:eastAsia="宋体" w:cs="宋体"/>
          <w:b w:val="0"/>
          <w:bCs/>
          <w:kern w:val="0"/>
          <w:sz w:val="28"/>
          <w:szCs w:val="28"/>
          <w:lang w:val="en-US" w:eastAsia="zh-CN" w:bidi="ar-SA"/>
        </w:rPr>
        <w:t>（2）2028年末在网设备目标：350台</w:t>
      </w:r>
      <w:bookmarkEnd w:id="177"/>
    </w:p>
    <w:p w14:paraId="53E9DE16">
      <w:pPr>
        <w:widowControl w:val="0"/>
        <w:spacing w:after="160" w:line="279" w:lineRule="auto"/>
        <w:ind w:firstLine="560" w:firstLineChars="200"/>
        <w:outlineLvl w:val="9"/>
        <w:rPr>
          <w:rFonts w:hint="eastAsia" w:ascii="宋体" w:hAnsi="宋体" w:eastAsia="宋体" w:cs="宋体"/>
          <w:b w:val="0"/>
          <w:bCs/>
          <w:kern w:val="0"/>
          <w:sz w:val="28"/>
          <w:szCs w:val="28"/>
          <w:lang w:val="en-US" w:eastAsia="zh-CN" w:bidi="ar-SA"/>
        </w:rPr>
      </w:pPr>
      <w:bookmarkStart w:id="178" w:name="_Toc25014"/>
      <w:r>
        <w:rPr>
          <w:rFonts w:hint="eastAsia" w:ascii="宋体" w:hAnsi="宋体" w:eastAsia="宋体" w:cs="宋体"/>
          <w:b w:val="0"/>
          <w:bCs/>
          <w:kern w:val="0"/>
          <w:sz w:val="28"/>
          <w:szCs w:val="28"/>
          <w:lang w:val="en-US" w:eastAsia="zh-CN" w:bidi="ar-SA"/>
        </w:rPr>
        <w:t>（3）销售费用率冷启动期：30%</w:t>
      </w:r>
      <w:bookmarkEnd w:id="178"/>
    </w:p>
    <w:p w14:paraId="3D7A9CE1">
      <w:pPr>
        <w:widowControl w:val="0"/>
        <w:spacing w:after="160" w:line="279" w:lineRule="auto"/>
        <w:ind w:firstLine="562" w:firstLineChars="200"/>
        <w:outlineLvl w:val="9"/>
        <w:rPr>
          <w:rFonts w:hint="eastAsia" w:ascii="宋体" w:hAnsi="宋体" w:eastAsia="宋体" w:cs="宋体"/>
          <w:b/>
          <w:bCs w:val="0"/>
          <w:kern w:val="0"/>
          <w:sz w:val="28"/>
          <w:szCs w:val="28"/>
          <w:lang w:val="en-US" w:eastAsia="zh-CN" w:bidi="ar-SA"/>
        </w:rPr>
      </w:pPr>
      <w:bookmarkStart w:id="179" w:name="_Toc11779"/>
      <w:r>
        <w:rPr>
          <w:rFonts w:hint="eastAsia" w:ascii="宋体" w:hAnsi="宋体" w:eastAsia="宋体" w:cs="宋体"/>
          <w:b/>
          <w:bCs w:val="0"/>
          <w:kern w:val="0"/>
          <w:sz w:val="28"/>
          <w:szCs w:val="28"/>
          <w:lang w:val="en-US" w:eastAsia="zh-CN" w:bidi="ar-SA"/>
        </w:rPr>
        <w:t>应对策略：</w:t>
      </w:r>
      <w:bookmarkEnd w:id="179"/>
    </w:p>
    <w:p w14:paraId="42A78423">
      <w:pPr>
        <w:widowControl w:val="0"/>
        <w:spacing w:after="160" w:line="279" w:lineRule="auto"/>
        <w:ind w:firstLine="560" w:firstLineChars="200"/>
        <w:outlineLvl w:val="9"/>
        <w:rPr>
          <w:rFonts w:hint="eastAsia" w:ascii="宋体" w:hAnsi="宋体" w:eastAsia="宋体" w:cs="宋体"/>
          <w:b w:val="0"/>
          <w:bCs/>
          <w:kern w:val="0"/>
          <w:sz w:val="28"/>
          <w:szCs w:val="28"/>
          <w:lang w:val="en-US" w:eastAsia="zh-CN" w:bidi="ar-SA"/>
        </w:rPr>
      </w:pPr>
      <w:bookmarkStart w:id="180" w:name="_Toc23091"/>
      <w:r>
        <w:rPr>
          <w:rFonts w:hint="eastAsia" w:ascii="宋体" w:hAnsi="宋体" w:eastAsia="宋体" w:cs="宋体"/>
          <w:b w:val="0"/>
          <w:bCs/>
          <w:kern w:val="0"/>
          <w:sz w:val="28"/>
          <w:szCs w:val="28"/>
          <w:lang w:val="en-US" w:eastAsia="zh-CN" w:bidi="ar-SA"/>
        </w:rPr>
        <w:t>减轻：采用“直播短租包</w:t>
      </w:r>
      <w:r>
        <w:rPr>
          <w:rFonts w:hint="default" w:ascii="宋体" w:hAnsi="宋体" w:eastAsia="宋体" w:cs="宋体"/>
          <w:b w:val="0"/>
          <w:bCs/>
          <w:kern w:val="0"/>
          <w:sz w:val="28"/>
          <w:szCs w:val="28"/>
          <w:lang w:val="en-US" w:eastAsia="zh-CN" w:bidi="ar-SA"/>
        </w:rPr>
        <w:t>”</w:t>
      </w:r>
      <w:r>
        <w:rPr>
          <w:rFonts w:hint="eastAsia" w:ascii="宋体" w:hAnsi="宋体" w:eastAsia="宋体" w:cs="宋体"/>
          <w:b w:val="0"/>
          <w:bCs/>
          <w:kern w:val="0"/>
          <w:sz w:val="28"/>
          <w:szCs w:val="28"/>
          <w:lang w:val="en-US" w:eastAsia="zh-CN" w:bidi="ar-SA"/>
        </w:rPr>
        <w:t>4500元/季度降低试用门槛</w:t>
      </w:r>
      <w:bookmarkEnd w:id="180"/>
    </w:p>
    <w:p w14:paraId="5D8E2408">
      <w:pPr>
        <w:widowControl w:val="0"/>
        <w:spacing w:after="160" w:line="279" w:lineRule="auto"/>
        <w:ind w:firstLine="560" w:firstLineChars="200"/>
        <w:outlineLvl w:val="9"/>
        <w:rPr>
          <w:rFonts w:hint="eastAsia" w:ascii="宋体" w:hAnsi="宋体" w:eastAsia="宋体" w:cs="宋体"/>
          <w:b w:val="0"/>
          <w:bCs/>
          <w:kern w:val="0"/>
          <w:sz w:val="28"/>
          <w:szCs w:val="28"/>
          <w:lang w:val="en-US" w:eastAsia="zh-CN" w:bidi="ar-SA"/>
        </w:rPr>
      </w:pPr>
      <w:bookmarkStart w:id="181" w:name="_Toc4617"/>
      <w:r>
        <w:rPr>
          <w:rFonts w:hint="eastAsia" w:ascii="宋体" w:hAnsi="宋体" w:eastAsia="宋体" w:cs="宋体"/>
          <w:b w:val="0"/>
          <w:bCs/>
          <w:kern w:val="0"/>
          <w:sz w:val="28"/>
          <w:szCs w:val="28"/>
          <w:lang w:val="en-US" w:eastAsia="zh-CN" w:bidi="ar-SA"/>
        </w:rPr>
        <w:t>转移：与行业协会合作开展免费检测活动，借势教育市场</w:t>
      </w:r>
      <w:bookmarkEnd w:id="181"/>
    </w:p>
    <w:p w14:paraId="26AF97B4">
      <w:pPr>
        <w:widowControl w:val="0"/>
        <w:spacing w:after="160" w:line="279" w:lineRule="auto"/>
        <w:ind w:firstLine="560" w:firstLineChars="200"/>
        <w:outlineLvl w:val="9"/>
        <w:rPr>
          <w:rFonts w:hint="eastAsia" w:ascii="宋体" w:hAnsi="宋体" w:eastAsia="宋体" w:cs="宋体"/>
          <w:b w:val="0"/>
          <w:bCs/>
          <w:kern w:val="0"/>
          <w:sz w:val="28"/>
          <w:szCs w:val="28"/>
          <w:lang w:val="en-US" w:eastAsia="zh-CN" w:bidi="ar-SA"/>
        </w:rPr>
      </w:pPr>
      <w:bookmarkStart w:id="182" w:name="_Toc9794"/>
      <w:r>
        <w:rPr>
          <w:rFonts w:hint="eastAsia" w:ascii="宋体" w:hAnsi="宋体" w:eastAsia="宋体" w:cs="宋体"/>
          <w:b w:val="0"/>
          <w:bCs/>
          <w:kern w:val="0"/>
          <w:sz w:val="28"/>
          <w:szCs w:val="28"/>
          <w:lang w:val="en-US" w:eastAsia="zh-CN" w:bidi="ar-SA"/>
        </w:rPr>
        <w:t>规避：优先拓展已有质检预算的政务G端客户，回款稳定</w:t>
      </w:r>
      <w:bookmarkEnd w:id="182"/>
    </w:p>
    <w:p w14:paraId="425129FE">
      <w:pPr>
        <w:widowControl w:val="0"/>
        <w:spacing w:after="160" w:line="279" w:lineRule="auto"/>
        <w:ind w:firstLine="562" w:firstLineChars="200"/>
        <w:outlineLvl w:val="9"/>
        <w:rPr>
          <w:rFonts w:hint="eastAsia" w:ascii="宋体" w:hAnsi="宋体" w:eastAsia="宋体" w:cs="宋体"/>
          <w:b w:val="0"/>
          <w:bCs w:val="0"/>
          <w:kern w:val="0"/>
          <w:sz w:val="28"/>
          <w:szCs w:val="28"/>
          <w:lang w:val="en-US" w:eastAsia="zh-CN" w:bidi="ar-SA"/>
        </w:rPr>
      </w:pPr>
      <w:r>
        <w:rPr>
          <w:rFonts w:hint="eastAsia" w:ascii="黑体" w:hAnsi="黑体" w:eastAsia="黑体" w:cs="黑体"/>
          <w:b/>
          <w:bCs/>
          <w:kern w:val="0"/>
          <w:sz w:val="28"/>
          <w:szCs w:val="28"/>
          <w:lang w:val="en-US" w:eastAsia="zh-CN" w:bidi="ar-SA"/>
        </w:rPr>
        <w:t>10.3.4 替代品技术风险（风险等级：低）</w:t>
      </w:r>
    </w:p>
    <w:p w14:paraId="33DE9CD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bCs/>
          <w:kern w:val="0"/>
          <w:sz w:val="28"/>
          <w:szCs w:val="28"/>
          <w:lang w:val="en-US" w:eastAsia="zh-CN" w:bidi="ar-SA"/>
        </w:rPr>
        <w:t>风险描述：</w:t>
      </w:r>
      <w:r>
        <w:rPr>
          <w:rFonts w:hint="eastAsia" w:ascii="宋体" w:hAnsi="宋体" w:eastAsia="宋体" w:cs="宋体"/>
          <w:b w:val="0"/>
          <w:bCs w:val="0"/>
          <w:kern w:val="0"/>
          <w:sz w:val="28"/>
          <w:szCs w:val="28"/>
          <w:lang w:val="en-US" w:eastAsia="zh-CN" w:bidi="ar-SA"/>
        </w:rPr>
        <w:t>新型检测技术（如拉曼光谱、质谱快检）可能形成替代威胁。</w:t>
      </w:r>
    </w:p>
    <w:p w14:paraId="030B185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bCs/>
          <w:kern w:val="0"/>
          <w:sz w:val="28"/>
          <w:szCs w:val="28"/>
          <w:lang w:val="en-US" w:eastAsia="zh-CN" w:bidi="ar-SA"/>
        </w:rPr>
        <w:t>应对策略：</w:t>
      </w:r>
    </w:p>
    <w:p w14:paraId="56A546FB">
      <w:pPr>
        <w:keepNext w:val="0"/>
        <w:keepLines w:val="0"/>
        <w:pageBreakBefore w:val="0"/>
        <w:widowControl/>
        <w:numPr>
          <w:ilvl w:val="0"/>
          <w:numId w:val="10"/>
        </w:numPr>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0" w:firstLineChars="200"/>
        <w:textAlignment w:val="auto"/>
        <w:rPr>
          <w:rFonts w:hint="eastAsia" w:ascii="宋体" w:hAnsi="宋体" w:eastAsia="宋体" w:cs="宋体"/>
          <w:b w:val="0"/>
          <w:bCs w:val="0"/>
          <w:kern w:val="0"/>
          <w:sz w:val="28"/>
          <w:szCs w:val="28"/>
          <w:lang w:val="en-US" w:eastAsia="zh-CN" w:bidi="ar-SA"/>
        </w:rPr>
      </w:pPr>
      <w:r>
        <w:rPr>
          <w:rFonts w:hint="eastAsia" w:ascii="宋体" w:hAnsi="宋体" w:eastAsia="宋体" w:cs="宋体"/>
          <w:b w:val="0"/>
          <w:bCs w:val="0"/>
          <w:kern w:val="0"/>
          <w:sz w:val="28"/>
          <w:szCs w:val="28"/>
          <w:lang w:val="en-US" w:eastAsia="zh-CN" w:bidi="ar-SA"/>
        </w:rPr>
        <w:t>规避：高光谱成像在色素检测领域具有成本与效率双重优势，20秒检测、成本降至HPLC的1/10</w:t>
      </w:r>
    </w:p>
    <w:p w14:paraId="2199AD0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0" w:firstLineChars="200"/>
        <w:textAlignment w:val="auto"/>
        <w:rPr>
          <w:rFonts w:hint="eastAsia" w:ascii="宋体" w:hAnsi="宋体" w:eastAsia="宋体" w:cs="宋体"/>
          <w:b/>
          <w:bCs w:val="0"/>
          <w:kern w:val="0"/>
          <w:sz w:val="28"/>
          <w:szCs w:val="28"/>
          <w:lang w:val="en-US" w:eastAsia="zh-CN" w:bidi="ar-SA"/>
        </w:rPr>
      </w:pPr>
      <w:r>
        <w:rPr>
          <w:rFonts w:hint="eastAsia" w:ascii="宋体" w:hAnsi="宋体" w:eastAsia="宋体" w:cs="宋体"/>
          <w:b w:val="0"/>
          <w:bCs w:val="0"/>
          <w:kern w:val="0"/>
          <w:sz w:val="28"/>
          <w:szCs w:val="28"/>
          <w:lang w:val="en-US" w:eastAsia="zh-CN" w:bidi="ar-SA"/>
        </w:rPr>
        <w:t>减轻：持续研发投入，保持算法迭代领先竞争对手12-18个月</w:t>
      </w:r>
    </w:p>
    <w:p w14:paraId="29B660C2">
      <w:pPr>
        <w:keepNext w:val="0"/>
        <w:keepLines w:val="0"/>
        <w:pageBreakBefore w:val="0"/>
        <w:widowControl/>
        <w:numPr>
          <w:ilvl w:val="0"/>
          <w:numId w:val="10"/>
        </w:numPr>
        <w:suppressLineNumbers w:val="0"/>
        <w:kinsoku/>
        <w:wordWrap/>
        <w:overflowPunct/>
        <w:topLinePunct w:val="0"/>
        <w:autoSpaceDE/>
        <w:autoSpaceDN/>
        <w:bidi w:val="0"/>
        <w:adjustRightInd/>
        <w:snapToGrid/>
        <w:spacing w:before="120" w:beforeAutospacing="0" w:after="120" w:afterAutospacing="0" w:line="240" w:lineRule="auto"/>
        <w:ind w:left="0" w:leftChars="0" w:right="0" w:rightChars="0" w:firstLine="602" w:firstLineChars="200"/>
        <w:textAlignment w:val="auto"/>
        <w:outlineLvl w:val="0"/>
        <w:rPr>
          <w:rFonts w:hint="eastAsia" w:ascii="宋体" w:hAnsi="宋体" w:eastAsia="宋体" w:cs="宋体"/>
          <w:b/>
          <w:bCs w:val="0"/>
          <w:kern w:val="0"/>
          <w:sz w:val="28"/>
          <w:szCs w:val="28"/>
          <w:lang w:val="en-US" w:eastAsia="zh-CN" w:bidi="ar-SA"/>
        </w:rPr>
      </w:pPr>
      <w:bookmarkStart w:id="183" w:name="_Toc26904"/>
      <w:r>
        <w:rPr>
          <w:rFonts w:hint="eastAsia" w:ascii="黑体" w:hAnsi="黑体" w:eastAsia="黑体" w:cs="黑体"/>
          <w:b/>
          <w:bCs w:val="0"/>
          <w:kern w:val="0"/>
          <w:sz w:val="30"/>
          <w:szCs w:val="30"/>
          <w:lang w:val="en-US" w:eastAsia="zh-CN" w:bidi="ar-SA"/>
        </w:rPr>
        <w:t>10.4 运营风险维度分析</w:t>
      </w:r>
      <w:bookmarkEnd w:id="183"/>
    </w:p>
    <w:p w14:paraId="1323D60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outlineLvl w:val="1"/>
        <w:rPr>
          <w:rFonts w:hint="eastAsia" w:ascii="宋体" w:hAnsi="宋体" w:eastAsia="宋体" w:cs="宋体"/>
          <w:b/>
          <w:bCs w:val="0"/>
          <w:kern w:val="0"/>
          <w:sz w:val="28"/>
          <w:szCs w:val="28"/>
          <w:lang w:val="en-US" w:eastAsia="zh-CN" w:bidi="ar-SA"/>
        </w:rPr>
      </w:pPr>
      <w:r>
        <w:rPr>
          <w:rFonts w:hint="eastAsia" w:ascii="黑体" w:hAnsi="黑体" w:eastAsia="黑体" w:cs="黑体"/>
          <w:b/>
          <w:bCs w:val="0"/>
          <w:kern w:val="0"/>
          <w:sz w:val="28"/>
          <w:szCs w:val="28"/>
          <w:lang w:val="en-US" w:eastAsia="zh-CN" w:bidi="ar-SA"/>
        </w:rPr>
        <w:t>10.4.1 供应链依赖风险（风险等级：中）</w:t>
      </w:r>
    </w:p>
    <w:p w14:paraId="69D3FCD9">
      <w:pPr>
        <w:keepNext w:val="0"/>
        <w:keepLines w:val="0"/>
        <w:pageBreakBefore w:val="0"/>
        <w:widowControl/>
        <w:numPr>
          <w:ilvl w:val="0"/>
          <w:numId w:val="10"/>
        </w:numPr>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val="0"/>
          <w:bCs/>
          <w:kern w:val="0"/>
          <w:sz w:val="28"/>
          <w:szCs w:val="28"/>
          <w:lang w:val="en-US" w:eastAsia="zh-CN" w:bidi="ar-SA"/>
        </w:rPr>
      </w:pPr>
      <w:r>
        <w:rPr>
          <w:rFonts w:hint="eastAsia" w:ascii="宋体" w:hAnsi="宋体" w:eastAsia="宋体" w:cs="宋体"/>
          <w:b/>
          <w:bCs w:val="0"/>
          <w:kern w:val="0"/>
          <w:sz w:val="28"/>
          <w:szCs w:val="28"/>
          <w:lang w:val="en-US" w:eastAsia="zh-CN" w:bidi="ar-SA"/>
        </w:rPr>
        <w:t>风险描述：</w:t>
      </w:r>
      <w:r>
        <w:rPr>
          <w:rFonts w:hint="eastAsia" w:ascii="宋体" w:hAnsi="宋体" w:eastAsia="宋体" w:cs="宋体"/>
          <w:b w:val="0"/>
          <w:bCs/>
          <w:kern w:val="0"/>
          <w:sz w:val="28"/>
          <w:szCs w:val="28"/>
          <w:lang w:val="en-US" w:eastAsia="zh-CN" w:bidi="ar-SA"/>
        </w:rPr>
        <w:t>核心光谱镜头模组、边缘计算板卡依赖外部OEM，供应商集中度高风险。</w:t>
      </w:r>
    </w:p>
    <w:p w14:paraId="30980FA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120" w:beforeAutospacing="0" w:after="120" w:afterAutospacing="0" w:line="279" w:lineRule="auto"/>
        <w:ind w:left="0" w:leftChars="0" w:right="0" w:rightChars="0" w:firstLine="562" w:firstLineChars="200"/>
        <w:textAlignment w:val="auto"/>
        <w:rPr>
          <w:rFonts w:hint="eastAsia" w:ascii="宋体" w:hAnsi="宋体" w:eastAsia="宋体" w:cs="宋体"/>
          <w:b/>
          <w:bCs w:val="0"/>
          <w:kern w:val="0"/>
          <w:sz w:val="28"/>
          <w:szCs w:val="28"/>
          <w:lang w:val="en-US" w:eastAsia="zh-CN" w:bidi="ar-SA"/>
        </w:rPr>
      </w:pPr>
      <w:r>
        <w:rPr>
          <w:rFonts w:hint="eastAsia" w:ascii="宋体" w:hAnsi="宋体" w:eastAsia="宋体" w:cs="宋体"/>
          <w:b/>
          <w:bCs w:val="0"/>
          <w:kern w:val="0"/>
          <w:sz w:val="28"/>
          <w:szCs w:val="28"/>
          <w:lang w:val="en-US" w:eastAsia="zh-CN" w:bidi="ar-SA"/>
        </w:rPr>
        <w:t>数据支撑：</w:t>
      </w:r>
    </w:p>
    <w:p w14:paraId="7A9ECACC">
      <w:pPr>
        <w:widowControl/>
        <w:numPr>
          <w:ilvl w:val="0"/>
          <w:numId w:val="12"/>
        </w:numPr>
        <w:spacing w:beforeAutospacing="1" w:after="100" w:afterAutospacing="1" w:line="279" w:lineRule="auto"/>
        <w:ind w:left="560" w:leftChars="0" w:hanging="560" w:hangingChars="200"/>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（1）单台便携设备BOM成本：1.2万元</w:t>
      </w:r>
    </w:p>
    <w:p w14:paraId="244C2872">
      <w:pPr>
        <w:widowControl/>
        <w:numPr>
          <w:ilvl w:val="0"/>
          <w:numId w:val="12"/>
        </w:numPr>
        <w:spacing w:beforeAutospacing="1" w:after="100" w:afterAutospacing="1" w:line="279" w:lineRule="auto"/>
        <w:ind w:left="560" w:leftChars="0" w:hanging="560" w:hangingChars="200"/>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（2）在线式大厂集成系统BOM：4万元/套</w:t>
      </w:r>
    </w:p>
    <w:p w14:paraId="6021160A">
      <w:pPr>
        <w:widowControl/>
        <w:numPr>
          <w:ilvl w:val="0"/>
          <w:numId w:val="12"/>
        </w:numPr>
        <w:spacing w:beforeAutospacing="1" w:after="100" w:afterAutospacing="1" w:line="279" w:lineRule="auto"/>
        <w:ind w:left="560" w:leftChars="0" w:hanging="560" w:hangingChars="200"/>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（3）规模效应第3年起BOM成本年降：8%</w:t>
      </w:r>
    </w:p>
    <w:p w14:paraId="7D6BC05C">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2" w:firstLineChars="200"/>
        <w:textAlignment w:val="auto"/>
        <w:rPr>
          <w:rFonts w:hint="eastAsia" w:ascii="宋体" w:hAnsi="宋体" w:eastAsia="宋体" w:cs="宋体"/>
          <w:b/>
          <w:bCs w:val="0"/>
          <w:kern w:val="0"/>
          <w:sz w:val="28"/>
          <w:szCs w:val="28"/>
          <w:lang w:val="en-US" w:eastAsia="zh-CN" w:bidi="ar"/>
        </w:rPr>
      </w:pPr>
      <w:r>
        <w:rPr>
          <w:rFonts w:hint="eastAsia" w:ascii="宋体" w:hAnsi="宋体" w:eastAsia="宋体" w:cs="宋体"/>
          <w:b/>
          <w:bCs w:val="0"/>
          <w:kern w:val="0"/>
          <w:sz w:val="28"/>
          <w:szCs w:val="28"/>
          <w:lang w:val="en-US" w:eastAsia="zh-CN" w:bidi="ar-SA"/>
        </w:rPr>
        <w:t>应对策略：</w:t>
      </w:r>
    </w:p>
    <w:p w14:paraId="45DA4F55">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转移：开发2-3家备选OEM供应商，避免单一依赖</w:t>
      </w:r>
    </w:p>
    <w:p w14:paraId="536C73CC">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减轻：核心算法自主加密烧录，硬件可替换但软件绑定</w:t>
      </w:r>
    </w:p>
    <w:p w14:paraId="458FC021">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黑体" w:hAnsi="黑体" w:eastAsia="黑体" w:cs="黑体"/>
          <w:b/>
          <w:bCs w:val="0"/>
          <w:kern w:val="0"/>
          <w:sz w:val="28"/>
          <w:szCs w:val="28"/>
          <w:lang w:val="en-US" w:eastAsia="zh-CN" w:bidi="ar"/>
        </w:rPr>
      </w:pPr>
      <w:r>
        <w:rPr>
          <w:rFonts w:hint="eastAsia" w:ascii="宋体" w:hAnsi="宋体" w:eastAsia="宋体" w:cs="宋体"/>
          <w:b w:val="0"/>
          <w:bCs/>
          <w:kern w:val="0"/>
          <w:sz w:val="28"/>
          <w:szCs w:val="28"/>
          <w:lang w:val="en-US" w:eastAsia="zh-CN" w:bidi="ar-SA"/>
        </w:rPr>
        <w:t>规避：关键模组建立3个月安全库存，应对供应链中断</w:t>
      </w:r>
    </w:p>
    <w:p w14:paraId="7C798894">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2" w:firstLineChars="200"/>
        <w:textAlignment w:val="auto"/>
        <w:rPr>
          <w:rFonts w:hint="eastAsia" w:ascii="黑体" w:hAnsi="黑体" w:eastAsia="黑体" w:cs="黑体"/>
          <w:b/>
          <w:bCs w:val="0"/>
          <w:kern w:val="0"/>
          <w:sz w:val="28"/>
          <w:szCs w:val="28"/>
          <w:lang w:val="en-US" w:eastAsia="zh-CN" w:bidi="ar"/>
        </w:rPr>
      </w:pPr>
      <w:r>
        <w:rPr>
          <w:rFonts w:hint="eastAsia" w:ascii="黑体" w:hAnsi="黑体" w:eastAsia="黑体" w:cs="黑体"/>
          <w:b/>
          <w:bCs w:val="0"/>
          <w:kern w:val="0"/>
          <w:sz w:val="28"/>
          <w:szCs w:val="28"/>
          <w:lang w:val="en-US" w:eastAsia="zh-CN" w:bidi="ar-SA"/>
        </w:rPr>
        <w:t>10.4.2 数据飞轮冷启动风险（风险等级：高）</w:t>
      </w:r>
    </w:p>
    <w:p w14:paraId="6BFA06CA">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2"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bCs w:val="0"/>
          <w:kern w:val="0"/>
          <w:sz w:val="28"/>
          <w:szCs w:val="28"/>
          <w:lang w:val="en-US" w:eastAsia="zh-CN" w:bidi="ar-SA"/>
        </w:rPr>
        <w:t>风险描述：</w:t>
      </w:r>
      <w:r>
        <w:rPr>
          <w:rFonts w:hint="eastAsia" w:ascii="宋体" w:hAnsi="宋体" w:eastAsia="宋体" w:cs="宋体"/>
          <w:b w:val="0"/>
          <w:bCs/>
          <w:kern w:val="0"/>
          <w:sz w:val="28"/>
          <w:szCs w:val="28"/>
          <w:lang w:val="en-US" w:eastAsia="zh-CN" w:bidi="ar-SA"/>
        </w:rPr>
        <w:t>算法迭代依赖千万级特征向量图谱库积累，前期设备铺设速度直接影响数据飞轮启动节奏。</w:t>
      </w:r>
    </w:p>
    <w:p w14:paraId="28548675">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2"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bCs w:val="0"/>
          <w:kern w:val="0"/>
          <w:sz w:val="28"/>
          <w:szCs w:val="28"/>
          <w:lang w:val="en-US" w:eastAsia="zh-CN" w:bidi="ar-SA"/>
        </w:rPr>
        <w:t>数据支撑：</w:t>
      </w:r>
    </w:p>
    <w:p w14:paraId="0A45D132">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（1）2026年末在网设备：15台</w:t>
      </w:r>
    </w:p>
    <w:p w14:paraId="000DEBFB">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（2）2027年末在网设备：80台</w:t>
      </w:r>
    </w:p>
    <w:p w14:paraId="105133C8">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（3）实验室准确率：98.7%</w:t>
      </w:r>
    </w:p>
    <w:p w14:paraId="404ED80D">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（4）产线验证准确率目标：≥95%</w:t>
      </w:r>
    </w:p>
    <w:p w14:paraId="1F534B7C">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2"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bCs w:val="0"/>
          <w:kern w:val="0"/>
          <w:sz w:val="28"/>
          <w:szCs w:val="28"/>
          <w:lang w:val="en-US" w:eastAsia="zh-CN" w:bidi="ar-SA"/>
        </w:rPr>
        <w:t>应对策略：</w:t>
      </w:r>
    </w:p>
    <w:p w14:paraId="40C5D7A6">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减轻：与高校实验室合作获取历史光谱数据，加速冷启动</w:t>
      </w:r>
    </w:p>
    <w:p w14:paraId="498867E6">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规避：设备合约中嵌入数据回传条款，客户授权异常特征向量云端训练</w:t>
      </w:r>
    </w:p>
    <w:p w14:paraId="0A693FF9">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黑体" w:hAnsi="黑体" w:eastAsia="黑体" w:cs="黑体"/>
          <w:b/>
          <w:bCs w:val="0"/>
          <w:kern w:val="0"/>
          <w:sz w:val="28"/>
          <w:szCs w:val="28"/>
          <w:lang w:val="en-US" w:eastAsia="zh-CN" w:bidi="ar"/>
        </w:rPr>
      </w:pPr>
      <w:r>
        <w:rPr>
          <w:rFonts w:hint="eastAsia" w:ascii="宋体" w:hAnsi="宋体" w:eastAsia="宋体" w:cs="宋体"/>
          <w:b w:val="0"/>
          <w:bCs/>
          <w:kern w:val="0"/>
          <w:sz w:val="28"/>
          <w:szCs w:val="28"/>
          <w:lang w:val="en-US" w:eastAsia="zh-CN" w:bidi="ar-SA"/>
        </w:rPr>
        <w:t>转移：采购行业公开数据集，补充初期训练样本</w:t>
      </w:r>
    </w:p>
    <w:p w14:paraId="79D3F785">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2" w:firstLineChars="200"/>
        <w:textAlignment w:val="auto"/>
        <w:rPr>
          <w:rFonts w:hint="eastAsia" w:ascii="黑体" w:hAnsi="黑体" w:eastAsia="黑体" w:cs="黑体"/>
          <w:b/>
          <w:bCs w:val="0"/>
          <w:kern w:val="0"/>
          <w:sz w:val="28"/>
          <w:szCs w:val="28"/>
          <w:lang w:val="en-US" w:eastAsia="zh-CN" w:bidi="ar"/>
        </w:rPr>
      </w:pPr>
      <w:r>
        <w:rPr>
          <w:rFonts w:hint="eastAsia" w:ascii="黑体" w:hAnsi="黑体" w:eastAsia="黑体" w:cs="黑体"/>
          <w:b/>
          <w:bCs w:val="0"/>
          <w:kern w:val="0"/>
          <w:sz w:val="28"/>
          <w:szCs w:val="28"/>
          <w:lang w:val="en-US" w:eastAsia="zh-CN" w:bidi="ar-SA"/>
        </w:rPr>
        <w:t>10.4.3 大厂POC通过率风险（风险等级：高）</w:t>
      </w:r>
    </w:p>
    <w:p w14:paraId="7504E741">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2"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bCs w:val="0"/>
          <w:kern w:val="0"/>
          <w:sz w:val="28"/>
          <w:szCs w:val="28"/>
          <w:lang w:val="en-US" w:eastAsia="zh-CN" w:bidi="ar-SA"/>
        </w:rPr>
        <w:t>风险描述：</w:t>
      </w:r>
      <w:r>
        <w:rPr>
          <w:rFonts w:hint="eastAsia" w:ascii="宋体" w:hAnsi="宋体" w:eastAsia="宋体" w:cs="宋体"/>
          <w:b w:val="0"/>
          <w:bCs/>
          <w:kern w:val="0"/>
          <w:sz w:val="28"/>
          <w:szCs w:val="28"/>
          <w:lang w:val="en-US" w:eastAsia="zh-CN" w:bidi="ar-SA"/>
        </w:rPr>
        <w:t>头部客户需2周概念验证测试，若通过率低于预期将影响标杆案例获取与后续渠道拓展。</w:t>
      </w:r>
    </w:p>
    <w:p w14:paraId="02CC76B9">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2" w:firstLineChars="200"/>
        <w:textAlignment w:val="auto"/>
        <w:rPr>
          <w:rFonts w:hint="eastAsia" w:ascii="宋体" w:hAnsi="宋体" w:eastAsia="宋体" w:cs="宋体"/>
          <w:b/>
          <w:bCs w:val="0"/>
          <w:kern w:val="0"/>
          <w:sz w:val="28"/>
          <w:szCs w:val="28"/>
          <w:lang w:val="en-US" w:eastAsia="zh-CN" w:bidi="ar"/>
        </w:rPr>
      </w:pPr>
      <w:r>
        <w:rPr>
          <w:rFonts w:hint="eastAsia" w:ascii="宋体" w:hAnsi="宋体" w:eastAsia="宋体" w:cs="宋体"/>
          <w:b/>
          <w:bCs w:val="0"/>
          <w:kern w:val="0"/>
          <w:sz w:val="28"/>
          <w:szCs w:val="28"/>
          <w:lang w:val="en-US" w:eastAsia="zh-CN" w:bidi="ar-SA"/>
        </w:rPr>
        <w:t>数据支撑：</w:t>
      </w:r>
    </w:p>
    <w:p w14:paraId="2E94365D">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（1）POC验证周期：2周</w:t>
      </w:r>
    </w:p>
    <w:p w14:paraId="55B6A3C5">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（2）2027年大厂签约目标：1家</w:t>
      </w:r>
    </w:p>
    <w:p w14:paraId="513153B7">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（3）2030年大厂签约目标：15家</w:t>
      </w:r>
    </w:p>
    <w:p w14:paraId="59CE7E22">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2" w:firstLineChars="200"/>
        <w:textAlignment w:val="auto"/>
        <w:rPr>
          <w:rFonts w:hint="eastAsia" w:ascii="宋体" w:hAnsi="宋体" w:eastAsia="宋体" w:cs="宋体"/>
          <w:b/>
          <w:bCs w:val="0"/>
          <w:kern w:val="0"/>
          <w:sz w:val="28"/>
          <w:szCs w:val="28"/>
          <w:lang w:val="en-US" w:eastAsia="zh-CN" w:bidi="ar"/>
        </w:rPr>
      </w:pPr>
      <w:r>
        <w:rPr>
          <w:rFonts w:hint="eastAsia" w:ascii="宋体" w:hAnsi="宋体" w:eastAsia="宋体" w:cs="宋体"/>
          <w:b/>
          <w:bCs w:val="0"/>
          <w:kern w:val="0"/>
          <w:sz w:val="28"/>
          <w:szCs w:val="28"/>
          <w:lang w:val="en-US" w:eastAsia="zh-CN" w:bidi="ar-SA"/>
        </w:rPr>
        <w:t>应对策略：</w:t>
      </w:r>
    </w:p>
    <w:p w14:paraId="1D147FE3">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减轻：</w:t>
      </w:r>
      <w:r>
        <w:rPr>
          <w:rFonts w:hint="eastAsia" w:ascii="宋体" w:hAnsi="宋体" w:eastAsia="宋体" w:cs="宋体"/>
          <w:b w:val="0"/>
          <w:bCs/>
          <w:sz w:val="28"/>
          <w:szCs w:val="28"/>
        </w:rPr>
        <w:t>POC前进行3轮内部预测试，确保通过率≥70%</w:t>
      </w:r>
    </w:p>
    <w:p w14:paraId="37DF839D">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规避：优先选择已有合作基础的头部客户，降低首次POC失败风险</w:t>
      </w:r>
    </w:p>
    <w:p w14:paraId="58B5F323">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黑体" w:hAnsi="黑体" w:eastAsia="黑体" w:cs="黑体"/>
          <w:b/>
          <w:bCs w:val="0"/>
          <w:kern w:val="0"/>
          <w:sz w:val="28"/>
          <w:szCs w:val="28"/>
          <w:lang w:val="en-US" w:eastAsia="zh-CN" w:bidi="ar"/>
        </w:rPr>
      </w:pPr>
      <w:r>
        <w:rPr>
          <w:rFonts w:hint="eastAsia" w:ascii="宋体" w:hAnsi="宋体" w:eastAsia="宋体" w:cs="宋体"/>
          <w:b w:val="0"/>
          <w:bCs/>
          <w:kern w:val="0"/>
          <w:sz w:val="28"/>
          <w:szCs w:val="28"/>
          <w:lang w:val="en-US" w:eastAsia="zh-CN" w:bidi="ar-SA"/>
        </w:rPr>
        <w:t>转移：POC失败条款设置，免费延长测试期至达标</w:t>
      </w:r>
    </w:p>
    <w:p w14:paraId="20051E00">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2" w:firstLineChars="200"/>
        <w:textAlignment w:val="auto"/>
        <w:rPr>
          <w:rFonts w:hint="eastAsia" w:ascii="黑体" w:hAnsi="黑体" w:eastAsia="黑体" w:cs="黑体"/>
          <w:b/>
          <w:bCs w:val="0"/>
          <w:kern w:val="0"/>
          <w:sz w:val="28"/>
          <w:szCs w:val="28"/>
          <w:lang w:val="en-US" w:eastAsia="zh-CN" w:bidi="ar"/>
        </w:rPr>
      </w:pPr>
      <w:r>
        <w:rPr>
          <w:rFonts w:hint="eastAsia" w:ascii="黑体" w:hAnsi="黑体" w:eastAsia="黑体" w:cs="黑体"/>
          <w:b/>
          <w:bCs w:val="0"/>
          <w:kern w:val="0"/>
          <w:sz w:val="28"/>
          <w:szCs w:val="28"/>
          <w:lang w:val="en-US" w:eastAsia="zh-CN" w:bidi="ar-SA"/>
        </w:rPr>
        <w:t>10.4.4 人才流失风险（风险等级：中）</w:t>
      </w:r>
    </w:p>
    <w:p w14:paraId="1D8A4A63">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2"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bCs w:val="0"/>
          <w:kern w:val="0"/>
          <w:sz w:val="28"/>
          <w:szCs w:val="28"/>
          <w:lang w:val="en-US" w:eastAsia="zh-CN" w:bidi="ar-SA"/>
        </w:rPr>
        <w:t>风险描述：</w:t>
      </w:r>
      <w:r>
        <w:rPr>
          <w:rFonts w:hint="eastAsia" w:ascii="宋体" w:hAnsi="宋体" w:eastAsia="宋体" w:cs="宋体"/>
          <w:b w:val="0"/>
          <w:bCs/>
          <w:kern w:val="0"/>
          <w:sz w:val="28"/>
          <w:szCs w:val="28"/>
          <w:lang w:val="en-US" w:eastAsia="zh-CN" w:bidi="ar-SA"/>
        </w:rPr>
        <w:t>核心算法工程师、客户成功团队关键人员流失将影响技术迭代与客户留存。</w:t>
      </w:r>
    </w:p>
    <w:p w14:paraId="4380EC99">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2" w:firstLineChars="200"/>
        <w:textAlignment w:val="auto"/>
        <w:rPr>
          <w:rFonts w:hint="eastAsia" w:ascii="宋体" w:hAnsi="宋体" w:eastAsia="宋体" w:cs="宋体"/>
          <w:b/>
          <w:bCs w:val="0"/>
          <w:kern w:val="0"/>
          <w:sz w:val="28"/>
          <w:szCs w:val="28"/>
          <w:lang w:val="en-US" w:eastAsia="zh-CN" w:bidi="ar"/>
        </w:rPr>
      </w:pPr>
      <w:r>
        <w:rPr>
          <w:rFonts w:hint="eastAsia" w:ascii="宋体" w:hAnsi="宋体" w:eastAsia="宋体" w:cs="宋体"/>
          <w:b/>
          <w:bCs w:val="0"/>
          <w:kern w:val="0"/>
          <w:sz w:val="28"/>
          <w:szCs w:val="28"/>
          <w:lang w:val="en-US" w:eastAsia="zh-CN" w:bidi="ar-SA"/>
        </w:rPr>
        <w:t>应对策略：</w:t>
      </w:r>
    </w:p>
    <w:p w14:paraId="2418D515">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转移：核心团队成员签署竞业限制协议，离职后2年内不得加入竞争对手</w:t>
      </w:r>
    </w:p>
    <w:p w14:paraId="676E19ED">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kern w:val="0"/>
          <w:sz w:val="28"/>
          <w:szCs w:val="28"/>
          <w:lang w:val="en-US" w:eastAsia="zh-CN" w:bidi="ar"/>
        </w:rPr>
      </w:pPr>
      <w:r>
        <w:rPr>
          <w:rFonts w:hint="eastAsia" w:ascii="宋体" w:hAnsi="宋体" w:eastAsia="宋体" w:cs="宋体"/>
          <w:b w:val="0"/>
          <w:bCs/>
          <w:kern w:val="0"/>
          <w:sz w:val="28"/>
          <w:szCs w:val="28"/>
          <w:lang w:val="en-US" w:eastAsia="zh-CN" w:bidi="ar-SA"/>
        </w:rPr>
        <w:t>减轻：实施股权激励计划，A轮融资后预留10%期权池</w:t>
      </w:r>
    </w:p>
    <w:p w14:paraId="117B159D">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bCs/>
          <w:kern w:val="0"/>
          <w:sz w:val="28"/>
          <w:szCs w:val="28"/>
          <w:lang w:val="en-US" w:eastAsia="zh-CN" w:bidi="ar"/>
        </w:rPr>
      </w:pPr>
      <w:r>
        <w:rPr>
          <w:rFonts w:hint="eastAsia" w:ascii="宋体" w:hAnsi="宋体" w:eastAsia="宋体" w:cs="宋体"/>
          <w:b w:val="0"/>
          <w:bCs/>
          <w:kern w:val="0"/>
          <w:sz w:val="28"/>
          <w:szCs w:val="28"/>
          <w:lang w:val="en-US" w:eastAsia="zh-CN" w:bidi="ar-SA"/>
        </w:rPr>
        <w:t>规避：建立知识管理体系，关键岗位AB角备份</w:t>
      </w:r>
    </w:p>
    <w:p w14:paraId="0B4626D4">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40" w:lineRule="auto"/>
        <w:ind w:left="0" w:leftChars="0" w:firstLine="602" w:firstLineChars="200"/>
        <w:textAlignment w:val="auto"/>
        <w:outlineLvl w:val="0"/>
        <w:rPr>
          <w:rFonts w:hint="eastAsia" w:ascii="宋体" w:hAnsi="宋体" w:eastAsia="宋体" w:cs="宋体"/>
          <w:b/>
          <w:bCs/>
          <w:kern w:val="0"/>
          <w:sz w:val="28"/>
          <w:szCs w:val="28"/>
          <w:lang w:val="en-US" w:eastAsia="zh-CN" w:bidi="ar"/>
        </w:rPr>
      </w:pPr>
      <w:bookmarkStart w:id="184" w:name="_Toc19556"/>
      <w:r>
        <w:rPr>
          <w:rFonts w:hint="eastAsia" w:ascii="黑体" w:hAnsi="黑体" w:eastAsia="黑体" w:cs="黑体"/>
          <w:b/>
          <w:bCs/>
          <w:kern w:val="0"/>
          <w:sz w:val="30"/>
          <w:szCs w:val="30"/>
          <w:lang w:val="en-US" w:eastAsia="zh-CN" w:bidi="ar-SA"/>
        </w:rPr>
        <w:t>10.5 技术与合规风险维度分析</w:t>
      </w:r>
      <w:bookmarkEnd w:id="184"/>
    </w:p>
    <w:p w14:paraId="69DAF620">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602" w:firstLineChars="200"/>
        <w:textAlignment w:val="auto"/>
        <w:outlineLvl w:val="1"/>
        <w:rPr>
          <w:rFonts w:hint="eastAsia" w:ascii="宋体" w:hAnsi="宋体" w:eastAsia="宋体" w:cs="宋体"/>
          <w:b/>
          <w:bCs/>
          <w:kern w:val="0"/>
          <w:sz w:val="28"/>
          <w:szCs w:val="28"/>
          <w:lang w:val="en-US" w:eastAsia="zh-CN" w:bidi="ar"/>
        </w:rPr>
      </w:pPr>
      <w:r>
        <w:rPr>
          <w:rFonts w:hint="eastAsia" w:ascii="黑体" w:hAnsi="黑体" w:eastAsia="黑体" w:cs="黑体"/>
          <w:b/>
          <w:bCs/>
          <w:kern w:val="0"/>
          <w:sz w:val="30"/>
          <w:szCs w:val="30"/>
          <w:lang w:val="en-US" w:eastAsia="zh-CN" w:bidi="ar-SA"/>
        </w:rPr>
        <w:t>10.5.1 算法泛</w:t>
      </w:r>
      <w:r>
        <w:rPr>
          <w:rFonts w:hint="eastAsia" w:ascii="黑体" w:hAnsi="黑体" w:eastAsia="黑体" w:cs="黑体"/>
          <w:b/>
          <w:bCs/>
          <w:kern w:val="0"/>
          <w:sz w:val="28"/>
          <w:szCs w:val="28"/>
          <w:lang w:val="en-US" w:eastAsia="zh-CN" w:bidi="ar-SA"/>
        </w:rPr>
        <w:t>化不足风险（风险等级：</w:t>
      </w:r>
      <w:r>
        <w:rPr>
          <w:rFonts w:hint="eastAsia" w:ascii="黑体" w:hAnsi="黑体" w:eastAsia="黑体" w:cs="黑体"/>
          <w:b/>
          <w:bCs/>
          <w:sz w:val="28"/>
          <w:szCs w:val="28"/>
        </w:rPr>
        <w:t>高）</w:t>
      </w:r>
    </w:p>
    <w:p w14:paraId="65B445C7">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2" w:firstLine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bCs/>
          <w:kern w:val="0"/>
          <w:sz w:val="28"/>
          <w:szCs w:val="28"/>
          <w:lang w:val="en-US" w:eastAsia="zh-CN" w:bidi="ar-SA"/>
        </w:rPr>
        <w:t>风险描述：</w:t>
      </w:r>
      <w:r>
        <w:rPr>
          <w:rFonts w:hint="eastAsia" w:ascii="宋体" w:hAnsi="宋体" w:eastAsia="宋体" w:cs="宋体"/>
          <w:b w:val="0"/>
          <w:bCs w:val="0"/>
          <w:sz w:val="28"/>
          <w:szCs w:val="28"/>
        </w:rPr>
        <w:t>复杂基质（果肉/奶底/茶多酚）光谱干扰需持续优化，实验室准确率98.7%需经真实产线验证。</w:t>
      </w:r>
    </w:p>
    <w:p w14:paraId="279D2EF2">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2" w:firstLineChars="200"/>
        <w:textAlignment w:val="auto"/>
        <w:rPr>
          <w:rFonts w:hint="eastAsia" w:ascii="宋体" w:hAnsi="宋体" w:eastAsia="宋体" w:cs="宋体"/>
          <w:b/>
          <w:bCs/>
          <w:kern w:val="0"/>
          <w:sz w:val="28"/>
          <w:szCs w:val="28"/>
          <w:lang w:val="en-US" w:eastAsia="zh-CN" w:bidi="ar"/>
        </w:rPr>
      </w:pPr>
      <w:r>
        <w:rPr>
          <w:rFonts w:hint="eastAsia" w:ascii="宋体" w:hAnsi="宋体" w:eastAsia="宋体" w:cs="宋体"/>
          <w:b/>
          <w:bCs/>
          <w:kern w:val="0"/>
          <w:sz w:val="28"/>
          <w:szCs w:val="28"/>
          <w:lang w:val="en-US" w:eastAsia="zh-CN" w:bidi="ar-SA"/>
        </w:rPr>
        <w:t>数据支撑：</w:t>
      </w:r>
    </w:p>
    <w:p w14:paraId="6AF5578F">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（1）实验室定性准确率：98.7%</w:t>
      </w:r>
    </w:p>
    <w:p w14:paraId="4F5CDCE0">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（2）算法核心指标：R²≥0.95</w:t>
      </w:r>
    </w:p>
    <w:p w14:paraId="7D9354EC">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560" w:firstLine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（3）产线验证准确率目标：≥95%</w:t>
      </w:r>
    </w:p>
    <w:p w14:paraId="6915956A">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bCs/>
          <w:kern w:val="0"/>
          <w:sz w:val="28"/>
          <w:szCs w:val="28"/>
          <w:lang w:val="en-US" w:eastAsia="zh-CN" w:bidi="ar"/>
        </w:rPr>
      </w:pPr>
      <w:r>
        <w:rPr>
          <w:rFonts w:hint="eastAsia" w:ascii="宋体" w:hAnsi="宋体" w:eastAsia="宋体" w:cs="宋体"/>
          <w:b/>
          <w:bCs/>
          <w:kern w:val="0"/>
          <w:sz w:val="28"/>
          <w:szCs w:val="28"/>
          <w:lang w:val="en-US" w:eastAsia="zh-CN" w:bidi="ar-SA"/>
        </w:rPr>
        <w:t>应对策略：</w:t>
      </w:r>
    </w:p>
    <w:p w14:paraId="40F7D5DA">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减轻：建立月度OTA升级机制，持续优化复杂基质识别算法</w:t>
      </w:r>
    </w:p>
    <w:p w14:paraId="0B6D6701">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规避：实验室→产线分阶段验证，未达标不批量交付</w:t>
      </w:r>
    </w:p>
    <w:p w14:paraId="1C329D5C">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转移：购买产品责任险，覆盖因检测误差导致的客户损失</w:t>
      </w:r>
    </w:p>
    <w:p w14:paraId="19AF49E6">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outlineLvl w:val="1"/>
        <w:rPr>
          <w:rFonts w:hint="eastAsia" w:ascii="黑体" w:hAnsi="黑体" w:eastAsia="黑体" w:cs="黑体"/>
          <w:b/>
          <w:bCs/>
          <w:kern w:val="0"/>
          <w:sz w:val="28"/>
          <w:szCs w:val="28"/>
          <w:lang w:val="en-US" w:eastAsia="zh-CN" w:bidi="ar"/>
        </w:rPr>
      </w:pPr>
      <w:r>
        <w:rPr>
          <w:rFonts w:hint="eastAsia" w:ascii="黑体" w:hAnsi="黑体" w:eastAsia="黑体" w:cs="黑体"/>
          <w:b/>
          <w:bCs/>
          <w:kern w:val="0"/>
          <w:sz w:val="28"/>
          <w:szCs w:val="28"/>
          <w:lang w:val="en-US" w:eastAsia="zh-CN" w:bidi="ar-SA"/>
        </w:rPr>
        <w:t>10.5.2 法规变动风险（风险等级：低）</w:t>
      </w:r>
    </w:p>
    <w:p w14:paraId="250F0326">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bCs/>
          <w:kern w:val="0"/>
          <w:sz w:val="28"/>
          <w:szCs w:val="28"/>
          <w:lang w:val="en-US" w:eastAsia="zh-CN" w:bidi="ar-SA"/>
        </w:rPr>
        <w:t>风险描述：</w:t>
      </w:r>
      <w:r>
        <w:rPr>
          <w:rFonts w:hint="eastAsia" w:ascii="宋体" w:hAnsi="宋体" w:eastAsia="宋体" w:cs="宋体"/>
          <w:b w:val="0"/>
          <w:bCs w:val="0"/>
          <w:kern w:val="0"/>
          <w:sz w:val="28"/>
          <w:szCs w:val="28"/>
          <w:lang w:val="en-US" w:eastAsia="zh-CN" w:bidi="ar-SA"/>
        </w:rPr>
        <w:t>GB 2760标准更新频率不确定，欧盟/美国法规差异影响出口市场拓展。</w:t>
      </w:r>
    </w:p>
    <w:p w14:paraId="3BDB3003">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bCs/>
          <w:kern w:val="0"/>
          <w:sz w:val="28"/>
          <w:szCs w:val="28"/>
          <w:lang w:val="en-US" w:eastAsia="zh-CN" w:bidi="ar"/>
        </w:rPr>
      </w:pPr>
      <w:r>
        <w:rPr>
          <w:rStyle w:val="9"/>
          <w:rFonts w:hint="eastAsia" w:ascii="宋体" w:hAnsi="宋体" w:eastAsia="宋体" w:cs="宋体"/>
          <w:b/>
          <w:bCs/>
          <w:color w:val="000000"/>
          <w:sz w:val="28"/>
          <w:szCs w:val="28"/>
        </w:rPr>
        <w:t>数据支撑</w:t>
      </w:r>
      <w:r>
        <w:rPr>
          <w:rFonts w:hint="eastAsia" w:ascii="宋体" w:hAnsi="宋体" w:eastAsia="宋体" w:cs="宋体"/>
          <w:b/>
          <w:bCs/>
          <w:sz w:val="28"/>
          <w:szCs w:val="28"/>
        </w:rPr>
        <w:t>：</w:t>
      </w:r>
    </w:p>
    <w:p w14:paraId="071A7C9E">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1</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欧盟强制标注警告语要求</w:t>
      </w:r>
    </w:p>
    <w:p w14:paraId="6B916702">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2</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美国加州AB 418法案禁用红3号</w:t>
      </w:r>
    </w:p>
    <w:p w14:paraId="6E1CC72D">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3</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国内饮料产量年均超1.8亿吨，GB 2760监管持续收紧</w:t>
      </w:r>
    </w:p>
    <w:p w14:paraId="756C06AF">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bCs/>
          <w:kern w:val="0"/>
          <w:sz w:val="28"/>
          <w:szCs w:val="28"/>
          <w:lang w:val="en-US" w:eastAsia="zh-CN" w:bidi="ar"/>
        </w:rPr>
      </w:pPr>
      <w:r>
        <w:rPr>
          <w:rStyle w:val="9"/>
          <w:rFonts w:hint="eastAsia" w:ascii="宋体" w:hAnsi="宋体" w:eastAsia="宋体" w:cs="宋体"/>
          <w:b/>
          <w:bCs/>
          <w:color w:val="000000"/>
          <w:sz w:val="28"/>
          <w:szCs w:val="28"/>
        </w:rPr>
        <w:t>应对策略</w:t>
      </w:r>
      <w:r>
        <w:rPr>
          <w:rFonts w:hint="eastAsia" w:ascii="宋体" w:hAnsi="宋体" w:eastAsia="宋体" w:cs="宋体"/>
          <w:b/>
          <w:bCs/>
          <w:sz w:val="28"/>
          <w:szCs w:val="28"/>
        </w:rPr>
        <w:t>：</w:t>
      </w:r>
    </w:p>
    <w:p w14:paraId="346C9C56">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val="0"/>
          <w:bCs w:val="0"/>
          <w:kern w:val="0"/>
          <w:sz w:val="28"/>
          <w:szCs w:val="28"/>
          <w:lang w:val="en-US" w:eastAsia="zh-CN" w:bidi="ar"/>
        </w:rPr>
      </w:pPr>
      <w:r>
        <w:rPr>
          <w:rStyle w:val="9"/>
          <w:rFonts w:hint="eastAsia" w:ascii="宋体" w:hAnsi="宋体" w:eastAsia="宋体" w:cs="宋体"/>
          <w:b w:val="0"/>
          <w:bCs w:val="0"/>
          <w:color w:val="000000"/>
          <w:sz w:val="28"/>
          <w:szCs w:val="28"/>
        </w:rPr>
        <w:t>减轻</w:t>
      </w:r>
      <w:r>
        <w:rPr>
          <w:rFonts w:hint="eastAsia" w:ascii="宋体" w:hAnsi="宋体" w:eastAsia="宋体" w:cs="宋体"/>
          <w:b w:val="0"/>
          <w:bCs w:val="0"/>
          <w:sz w:val="28"/>
          <w:szCs w:val="28"/>
        </w:rPr>
        <w:t>：建立法规监测预警机制，法务团队季度合规审查</w:t>
      </w:r>
    </w:p>
    <w:p w14:paraId="55A48326">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val="0"/>
          <w:bCs w:val="0"/>
          <w:kern w:val="0"/>
          <w:sz w:val="28"/>
          <w:szCs w:val="28"/>
          <w:lang w:val="en-US" w:eastAsia="zh-CN" w:bidi="ar"/>
        </w:rPr>
      </w:pPr>
      <w:r>
        <w:rPr>
          <w:rStyle w:val="9"/>
          <w:rFonts w:hint="eastAsia" w:ascii="宋体" w:hAnsi="宋体" w:eastAsia="宋体" w:cs="宋体"/>
          <w:b w:val="0"/>
          <w:bCs w:val="0"/>
          <w:color w:val="000000"/>
          <w:sz w:val="28"/>
          <w:szCs w:val="28"/>
        </w:rPr>
        <w:t>规避</w:t>
      </w:r>
      <w:r>
        <w:rPr>
          <w:rFonts w:hint="eastAsia" w:ascii="宋体" w:hAnsi="宋体" w:eastAsia="宋体" w:cs="宋体"/>
          <w:b w:val="0"/>
          <w:bCs w:val="0"/>
          <w:sz w:val="28"/>
          <w:szCs w:val="28"/>
        </w:rPr>
        <w:t>：算法参数支持OTA远程更新，快速适配新标准</w:t>
      </w:r>
    </w:p>
    <w:p w14:paraId="6D38D1F6">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Cambria Math" w:hAnsi="Cambria Math" w:eastAsia="宋体" w:cs="宋体"/>
          <w:kern w:val="2"/>
          <w:sz w:val="28"/>
          <w:szCs w:val="28"/>
          <w:lang w:val="en-US" w:eastAsia="zh-CN" w:bidi="ar-SA"/>
        </w:rPr>
      </w:pPr>
      <w:r>
        <w:rPr>
          <w:rStyle w:val="9"/>
          <w:rFonts w:hint="eastAsia" w:ascii="宋体" w:hAnsi="宋体" w:eastAsia="宋体" w:cs="宋体"/>
          <w:b w:val="0"/>
          <w:bCs w:val="0"/>
          <w:color w:val="000000"/>
          <w:sz w:val="28"/>
          <w:szCs w:val="28"/>
          <w:lang w:eastAsia="zh"/>
        </w:rPr>
        <w:t xml:space="preserve"> </w:t>
      </w:r>
      <w:r>
        <w:rPr>
          <w:rStyle w:val="9"/>
          <w:rFonts w:hint="eastAsia" w:ascii="宋体" w:hAnsi="宋体" w:eastAsia="宋体" w:cs="宋体"/>
          <w:b w:val="0"/>
          <w:bCs w:val="0"/>
          <w:color w:val="000000"/>
          <w:sz w:val="28"/>
          <w:szCs w:val="28"/>
        </w:rPr>
        <w:t>接受</w:t>
      </w:r>
      <w:r>
        <w:rPr>
          <w:rFonts w:hint="eastAsia" w:ascii="宋体" w:hAnsi="宋体" w:eastAsia="宋体" w:cs="宋体"/>
          <w:b w:val="0"/>
          <w:bCs w:val="0"/>
          <w:sz w:val="28"/>
          <w:szCs w:val="28"/>
        </w:rPr>
        <w:t>：预留营收2%预算用于法规适配成本</w:t>
      </w:r>
    </w:p>
    <w:p w14:paraId="4FACF329">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outlineLvl w:val="1"/>
        <w:rPr>
          <w:rFonts w:hint="eastAsia" w:ascii="Cambria Math" w:hAnsi="Cambria Math" w:eastAsia="黑体" w:cs="黑体"/>
          <w:b/>
          <w:bCs/>
          <w:kern w:val="0"/>
          <w:sz w:val="28"/>
          <w:szCs w:val="28"/>
          <w:lang w:val="en-US" w:eastAsia="zh-CN" w:bidi="ar"/>
        </w:rPr>
      </w:pPr>
      <w:r>
        <w:rPr>
          <w:rFonts w:hint="eastAsia" w:ascii="黑体" w:hAnsi="黑体" w:eastAsia="黑体" w:cs="黑体"/>
          <w:b/>
          <w:bCs/>
          <w:kern w:val="0"/>
          <w:sz w:val="28"/>
          <w:szCs w:val="28"/>
          <w:lang w:val="en-US" w:eastAsia="zh-CN" w:bidi="ar-SA"/>
        </w:rPr>
        <w:t>10.5.3 数据隐私合规风险（风险等级：中）</w:t>
      </w:r>
    </w:p>
    <w:p w14:paraId="7B079DA6">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bCs/>
          <w:kern w:val="0"/>
          <w:sz w:val="28"/>
          <w:szCs w:val="28"/>
          <w:lang w:val="en-US" w:eastAsia="zh-CN" w:bidi="ar-SA"/>
        </w:rPr>
        <w:t>风险描述：</w:t>
      </w:r>
      <w:r>
        <w:rPr>
          <w:rFonts w:hint="eastAsia" w:ascii="宋体" w:hAnsi="宋体" w:eastAsia="宋体" w:cs="宋体"/>
          <w:b w:val="0"/>
          <w:bCs w:val="0"/>
          <w:kern w:val="0"/>
          <w:sz w:val="28"/>
          <w:szCs w:val="28"/>
          <w:lang w:val="en-US" w:eastAsia="zh-CN" w:bidi="ar-SA"/>
        </w:rPr>
        <w:t>边缘端本地推理虽保护客户配方，但异常特征向量回传云端需符合《数据安全法》《个人信息保护法》要求。</w:t>
      </w:r>
    </w:p>
    <w:p w14:paraId="4BD9776A">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bCs/>
          <w:kern w:val="0"/>
          <w:sz w:val="28"/>
          <w:szCs w:val="28"/>
          <w:lang w:val="en-US" w:eastAsia="zh-CN" w:bidi="ar"/>
        </w:rPr>
      </w:pPr>
      <w:r>
        <w:rPr>
          <w:rFonts w:hint="eastAsia" w:ascii="宋体" w:hAnsi="宋体" w:eastAsia="宋体" w:cs="宋体"/>
          <w:b/>
          <w:bCs/>
          <w:kern w:val="0"/>
          <w:sz w:val="28"/>
          <w:szCs w:val="28"/>
          <w:lang w:val="en-US" w:eastAsia="zh-CN" w:bidi="ar-SA"/>
        </w:rPr>
        <w:t>应对策略：</w:t>
      </w:r>
    </w:p>
    <w:p w14:paraId="5510A157">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规避：边缘端本地推理，客户配方数据不出厂</w:t>
      </w:r>
    </w:p>
    <w:p w14:paraId="652AFEA9">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减轻：异常特征向量脱敏处理后回传，符合数据安全法要求</w:t>
      </w:r>
    </w:p>
    <w:p w14:paraId="4F26847C">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Cambria Math" w:hAnsi="Cambria Math"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转移：通过ISO 27001信息安全认证，增强客户信任</w:t>
      </w:r>
    </w:p>
    <w:p w14:paraId="0EA0B8FB">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outlineLvl w:val="1"/>
        <w:rPr>
          <w:rFonts w:hint="eastAsia" w:ascii="Cambria Math" w:hAnsi="Cambria Math" w:eastAsia="黑体" w:cs="黑体"/>
          <w:b/>
          <w:bCs/>
          <w:kern w:val="0"/>
          <w:sz w:val="28"/>
          <w:szCs w:val="28"/>
          <w:lang w:val="en-US" w:eastAsia="zh-CN" w:bidi="ar"/>
        </w:rPr>
      </w:pPr>
      <w:r>
        <w:rPr>
          <w:rFonts w:hint="eastAsia" w:ascii="黑体" w:hAnsi="黑体" w:eastAsia="黑体" w:cs="黑体"/>
          <w:b/>
          <w:bCs/>
          <w:kern w:val="0"/>
          <w:sz w:val="28"/>
          <w:szCs w:val="28"/>
          <w:lang w:val="en-US" w:eastAsia="zh-CN" w:bidi="ar-SA"/>
        </w:rPr>
        <w:t>10.5.4 知识产权保护风险（风险等级：中）</w:t>
      </w:r>
    </w:p>
    <w:p w14:paraId="1C4B0D19">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bCs/>
          <w:kern w:val="0"/>
          <w:sz w:val="28"/>
          <w:szCs w:val="28"/>
          <w:lang w:val="en-US" w:eastAsia="zh-CN" w:bidi="ar-SA"/>
        </w:rPr>
        <w:t>风险描述：</w:t>
      </w:r>
      <w:r>
        <w:rPr>
          <w:rFonts w:hint="eastAsia" w:ascii="宋体" w:hAnsi="宋体" w:eastAsia="宋体" w:cs="宋体"/>
          <w:b w:val="0"/>
          <w:bCs w:val="0"/>
          <w:kern w:val="0"/>
          <w:sz w:val="28"/>
          <w:szCs w:val="28"/>
          <w:lang w:val="en-US" w:eastAsia="zh-CN" w:bidi="ar-SA"/>
        </w:rPr>
        <w:t>核心算法、专利申请若保护不力，可能被竞争对手模仿。</w:t>
      </w:r>
    </w:p>
    <w:p w14:paraId="44CB9BA6">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bCs/>
          <w:kern w:val="0"/>
          <w:sz w:val="28"/>
          <w:szCs w:val="28"/>
          <w:lang w:val="en-US" w:eastAsia="zh-CN" w:bidi="ar"/>
        </w:rPr>
      </w:pPr>
      <w:r>
        <w:rPr>
          <w:rFonts w:hint="eastAsia" w:ascii="宋体" w:hAnsi="宋体" w:eastAsia="宋体" w:cs="宋体"/>
          <w:b/>
          <w:bCs/>
          <w:kern w:val="0"/>
          <w:sz w:val="28"/>
          <w:szCs w:val="28"/>
          <w:lang w:val="en-US" w:eastAsia="zh-CN" w:bidi="ar-SA"/>
        </w:rPr>
        <w:t>应对策略：</w:t>
      </w:r>
    </w:p>
    <w:p w14:paraId="52BC46C3">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规避：核心算法加密烧录，硬件可拆解但软件无法复制</w:t>
      </w:r>
    </w:p>
    <w:p w14:paraId="175D1ADA">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转移：专利申请已受理，加快发明专利授权进度</w:t>
      </w:r>
    </w:p>
    <w:p w14:paraId="5A1F4D19">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textAlignment w:val="auto"/>
        <w:rPr>
          <w:rFonts w:hint="eastAsia" w:ascii="Cambria Math" w:hAnsi="Cambria Math" w:eastAsia="宋体" w:cs="宋体"/>
          <w:b/>
          <w:bCs w:val="0"/>
          <w:kern w:val="0"/>
          <w:sz w:val="30"/>
          <w:szCs w:val="30"/>
          <w:lang w:val="en-US" w:eastAsia="zh-CN" w:bidi="ar"/>
        </w:rPr>
      </w:pPr>
      <w:r>
        <w:rPr>
          <w:rFonts w:hint="eastAsia" w:ascii="宋体" w:hAnsi="宋体" w:eastAsia="宋体" w:cs="宋体"/>
          <w:b w:val="0"/>
          <w:bCs w:val="0"/>
          <w:kern w:val="0"/>
          <w:sz w:val="28"/>
          <w:szCs w:val="28"/>
          <w:lang w:val="en-US" w:eastAsia="zh-CN" w:bidi="ar-SA"/>
        </w:rPr>
        <w:t>减轻：建立知识产权监测机制，发现侵权及时维权</w:t>
      </w:r>
    </w:p>
    <w:p w14:paraId="41CA8405">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outlineLvl w:val="0"/>
        <w:rPr>
          <w:rFonts w:hint="eastAsia" w:ascii="Cambria Math" w:hAnsi="Cambria Math" w:eastAsia="宋体" w:cs="宋体"/>
          <w:b/>
          <w:bCs w:val="0"/>
          <w:kern w:val="0"/>
          <w:sz w:val="30"/>
          <w:szCs w:val="30"/>
          <w:lang w:val="en-US" w:eastAsia="zh-CN" w:bidi="ar"/>
        </w:rPr>
      </w:pPr>
      <w:bookmarkStart w:id="185" w:name="_Toc8394"/>
      <w:r>
        <w:rPr>
          <w:rFonts w:hint="eastAsia" w:ascii="黑体" w:hAnsi="黑体" w:eastAsia="黑体" w:cs="黑体"/>
          <w:b/>
          <w:bCs w:val="0"/>
          <w:kern w:val="0"/>
          <w:sz w:val="30"/>
          <w:szCs w:val="30"/>
          <w:lang w:val="en-US" w:eastAsia="zh-CN" w:bidi="ar-SA"/>
        </w:rPr>
        <w:t>10.6 风险量化评估矩阵</w:t>
      </w:r>
      <w:bookmarkEnd w:id="185"/>
    </w:p>
    <w:p w14:paraId="3DC08B4D">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200"/>
        <w:jc w:val="center"/>
        <w:textAlignment w:val="auto"/>
        <w:outlineLvl w:val="1"/>
        <w:rPr>
          <w:rFonts w:hint="eastAsia" w:ascii="Cambria Math" w:hAnsi="Cambria Math" w:eastAsia="宋体" w:cs="宋体"/>
          <w:b/>
          <w:bCs w:val="0"/>
          <w:kern w:val="0"/>
          <w:sz w:val="28"/>
          <w:szCs w:val="28"/>
          <w:lang w:val="en-US" w:eastAsia="zh-CN" w:bidi="ar"/>
        </w:rPr>
      </w:pPr>
      <w:r>
        <w:rPr>
          <w:rFonts w:hint="eastAsia" w:ascii="黑体" w:hAnsi="黑体" w:eastAsia="黑体" w:cs="黑体"/>
          <w:b/>
          <w:bCs w:val="0"/>
          <w:kern w:val="0"/>
          <w:sz w:val="21"/>
          <w:szCs w:val="21"/>
          <w:lang w:val="en-US" w:eastAsia="zh-CN" w:bidi="ar-SA"/>
        </w:rPr>
        <w:t>表10-5项目全面风险管理与评估矩阵</w:t>
      </w:r>
    </w:p>
    <w:p w14:paraId="4DA79C50">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textAlignment w:val="auto"/>
      </w:pPr>
    </w:p>
    <w:p w14:paraId="1789C3D2">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firstLine="602" w:firstLineChars="200"/>
        <w:textAlignment w:val="auto"/>
        <w:outlineLvl w:val="0"/>
        <w:rPr>
          <w:rFonts w:hint="eastAsia" w:ascii="Times New Roman" w:hAnsi="Times New Roman"/>
          <w:sz w:val="30"/>
          <w:szCs w:val="30"/>
          <w:lang w:val="en-US" w:eastAsia="zh-CN"/>
        </w:rPr>
      </w:pPr>
      <w:bookmarkStart w:id="186" w:name="_Toc23338"/>
      <w:r>
        <w:rPr>
          <w:rFonts w:hint="eastAsia" w:ascii="黑体" w:hAnsi="黑体" w:eastAsia="黑体" w:cs="黑体"/>
          <w:b/>
          <w:bCs/>
          <w:sz w:val="30"/>
          <w:szCs w:val="30"/>
        </w:rPr>
        <w:t>10.7 三情景风险演变路径</w:t>
      </w:r>
      <w:bookmarkEnd w:id="186"/>
    </w:p>
    <w:p w14:paraId="7C8A4216">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rPr>
        <w:t>10.7.1 乐观情景（概率25%）</w:t>
      </w:r>
    </w:p>
    <w:p w14:paraId="07BBF46E">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rPr>
        <w:t>核心假设：</w:t>
      </w:r>
    </w:p>
    <w:p w14:paraId="1C518EA9">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（1）2027年A轮融资顺利，估值达500万元</w:t>
      </w:r>
    </w:p>
    <w:p w14:paraId="71AA53AF">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（2）SaaS渗透率75%，2030年净利润621.4万元</w:t>
      </w:r>
    </w:p>
    <w:p w14:paraId="21919E11">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（3）大厂POC通过率80%，标杆案例快速复制</w:t>
      </w:r>
    </w:p>
    <w:p w14:paraId="19C7F078">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kern w:val="0"/>
          <w:sz w:val="28"/>
          <w:szCs w:val="28"/>
          <w:lang w:val="en-US" w:eastAsia="zh-CN" w:bidi="ar-SA"/>
        </w:rPr>
        <w:t>（4）综合毛利率第5年达75%</w:t>
      </w:r>
    </w:p>
    <w:p w14:paraId="2084882A">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bCs/>
          <w:sz w:val="28"/>
          <w:szCs w:val="28"/>
        </w:rPr>
        <w:t>风险敞口：</w:t>
      </w:r>
      <w:r>
        <w:rPr>
          <w:rFonts w:hint="eastAsia" w:ascii="宋体" w:hAnsi="宋体" w:eastAsia="宋体" w:cs="宋体"/>
          <w:b w:val="0"/>
          <w:bCs w:val="0"/>
          <w:sz w:val="28"/>
          <w:szCs w:val="28"/>
        </w:rPr>
        <w:t>主要集中于扩张速度过快导致的运营质量稀释、人才梯队跟不上业务增速</w:t>
      </w:r>
    </w:p>
    <w:p w14:paraId="1FD2ADCB">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Cambria Math" w:hAnsi="Cambria Math" w:eastAsia="宋体" w:cs="宋体"/>
          <w:b w:val="0"/>
          <w:bCs w:val="0"/>
          <w:sz w:val="28"/>
          <w:szCs w:val="28"/>
          <w:lang w:val="en-US" w:eastAsia="zh-CN"/>
        </w:rPr>
      </w:pPr>
      <w:r>
        <w:rPr>
          <w:rFonts w:hint="eastAsia" w:ascii="宋体" w:hAnsi="宋体" w:eastAsia="宋体" w:cs="宋体"/>
          <w:b/>
          <w:bCs/>
          <w:sz w:val="28"/>
          <w:szCs w:val="28"/>
        </w:rPr>
        <w:t>应对重点：</w:t>
      </w:r>
      <w:r>
        <w:rPr>
          <w:rFonts w:hint="eastAsia" w:ascii="宋体" w:hAnsi="宋体" w:eastAsia="宋体" w:cs="宋体"/>
          <w:b w:val="0"/>
          <w:bCs w:val="0"/>
          <w:sz w:val="28"/>
          <w:szCs w:val="28"/>
        </w:rPr>
        <w:t>建立标准化运营流程，避免</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增长陷阱</w:t>
      </w:r>
      <w:r>
        <w:rPr>
          <w:rFonts w:hint="eastAsia" w:ascii="宋体" w:hAnsi="宋体" w:eastAsia="宋体" w:cs="宋体"/>
          <w:b w:val="0"/>
          <w:bCs w:val="0"/>
          <w:sz w:val="28"/>
          <w:szCs w:val="28"/>
          <w:lang w:eastAsia="zh-CN"/>
        </w:rPr>
        <w:t>”</w:t>
      </w:r>
    </w:p>
    <w:p w14:paraId="040908F3">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rPr>
        <w:t>10.7.2 基准情景（概率50%）</w:t>
      </w:r>
    </w:p>
    <w:p w14:paraId="21246101">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rPr>
        <w:t>核心假设：</w:t>
      </w:r>
    </w:p>
    <w:p w14:paraId="721E04D9">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（1）2027年末完成A轮200万元融资</w:t>
      </w:r>
    </w:p>
    <w:p w14:paraId="1D2B3AB6">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2</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SaaS渗透率60%，2030年净利润248.6万元</w:t>
      </w:r>
    </w:p>
    <w:p w14:paraId="017ADC18">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3</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第3年(2028年)实现盈亏平衡，安全边际50%</w:t>
      </w:r>
    </w:p>
    <w:p w14:paraId="2658184A">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4</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综合毛利率第5年达68%</w:t>
      </w:r>
    </w:p>
    <w:p w14:paraId="1960C4BC">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bCs/>
          <w:sz w:val="28"/>
          <w:szCs w:val="28"/>
        </w:rPr>
        <w:t>风险敞口：</w:t>
      </w:r>
      <w:r>
        <w:rPr>
          <w:rFonts w:hint="eastAsia" w:ascii="宋体" w:hAnsi="宋体" w:eastAsia="宋体" w:cs="宋体"/>
          <w:b w:val="0"/>
          <w:bCs w:val="0"/>
          <w:sz w:val="28"/>
          <w:szCs w:val="28"/>
        </w:rPr>
        <w:t>现金流管理、客户留存率维护、竞争壁垒巩固</w:t>
      </w:r>
    </w:p>
    <w:p w14:paraId="49393F6C">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Times New Roman" w:hAnsi="Times New Roman"/>
          <w:b w:val="0"/>
          <w:bCs w:val="0"/>
          <w:lang w:val="en-US" w:eastAsia="zh-CN"/>
        </w:rPr>
      </w:pPr>
      <w:r>
        <w:rPr>
          <w:rFonts w:hint="eastAsia" w:ascii="宋体" w:hAnsi="宋体" w:eastAsia="宋体" w:cs="宋体"/>
          <w:b/>
          <w:bCs/>
          <w:sz w:val="28"/>
          <w:szCs w:val="28"/>
        </w:rPr>
        <w:t>应对重点：</w:t>
      </w:r>
      <w:r>
        <w:rPr>
          <w:rFonts w:hint="eastAsia" w:ascii="宋体" w:hAnsi="宋体" w:eastAsia="宋体" w:cs="宋体"/>
          <w:b w:val="0"/>
          <w:bCs w:val="0"/>
          <w:sz w:val="28"/>
          <w:szCs w:val="28"/>
        </w:rPr>
        <w:t>严格执行KRI监控仪表盘，月度复盘风险指标</w:t>
      </w:r>
    </w:p>
    <w:p w14:paraId="2457FF55">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Cambria Math" w:hAnsi="Cambria Math" w:eastAsia="黑体" w:cs="黑体"/>
          <w:b/>
          <w:bCs/>
          <w:sz w:val="28"/>
          <w:szCs w:val="28"/>
          <w:lang w:val="en-US" w:eastAsia="zh-CN"/>
        </w:rPr>
      </w:pPr>
      <w:r>
        <w:rPr>
          <w:rFonts w:hint="eastAsia" w:ascii="黑体" w:hAnsi="黑体" w:eastAsia="黑体" w:cs="黑体"/>
          <w:b/>
          <w:bCs/>
          <w:sz w:val="28"/>
          <w:szCs w:val="28"/>
        </w:rPr>
        <w:t>10.7.3 压力情景（概率25%）</w:t>
      </w:r>
    </w:p>
    <w:p w14:paraId="78DA2702">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rPr>
        <w:t>核心假设：</w:t>
      </w:r>
    </w:p>
    <w:p w14:paraId="2D5EEA6A">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1</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A轮融资延迟至2028年中，估值下调至300万元</w:t>
      </w:r>
    </w:p>
    <w:p w14:paraId="359BB453">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val="0"/>
          <w:bCs w:val="0"/>
          <w:kern w:val="0"/>
          <w:sz w:val="28"/>
          <w:szCs w:val="28"/>
          <w:lang w:val="en-US" w:eastAsia="zh-CN" w:bidi="ar"/>
        </w:rPr>
      </w:pP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2</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SaaS渗透率45%，2030年净利润62.8万元</w:t>
      </w:r>
    </w:p>
    <w:p w14:paraId="61A58F8B">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3</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盈亏平衡点推迟至第4年末</w:t>
      </w:r>
    </w:p>
    <w:p w14:paraId="4B6E8BF2">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40" w:lineRule="auto"/>
        <w:ind w:left="0" w:leftChars="0" w:firstLine="560" w:firstLine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rPr>
        <w:t xml:space="preserve">  </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4</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综合毛利率第5年降至58%</w:t>
      </w:r>
    </w:p>
    <w:p w14:paraId="24005168">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bCs/>
          <w:sz w:val="28"/>
          <w:szCs w:val="28"/>
        </w:rPr>
        <w:t>风险敞口：</w:t>
      </w:r>
      <w:r>
        <w:rPr>
          <w:rFonts w:hint="eastAsia" w:ascii="宋体" w:hAnsi="宋体" w:eastAsia="宋体" w:cs="宋体"/>
          <w:b w:val="0"/>
          <w:bCs w:val="0"/>
          <w:sz w:val="28"/>
          <w:szCs w:val="28"/>
        </w:rPr>
        <w:t>资金链断裂、核心团队流失、市场份额被竞争对手侵蚀</w:t>
      </w:r>
    </w:p>
    <w:p w14:paraId="6BC923FE">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200"/>
        <w:textAlignment w:val="auto"/>
        <w:rPr>
          <w:rFonts w:hint="eastAsia" w:ascii="Cambria Math" w:hAnsi="Cambria Math" w:eastAsia="宋体" w:cs="宋体"/>
          <w:b w:val="0"/>
          <w:bCs w:val="0"/>
          <w:sz w:val="28"/>
          <w:szCs w:val="28"/>
          <w:lang w:val="en-US" w:eastAsia="zh-CN"/>
        </w:rPr>
      </w:pPr>
      <w:r>
        <w:rPr>
          <w:rFonts w:hint="eastAsia" w:ascii="宋体" w:hAnsi="宋体" w:eastAsia="宋体" w:cs="宋体"/>
          <w:b/>
          <w:bCs/>
          <w:sz w:val="28"/>
          <w:szCs w:val="28"/>
        </w:rPr>
        <w:t>应对重点：</w:t>
      </w:r>
      <w:r>
        <w:rPr>
          <w:rFonts w:hint="eastAsia" w:ascii="宋体" w:hAnsi="宋体" w:eastAsia="宋体" w:cs="宋体"/>
          <w:b w:val="0"/>
          <w:bCs w:val="0"/>
          <w:sz w:val="28"/>
          <w:szCs w:val="28"/>
        </w:rPr>
        <w:t>启动应急预案，削减非必要开支，聚焦核心客户留存</w:t>
      </w:r>
    </w:p>
    <w:p w14:paraId="7F166271">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40" w:lineRule="auto"/>
        <w:ind w:leftChars="0" w:firstLine="602" w:firstLineChars="200"/>
        <w:textAlignment w:val="auto"/>
        <w:outlineLvl w:val="0"/>
        <w:rPr>
          <w:rFonts w:hint="eastAsia" w:ascii="黑体" w:hAnsi="黑体" w:eastAsia="黑体" w:cs="黑体"/>
          <w:b/>
          <w:bCs w:val="0"/>
          <w:sz w:val="30"/>
          <w:szCs w:val="30"/>
          <w:lang w:val="en-US" w:eastAsia="zh-CN"/>
        </w:rPr>
      </w:pPr>
      <w:bookmarkStart w:id="187" w:name="_Toc11778"/>
      <w:r>
        <w:rPr>
          <w:rFonts w:hint="eastAsia" w:ascii="黑体" w:hAnsi="黑体" w:eastAsia="黑体" w:cs="黑体"/>
          <w:b/>
          <w:bCs/>
          <w:sz w:val="30"/>
          <w:szCs w:val="30"/>
        </w:rPr>
        <w:t>10.8 风险应对策略矩阵</w:t>
      </w:r>
      <w:bookmarkEnd w:id="187"/>
    </w:p>
    <w:p w14:paraId="6A95FFB9">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422" w:firstLineChars="200"/>
        <w:jc w:val="center"/>
        <w:textAlignment w:val="auto"/>
        <w:rPr>
          <w:rFonts w:hint="eastAsia" w:ascii="Cambria Math" w:hAnsi="Cambria Math" w:eastAsia="宋体" w:cs="宋体"/>
          <w:b/>
          <w:bCs w:val="0"/>
          <w:sz w:val="28"/>
          <w:szCs w:val="28"/>
          <w:lang w:val="en-US" w:eastAsia="zh-CN"/>
        </w:rPr>
      </w:pPr>
      <w:r>
        <w:rPr>
          <w:rFonts w:hint="eastAsia" w:ascii="黑体" w:hAnsi="黑体" w:eastAsia="黑体" w:cs="黑体"/>
          <w:b/>
          <w:bCs/>
          <w:sz w:val="21"/>
          <w:szCs w:val="21"/>
          <w:lang w:val="en-US" w:eastAsia="zh-CN"/>
        </w:rPr>
        <w:t>表10-6四大应对层级矩阵</w:t>
      </w:r>
    </w:p>
    <w:p w14:paraId="415FDD49">
      <w:pPr>
        <w:keepNext w:val="0"/>
        <w:keepLines w:val="0"/>
        <w:pageBreakBefore w:val="0"/>
        <w:widowControl/>
        <w:numPr>
          <w:ilvl w:val="0"/>
          <w:numId w:val="0"/>
        </w:numPr>
        <w:kinsoku/>
        <w:wordWrap/>
        <w:overflowPunct/>
        <w:topLinePunct w:val="0"/>
        <w:autoSpaceDE/>
        <w:autoSpaceDN/>
        <w:bidi w:val="0"/>
        <w:adjustRightInd/>
        <w:snapToGrid/>
        <w:spacing w:beforeAutospacing="1" w:after="100" w:afterAutospacing="1" w:line="279" w:lineRule="auto"/>
        <w:ind w:leftChars="0" w:firstLine="602" w:firstLineChars="200"/>
        <w:textAlignment w:val="auto"/>
        <w:outlineLvl w:val="0"/>
        <w:rPr>
          <w:rFonts w:hint="eastAsia" w:ascii="Cambria Math" w:hAnsi="Cambria Math" w:eastAsia="宋体" w:cs="宋体"/>
          <w:b/>
          <w:bCs w:val="0"/>
          <w:sz w:val="28"/>
          <w:szCs w:val="28"/>
          <w:lang w:val="en-US" w:eastAsia="zh-CN"/>
        </w:rPr>
      </w:pPr>
      <w:bookmarkStart w:id="188" w:name="_Toc30080"/>
      <w:bookmarkStart w:id="189" w:name="_Toc6405"/>
      <w:r>
        <w:rPr>
          <w:rFonts w:hint="eastAsia" w:ascii="黑体" w:hAnsi="黑体" w:eastAsia="黑体" w:cs="黑体"/>
          <w:b/>
          <w:sz w:val="30"/>
          <w:szCs w:val="30"/>
        </w:rPr>
        <w:t>10.9 关键风险指标(KRI)监控仪表盘</w:t>
      </w:r>
      <w:bookmarkEnd w:id="188"/>
      <w:bookmarkEnd w:id="189"/>
    </w:p>
    <w:p w14:paraId="3459A79A">
      <w:pPr>
        <w:keepNext w:val="0"/>
        <w:keepLines w:val="0"/>
        <w:pageBreakBefore w:val="0"/>
        <w:widowControl/>
        <w:numPr>
          <w:ilvl w:val="0"/>
          <w:numId w:val="12"/>
        </w:numPr>
        <w:kinsoku/>
        <w:wordWrap/>
        <w:overflowPunct/>
        <w:topLinePunct w:val="0"/>
        <w:autoSpaceDE/>
        <w:autoSpaceDN/>
        <w:bidi w:val="0"/>
        <w:adjustRightInd/>
        <w:snapToGrid/>
        <w:spacing w:beforeAutospacing="1" w:after="100" w:afterAutospacing="1" w:line="279" w:lineRule="auto"/>
        <w:ind w:left="0" w:leftChars="0" w:firstLine="422" w:firstLineChars="200"/>
        <w:jc w:val="center"/>
        <w:textAlignment w:val="auto"/>
        <w:rPr>
          <w:rFonts w:hint="eastAsia" w:ascii="Cambria Math" w:hAnsi="Cambria Math" w:eastAsia="宋体" w:cs="宋体"/>
          <w:b/>
          <w:bCs w:val="0"/>
          <w:sz w:val="28"/>
          <w:szCs w:val="28"/>
          <w:lang w:val="en-US" w:eastAsia="zh-CN"/>
        </w:rPr>
      </w:pPr>
      <w:r>
        <w:rPr>
          <w:rFonts w:hint="eastAsia" w:ascii="黑体" w:hAnsi="黑体" w:eastAsia="黑体" w:cs="黑体"/>
          <w:b/>
          <w:sz w:val="21"/>
          <w:szCs w:val="21"/>
          <w:lang w:val="en-US" w:eastAsia="zh-CN"/>
        </w:rPr>
        <w:t>表10-7核心指标容忍度基准与动态预警机制</w:t>
      </w:r>
    </w:p>
    <w:p w14:paraId="319B4FB8"/>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思源黑体 CN Heavy">
    <w:altName w:val="黑体"/>
    <w:panose1 w:val="020B0A00000000000000"/>
    <w:charset w:val="86"/>
    <w:family w:val="auto"/>
    <w:pitch w:val="default"/>
    <w:sig w:usb0="00000000" w:usb1="00000000" w:usb2="00000016" w:usb3="00000000" w:csb0="60060107" w:csb1="00000000"/>
  </w:font>
  <w:font w:name="汉仪雅酷黑简">
    <w:altName w:val="黑体"/>
    <w:panose1 w:val="00020600040101010101"/>
    <w:charset w:val="86"/>
    <w:family w:val="auto"/>
    <w:pitch w:val="default"/>
    <w:sig w:usb0="00000000" w:usb1="00000000" w:usb2="00000016" w:usb3="00000000" w:csb0="0004009F" w:csb1="DFD70000"/>
  </w:font>
  <w:font w:name="华文新魏">
    <w:panose1 w:val="02010800040101010101"/>
    <w:charset w:val="86"/>
    <w:family w:val="auto"/>
    <w:pitch w:val="default"/>
    <w:sig w:usb0="00000001" w:usb1="080F0000" w:usb2="00000000" w:usb3="00000000" w:csb0="00040000" w:csb1="00000000"/>
  </w:font>
  <w:font w:name="思源黑体 CN Medium">
    <w:altName w:val="黑体"/>
    <w:panose1 w:val="020B0600000000000000"/>
    <w:charset w:val="86"/>
    <w:family w:val="auto"/>
    <w:pitch w:val="default"/>
    <w:sig w:usb0="00000000" w:usb1="00000000" w:usb2="00000016" w:usb3="00000000" w:csb0="60060107" w:csb1="00000000"/>
  </w:font>
  <w:font w:name="Segoe UI Emoji">
    <w:panose1 w:val="020B0502040204020203"/>
    <w:charset w:val="00"/>
    <w:family w:val="swiss"/>
    <w:pitch w:val="default"/>
    <w:sig w:usb0="00000001" w:usb1="02000000" w:usb2="08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8C16F">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A9578">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EC2F0">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FB555">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693F4">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5F797">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E319CE"/>
    <w:multiLevelType w:val="singleLevel"/>
    <w:tmpl w:val="84E319CE"/>
    <w:lvl w:ilvl="0" w:tentative="0">
      <w:start w:val="1"/>
      <w:numFmt w:val="decimal"/>
      <w:suff w:val="nothing"/>
      <w:lvlText w:val="（%1）"/>
      <w:lvlJc w:val="left"/>
    </w:lvl>
  </w:abstractNum>
  <w:abstractNum w:abstractNumId="1">
    <w:nsid w:val="8A2ADAB5"/>
    <w:multiLevelType w:val="singleLevel"/>
    <w:tmpl w:val="8A2ADAB5"/>
    <w:lvl w:ilvl="0" w:tentative="0">
      <w:start w:val="1"/>
      <w:numFmt w:val="decimal"/>
      <w:suff w:val="nothing"/>
      <w:lvlText w:val="（%1）"/>
      <w:lvlJc w:val="left"/>
    </w:lvl>
  </w:abstractNum>
  <w:abstractNum w:abstractNumId="2">
    <w:nsid w:val="C5651FE4"/>
    <w:multiLevelType w:val="singleLevel"/>
    <w:tmpl w:val="C5651FE4"/>
    <w:lvl w:ilvl="0" w:tentative="0">
      <w:start w:val="5"/>
      <w:numFmt w:val="chineseCounting"/>
      <w:suff w:val="space"/>
      <w:lvlText w:val="第%1章"/>
      <w:lvlJc w:val="left"/>
      <w:rPr>
        <w:rFonts w:hint="eastAsia"/>
      </w:rPr>
    </w:lvl>
  </w:abstractNum>
  <w:abstractNum w:abstractNumId="3">
    <w:nsid w:val="C87DBAD3"/>
    <w:multiLevelType w:val="singleLevel"/>
    <w:tmpl w:val="C87DBAD3"/>
    <w:lvl w:ilvl="0" w:tentative="0">
      <w:start w:val="1"/>
      <w:numFmt w:val="decimal"/>
      <w:suff w:val="nothing"/>
      <w:lvlText w:val="（%1）"/>
      <w:lvlJc w:val="left"/>
    </w:lvl>
  </w:abstractNum>
  <w:abstractNum w:abstractNumId="4">
    <w:nsid w:val="E2FE9692"/>
    <w:multiLevelType w:val="singleLevel"/>
    <w:tmpl w:val="E2FE9692"/>
    <w:lvl w:ilvl="0" w:tentative="0">
      <w:start w:val="1"/>
      <w:numFmt w:val="decimal"/>
      <w:suff w:val="nothing"/>
      <w:lvlText w:val="（%1）"/>
      <w:lvlJc w:val="left"/>
    </w:lvl>
  </w:abstractNum>
  <w:abstractNum w:abstractNumId="5">
    <w:nsid w:val="EFF7659E"/>
    <w:multiLevelType w:val="singleLevel"/>
    <w:tmpl w:val="EFF7659E"/>
    <w:lvl w:ilvl="0" w:tentative="0">
      <w:start w:val="1"/>
      <w:numFmt w:val="decimal"/>
      <w:suff w:val="nothing"/>
      <w:lvlText w:val="（%1）"/>
      <w:lvlJc w:val="left"/>
      <w:pPr>
        <w:ind w:left="-300" w:firstLine="0"/>
      </w:pPr>
    </w:lvl>
  </w:abstractNum>
  <w:abstractNum w:abstractNumId="6">
    <w:nsid w:val="FD3949ED"/>
    <w:multiLevelType w:val="multilevel"/>
    <w:tmpl w:val="FD3949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BB824CF"/>
    <w:multiLevelType w:val="singleLevel"/>
    <w:tmpl w:val="1BB824CF"/>
    <w:lvl w:ilvl="0" w:tentative="0">
      <w:start w:val="1"/>
      <w:numFmt w:val="decimal"/>
      <w:suff w:val="nothing"/>
      <w:lvlText w:val="（%1）"/>
      <w:lvlJc w:val="left"/>
    </w:lvl>
  </w:abstractNum>
  <w:abstractNum w:abstractNumId="8">
    <w:nsid w:val="2421A09D"/>
    <w:multiLevelType w:val="multilevel"/>
    <w:tmpl w:val="2421A0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067E040"/>
    <w:multiLevelType w:val="singleLevel"/>
    <w:tmpl w:val="5067E040"/>
    <w:lvl w:ilvl="0" w:tentative="0">
      <w:start w:val="1"/>
      <w:numFmt w:val="decimal"/>
      <w:suff w:val="nothing"/>
      <w:lvlText w:val="（%1）"/>
      <w:lvlJc w:val="left"/>
    </w:lvl>
  </w:abstractNum>
  <w:abstractNum w:abstractNumId="10">
    <w:nsid w:val="57992C04"/>
    <w:multiLevelType w:val="multilevel"/>
    <w:tmpl w:val="57992C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4939699"/>
    <w:multiLevelType w:val="multilevel"/>
    <w:tmpl w:val="649396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7"/>
  </w:num>
  <w:num w:numId="3">
    <w:abstractNumId w:val="0"/>
  </w:num>
  <w:num w:numId="4">
    <w:abstractNumId w:val="3"/>
  </w:num>
  <w:num w:numId="5">
    <w:abstractNumId w:val="9"/>
  </w:num>
  <w:num w:numId="6">
    <w:abstractNumId w:val="2"/>
  </w:num>
  <w:num w:numId="7">
    <w:abstractNumId w:val="4"/>
  </w:num>
  <w:num w:numId="8">
    <w:abstractNumId w:val="1"/>
  </w:num>
  <w:num w:numId="9">
    <w:abstractNumId w:val="5"/>
  </w:num>
  <w:num w:numId="10">
    <w:abstractNumId w:val="10"/>
  </w:num>
  <w:num w:numId="11">
    <w:abstractNumId w:val="6"/>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4442E6F"/>
    <w:rsid w:val="6E5E45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Calibri" w:hAnsi="Calibri" w:eastAsia="宋体" w:cs="Times New Roman"/>
      <w:kern w:val="2"/>
      <w:sz w:val="22"/>
      <w:szCs w:val="24"/>
      <w:lang w:val="en-US" w:eastAsia="zh-CN" w:bidi="ar-SA"/>
    </w:rPr>
  </w:style>
  <w:style w:type="paragraph" w:styleId="2">
    <w:name w:val="heading 1"/>
    <w:basedOn w:val="1"/>
    <w:next w:val="1"/>
    <w:qFormat/>
    <w:uiPriority w:val="0"/>
    <w:pPr>
      <w:keepNext/>
      <w:keepLines/>
      <w:spacing w:before="480" w:after="80"/>
      <w:outlineLvl w:val="0"/>
    </w:pPr>
    <w:rPr>
      <w:rFonts w:ascii="Calibri Light" w:hAnsi="Calibri Light" w:eastAsia="宋体" w:cs="Times New Roman"/>
      <w:color w:val="2E75B5"/>
      <w:sz w:val="48"/>
      <w:szCs w:val="48"/>
    </w:rPr>
  </w:style>
  <w:style w:type="character" w:default="1" w:styleId="8">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style>
  <w:style w:type="paragraph" w:styleId="6">
    <w:name w:val="Normal (Web)"/>
    <w:basedOn w:val="1"/>
    <w:qFormat/>
    <w:uiPriority w:val="0"/>
    <w:pPr>
      <w:spacing w:beforeAutospacing="1" w:after="100" w:afterAutospacing="1"/>
    </w:pPr>
    <w:rPr>
      <w:rFonts w:cs="Times New Roman"/>
      <w:kern w:val="0"/>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2026-04-07T11:39:19Z</dcterms:created>
  <dc:creator>Lenovo</dc:creator>
  <cp:lastModifiedBy>WPS_1641114784</cp:lastModifiedBy>
  <dcterms:modified xsi:type="dcterms:W3CDTF">2026-04-07T11:57:43Z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eyJoZGlkIjoiMDljYzUzMWQ4OWI0YzBkYjYzMDRhZTY5ZjZkYmFmYTgiLCJ1c2VySWQiOiIxMzA2ODM4ODIzIn0=</vt:lpwstr>
  </property>
  <property fmtid="{D5CDD505-2E9C-101B-9397-08002B2CF9AE}" pid="4" name="ICV">
    <vt:lpwstr>E4828DC3DEFE41E08FED65848E8FA238_13</vt:lpwstr>
  </property>
</Properties>
</file>