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B8E4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rStyle w:val="8"/>
          <w:color w:val="000000"/>
          <w:bdr w:val="none" w:color="auto" w:sz="0" w:space="0"/>
        </w:rPr>
        <w:t>《橙源智鉴——基于多模态光谱融合与深度学习的海南柑橘品质智能检测与产地溯源平台》​</w:t>
      </w:r>
    </w:p>
    <w:p w14:paraId="78C1D75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color w:val="000000"/>
        </w:rPr>
      </w:pPr>
      <w:r>
        <w:rPr>
          <w:color w:val="000000"/>
        </w:rPr>
        <w:pict>
          <v:rect id="_x0000_i1025" o:spt="1" style="height:1.5pt;width:432pt;" fillcolor="#000000" filled="t" stroked="f" coordsize="21600,21600" o:hr="t" o:hrstd="t" o:hrnoshade="t" o:hralign="center">
            <v:path/>
            <v:fill on="t" focussize="0,0"/>
            <v:stroke on="f"/>
            <v:imagedata o:title=""/>
            <o:lock v:ext="edit"/>
            <w10:wrap type="none"/>
            <w10:anchorlock/>
          </v:rect>
        </w:pict>
      </w:r>
    </w:p>
    <w:p w14:paraId="74BFC6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第一章：项目概述</w:t>
      </w:r>
    </w:p>
    <w:p w14:paraId="481FC4A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1.1 研究背景与问题提出</w:t>
      </w:r>
    </w:p>
    <w:p w14:paraId="492DF30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1.2 项目定位与核心价值</w:t>
      </w:r>
    </w:p>
    <w:p w14:paraId="15103F5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1.3 主要创新点</w:t>
      </w:r>
    </w:p>
    <w:p w14:paraId="244698B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1.4 项目成果概览（系统演示截图/数据集规模/模型精度预览）</w:t>
      </w:r>
    </w:p>
    <w:p w14:paraId="49BF03ED">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color w:val="000000"/>
        </w:rPr>
      </w:pPr>
      <w:r>
        <w:rPr>
          <w:color w:val="000000"/>
        </w:rPr>
        <w:pict>
          <v:rect id="_x0000_i1026" o:spt="1" style="height:1.5pt;width:432pt;" fillcolor="#000000" filled="t" stroked="f" coordsize="21600,21600" o:hr="t" o:hrstd="t" o:hrnoshade="t" o:hralign="center">
            <v:path/>
            <v:fill on="t" focussize="0,0"/>
            <v:stroke on="f"/>
            <v:imagedata o:title=""/>
            <o:lock v:ext="edit"/>
            <w10:wrap type="none"/>
            <w10:anchorlock/>
          </v:rect>
        </w:pict>
      </w:r>
    </w:p>
    <w:p w14:paraId="3422D2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第二章：数据基础与实验设计</w:t>
      </w:r>
    </w:p>
    <w:p w14:paraId="282A61A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2.1 样本来源与采集规范（澄迈福橙CM、琼中绿橙QZ，200+样本）</w:t>
      </w:r>
    </w:p>
    <w:p w14:paraId="01A5D13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2.2 多仪器光谱采集方案（HSI高光谱、R210近红外、S960近红外）</w:t>
      </w:r>
    </w:p>
    <w:p w14:paraId="7CF2F19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2.3 化学值参考标签体系（滴定法4项 + 液质36项）</w:t>
      </w:r>
    </w:p>
    <w:p w14:paraId="5B86977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2.4 数据预处理流程（平行样均值化、异常值剔除、缺失波段处理）</w:t>
      </w:r>
    </w:p>
    <w:p w14:paraId="601C0FD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2.5 数据集划分与质量评估</w:t>
      </w:r>
    </w:p>
    <w:p w14:paraId="412AD947">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color w:val="000000"/>
        </w:rPr>
      </w:pPr>
      <w:r>
        <w:rPr>
          <w:color w:val="000000"/>
        </w:rPr>
        <w:pict>
          <v:rect id="_x0000_i1027" o:spt="1" style="height:1.5pt;width:432pt;" fillcolor="#000000" filled="t" stroked="f" coordsize="21600,21600" o:hr="t" o:hrstd="t" o:hrnoshade="t" o:hralign="center">
            <v:path/>
            <v:fill on="t" focussize="0,0"/>
            <v:stroke on="f"/>
            <v:imagedata o:title=""/>
            <o:lock v:ext="edit"/>
            <w10:wrap type="none"/>
            <w10:anchorlock/>
          </v:rect>
        </w:pict>
      </w:r>
    </w:p>
    <w:p w14:paraId="2E725B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第三章：核心算法与模型设计</w:t>
      </w:r>
    </w:p>
    <w:p w14:paraId="22EC3BD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3.1 总体技术路线图</w:t>
      </w:r>
    </w:p>
    <w:p w14:paraId="38B16B9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3.2 光谱预处理方法（SG平滑、MSC、SNV、一阶导数）</w:t>
      </w:r>
    </w:p>
    <w:p w14:paraId="57A3C6C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3.3 特征波段选择策略（CARS、SPA、VIP）</w:t>
      </w:r>
    </w:p>
    <w:p w14:paraId="5A34EB2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3.4 品质预测模型设计</w:t>
      </w:r>
    </w:p>
    <w:p w14:paraId="61CCB6F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　　3.4.1 基线模型（PLS、SVR）</w:t>
      </w:r>
    </w:p>
    <w:p w14:paraId="787C41A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　　3.4.2 深度学习模型（1D-CNN、LSTM、Transformer）</w:t>
      </w:r>
    </w:p>
    <w:p w14:paraId="0F53E32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　　3.4.3 多模态光谱融合网络设计</w:t>
      </w:r>
    </w:p>
    <w:p w14:paraId="7AA3797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3.5 产地溯源分类模型（SVM、RF、深度分类网络）</w:t>
      </w:r>
    </w:p>
    <w:p w14:paraId="6371B0B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3.6 模型评估指标与对比实验</w:t>
      </w:r>
    </w:p>
    <w:p w14:paraId="4DC51711">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color w:val="000000"/>
        </w:rPr>
      </w:pPr>
      <w:r>
        <w:rPr>
          <w:color w:val="000000"/>
        </w:rPr>
        <w:pict>
          <v:rect id="_x0000_i1028" o:spt="1" style="height:1.5pt;width:432pt;" fillcolor="#000000" filled="t" stroked="f" coordsize="21600,21600" o:hr="t" o:hrstd="t" o:hrnoshade="t" o:hralign="center">
            <v:path/>
            <v:fill on="t" focussize="0,0"/>
            <v:stroke on="f"/>
            <v:imagedata o:title=""/>
            <o:lock v:ext="edit"/>
            <w10:wrap type="none"/>
            <w10:anchorlock/>
          </v:rect>
        </w:pict>
      </w:r>
    </w:p>
    <w:p w14:paraId="63CF55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第四章：系统架构与工程实现</w:t>
      </w:r>
    </w:p>
    <w:p w14:paraId="2205D5C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4.1 整体系统架构设计（前端 / 后端 / 模型服务层）</w:t>
      </w:r>
    </w:p>
    <w:p w14:paraId="7FABDA6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4.2 Web平台设计与实现</w:t>
      </w:r>
    </w:p>
    <w:p w14:paraId="6BEA178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　　4.2.1 功能模块说明（光谱上传、AI自动分析、结果可视化）</w:t>
      </w:r>
    </w:p>
    <w:p w14:paraId="1CEDA3A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　　4.2.2 关键界面展示</w:t>
      </w:r>
    </w:p>
    <w:p w14:paraId="62C2932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4.3 微信小程序设计与实现</w:t>
      </w:r>
    </w:p>
    <w:p w14:paraId="46601BE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　　4.3.1 小程序功能架构</w:t>
      </w:r>
    </w:p>
    <w:p w14:paraId="08919AF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　　4.3.2 用户交互流程设计</w:t>
      </w:r>
    </w:p>
    <w:p w14:paraId="0C1CCD8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　　4.3.3 关键界面展示</w:t>
      </w:r>
    </w:p>
    <w:p w14:paraId="5C76BBD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4.4 AI分析服务接口设计（API设计、模型部署方案）</w:t>
      </w:r>
    </w:p>
    <w:p w14:paraId="211CD0E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4.5 数据安全与系统稳定性设计</w:t>
      </w:r>
    </w:p>
    <w:p w14:paraId="5A64AE45">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color w:val="000000"/>
        </w:rPr>
      </w:pPr>
      <w:r>
        <w:rPr>
          <w:color w:val="000000"/>
        </w:rPr>
        <w:pict>
          <v:rect id="_x0000_i1029" o:spt="1" style="height:1.5pt;width:432pt;" fillcolor="#000000" filled="t" stroked="f" coordsize="21600,21600" o:hr="t" o:hrstd="t" o:hrnoshade="t" o:hralign="center">
            <v:path/>
            <v:fill on="t" focussize="0,0"/>
            <v:stroke on="f"/>
            <v:imagedata o:title=""/>
            <o:lock v:ext="edit"/>
            <w10:wrap type="none"/>
            <w10:anchorlock/>
          </v:rect>
        </w:pict>
      </w:r>
    </w:p>
    <w:p w14:paraId="5143D5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第五章：实验结果与分析</w:t>
      </w:r>
    </w:p>
    <w:p w14:paraId="63D77D3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5.1 品质预测实验结果（糖度、酸度、VC等各指标R²/RMSE）</w:t>
      </w:r>
    </w:p>
    <w:p w14:paraId="7159A02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5.2 多仪器融合 vs 单仪器对比分析</w:t>
      </w:r>
    </w:p>
    <w:p w14:paraId="02AC0B8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5.3 产地溯源分类准确率分析</w:t>
      </w:r>
    </w:p>
    <w:p w14:paraId="5447A77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5.4 光谱特征可解释性分析（关键特征波段可视化）</w:t>
      </w:r>
    </w:p>
    <w:p w14:paraId="7EF0220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5.5 系统实测演示（上传真实光谱数据的端到端测试）</w:t>
      </w:r>
    </w:p>
    <w:p w14:paraId="72B1CA2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color w:val="000000"/>
        </w:rPr>
      </w:pPr>
      <w:r>
        <w:rPr>
          <w:color w:val="000000"/>
        </w:rPr>
        <w:pict>
          <v:rect id="_x0000_i1030" o:spt="1" style="height:1.5pt;width:432pt;" fillcolor="#000000" filled="t" stroked="f" coordsize="21600,21600" o:hr="t" o:hrstd="t" o:hrnoshade="t" o:hralign="center">
            <v:path/>
            <v:fill on="t" focussize="0,0"/>
            <v:stroke on="f"/>
            <v:imagedata o:title=""/>
            <o:lock v:ext="edit"/>
            <w10:wrap type="none"/>
            <w10:anchorlock/>
          </v:rect>
        </w:pict>
      </w:r>
    </w:p>
    <w:p w14:paraId="32F6F6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第六章：应用价值与推广前景</w:t>
      </w:r>
    </w:p>
    <w:p w14:paraId="7277739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6.1 面向用户场景分析（科研院所、农业企业、质检机构）</w:t>
      </w:r>
    </w:p>
    <w:p w14:paraId="150A4E5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6.2 与现有检测手段的对比优势</w:t>
      </w:r>
    </w:p>
    <w:p w14:paraId="6849FFB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6.3 技术可扩展性（迁移至其他水果品种、其他产地的可行性）</w:t>
      </w:r>
    </w:p>
    <w:p w14:paraId="78F8E09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6.4 社会与产业价值</w:t>
      </w:r>
    </w:p>
    <w:p w14:paraId="30D6CE0B">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color w:val="000000"/>
        </w:rPr>
      </w:pPr>
      <w:r>
        <w:rPr>
          <w:color w:val="000000"/>
        </w:rPr>
        <w:pict>
          <v:rect id="_x0000_i1031" o:spt="1" style="height:1.5pt;width:432pt;" fillcolor="#000000" filled="t" stroked="f" coordsize="21600,21600" o:hr="t" o:hrstd="t" o:hrnoshade="t" o:hralign="center">
            <v:path/>
            <v:fill on="t" focussize="0,0"/>
            <v:stroke on="f"/>
            <v:imagedata o:title=""/>
            <o:lock v:ext="edit"/>
            <w10:wrap type="none"/>
            <w10:anchorlock/>
          </v:rect>
        </w:pict>
      </w:r>
    </w:p>
    <w:p w14:paraId="70DF69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第七章：团队介绍</w:t>
      </w:r>
    </w:p>
    <w:p w14:paraId="21DE58A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7.1 团队组织与分工</w:t>
      </w:r>
    </w:p>
    <w:p w14:paraId="0408567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7.2 指导教师与顾问</w:t>
      </w:r>
    </w:p>
    <w:p w14:paraId="18A839B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7.3 团队核心优势</w:t>
      </w:r>
    </w:p>
    <w:p w14:paraId="62CFD09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color w:val="000000"/>
        </w:rPr>
      </w:pPr>
      <w:r>
        <w:rPr>
          <w:color w:val="000000"/>
        </w:rPr>
        <w:pict>
          <v:rect id="_x0000_i1032" o:spt="1" style="height:1.5pt;width:432pt;" fillcolor="#000000" filled="t" stroked="f" coordsize="21600,21600" o:hr="t" o:hrstd="t" o:hrnoshade="t" o:hralign="center">
            <v:path/>
            <v:fill on="t" focussize="0,0"/>
            <v:stroke on="f"/>
            <v:imagedata o:title=""/>
            <o:lock v:ext="edit"/>
            <w10:wrap type="none"/>
            <w10:anchorlock/>
          </v:rect>
        </w:pict>
      </w:r>
    </w:p>
    <w:p w14:paraId="106C9FA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rStyle w:val="8"/>
          <w:color w:val="000000"/>
          <w:bdr w:val="none" w:color="auto" w:sz="0" w:space="0"/>
        </w:rPr>
        <w:t>附录</w:t>
      </w:r>
    </w:p>
    <w:p w14:paraId="7A8E671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附录A：数据集说明与样本统计</w:t>
      </w:r>
    </w:p>
    <w:p w14:paraId="24DB457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附录B：模型超参数配置</w:t>
      </w:r>
    </w:p>
    <w:p w14:paraId="623FB5F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附录C：系统部署环境说明</w:t>
      </w:r>
    </w:p>
    <w:p w14:paraId="6F38B5E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附录D：参考文献</w:t>
      </w:r>
    </w:p>
    <w:p w14:paraId="0E5EF328"/>
    <w:p w14:paraId="34DABF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80" w:afterAutospacing="0" w:line="280" w:lineRule="atLeast"/>
        <w:ind w:left="0" w:right="0"/>
        <w:rPr>
          <w:color w:val="000000"/>
          <w:sz w:val="18"/>
          <w:szCs w:val="18"/>
        </w:rPr>
      </w:pPr>
      <w:r>
        <w:rPr>
          <w:rStyle w:val="8"/>
          <w:b/>
          <w:color w:val="000000"/>
          <w:sz w:val="18"/>
          <w:szCs w:val="18"/>
          <w:bdr w:val="none" w:color="auto" w:sz="0" w:space="0"/>
        </w:rPr>
        <w:t>1.1 研究背景与问题提出</w:t>
      </w:r>
    </w:p>
    <w:p w14:paraId="5EA9E7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1.1.1 海南柑橘产业的崛起与品质管控困境</w:t>
      </w:r>
    </w:p>
    <w:p w14:paraId="58A6D21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海南地处热带，光热资源充沛、水土条件独特，孕育了一批在全国范围内具有高度辨识度的地理标志柑橘品种。其中，澄迈福橙与琼中绿橙尤为突出——前者已于2025年实现种植总面积1.27万亩、预计产值突破1.6亿元，后者种植面积达3万亩，2023年产值已超过2亿元，是海南乡村振兴的重要支柱产业。2025年，澄迈县更获批成为海南省首个</w:t>
      </w:r>
      <w:r>
        <w:rPr>
          <w:rStyle w:val="8"/>
          <w:color w:val="000000"/>
          <w:bdr w:val="none" w:color="auto" w:sz="0" w:space="0"/>
        </w:rPr>
        <w:t>国家地理标志保护示范区</w:t>
      </w:r>
      <w:r>
        <w:rPr>
          <w:color w:val="000000"/>
          <w:bdr w:val="none" w:color="auto" w:sz="0" w:space="0"/>
        </w:rPr>
        <w:t>，标志着海南热带柑橘的品牌价值已上升至国家战略层面。然而，产业高速发展的背后，品质管控与品牌保护的矛盾日益凸显。由于澄迈福橙、琼中绿橙的市场溢价显著，假冒伪劣产品大量涌入市场，"琼中绿橙商标品牌保卫战"已引发广泛关注。与此同时，产业链条中还存在土壤退化、品质分级粗放、品牌溢价不足等深层问题，任何一个环节的失控都可能危及整个产业的可持续发展。在此背景下，如何对柑橘的内在品质进行快速、准确、可溯源的科学鉴定，已成为产业升级的核心命题。</w:t>
      </w:r>
    </w:p>
    <w:p w14:paraId="7F299D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1.1.2 传统检测方法的根本局限</w:t>
      </w:r>
    </w:p>
    <w:p w14:paraId="12D0C12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当前，柑橘品质检测主要依赖以滴定法为代表的化学分析手段，通过破坏果实来测定糖度、酸度、维生素C等核心指标，或借助液相色谱-质谱联用（LC-MS）技术对糖类、有机酸、氨基酸等精细成分进行定量分析。这些方法虽然精度较高，但存在根本性的缺陷：</w:t>
      </w:r>
      <w:r>
        <w:rPr>
          <w:rStyle w:val="8"/>
          <w:color w:val="000000"/>
          <w:bdr w:val="none" w:color="auto" w:sz="0" w:space="0"/>
        </w:rPr>
        <w:t>检测过程具有破坏性</w:t>
      </w:r>
      <w:r>
        <w:rPr>
          <w:color w:val="000000"/>
          <w:bdr w:val="none" w:color="auto" w:sz="0" w:space="0"/>
        </w:rPr>
        <w:t>，每一次测定都意味着样本的消耗，无法实现对同一果实的连续监测；</w:t>
      </w:r>
      <w:r>
        <w:rPr>
          <w:rStyle w:val="8"/>
          <w:color w:val="000000"/>
          <w:bdr w:val="none" w:color="auto" w:sz="0" w:space="0"/>
        </w:rPr>
        <w:t>检测周期长</w:t>
      </w:r>
      <w:r>
        <w:rPr>
          <w:color w:val="000000"/>
          <w:bdr w:val="none" w:color="auto" w:sz="0" w:space="0"/>
        </w:rPr>
        <w:t>，从采样到出具结果往往需要数小时乃至数天，难以满足规模化产线的实时检测需求；</w:t>
      </w:r>
      <w:r>
        <w:rPr>
          <w:rStyle w:val="8"/>
          <w:color w:val="000000"/>
          <w:bdr w:val="none" w:color="auto" w:sz="0" w:space="0"/>
        </w:rPr>
        <w:t>成本高昂</w:t>
      </w:r>
      <w:r>
        <w:rPr>
          <w:color w:val="000000"/>
          <w:bdr w:val="none" w:color="auto" w:sz="0" w:space="0"/>
        </w:rPr>
        <w:t>，专业仪器的购置与维护、化学试剂的消耗以及专业人员的配置，使得全面普及几乎不可能；此外，</w:t>
      </w:r>
      <w:r>
        <w:rPr>
          <w:rStyle w:val="8"/>
          <w:color w:val="000000"/>
          <w:bdr w:val="none" w:color="auto" w:sz="0" w:space="0"/>
        </w:rPr>
        <w:t>人工操作引入的主观误差</w:t>
      </w:r>
      <w:r>
        <w:rPr>
          <w:color w:val="000000"/>
          <w:bdr w:val="none" w:color="auto" w:sz="0" w:space="0"/>
        </w:rPr>
        <w:t>也难以避免。这些缺点决定了传统方法只能作为抽样检测手段，无法构建覆盖产地、流通、销售全链条的品质保障体系，更无法为产地溯源提供客观的物理证据。</w:t>
      </w:r>
    </w:p>
    <w:p w14:paraId="10F113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1.1.3 光谱无损检测技术的兴起与现有研究的瓶颈</w:t>
      </w:r>
    </w:p>
    <w:p w14:paraId="1AE481C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近红外光谱（NIR）与高光谱成像（HSI）技术的出现，为农产品品质无损检测提供了革命性的技术路径。其核心原理在于：果实中的糖分、有机酸、氨基酸等有机化合物，其分子内含氢官能团（C-H、O-H）的振动倍频与合频信号，会在特定光谱波段形成可识别的特征吸收峰，从而将化学成分信息"编码"在光谱曲线之中。通过建立光谱数据与化学值之间的数学模型，即可实现</w:t>
      </w:r>
      <w:r>
        <w:rPr>
          <w:rStyle w:val="8"/>
          <w:color w:val="000000"/>
          <w:bdr w:val="none" w:color="auto" w:sz="0" w:space="0"/>
        </w:rPr>
        <w:t>快速、无损、非接触式</w:t>
      </w:r>
      <w:r>
        <w:rPr>
          <w:color w:val="000000"/>
          <w:bdr w:val="none" w:color="auto" w:sz="0" w:space="0"/>
        </w:rPr>
        <w:t>的品质预测。</w:t>
      </w:r>
    </w:p>
    <w:p w14:paraId="4AC218F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近年来，学界在这一方向已取得重要进展。基于PLS、SVR等经典化学计量学方法，研究者已能对苹果、猕猴桃、葡萄等水果的糖度、酸度实现较高精度的预测；深度学习模型（1D-CNN、LSTM等）的引入进一步提升了非线性建模能力，在光谱序列特征提取方面展现出显著优势。然而，现有研究普遍存在以下关键不足：</w:t>
      </w:r>
      <w:r>
        <w:rPr>
          <w:rStyle w:val="8"/>
          <w:color w:val="000000"/>
          <w:bdr w:val="none" w:color="auto" w:sz="0" w:space="0"/>
        </w:rPr>
        <w:t>第一</w:t>
      </w:r>
      <w:r>
        <w:rPr>
          <w:color w:val="000000"/>
          <w:bdr w:val="none" w:color="auto" w:sz="0" w:space="0"/>
        </w:rPr>
        <w:t>，绝大多数研究基于单一仪器的光谱数据，不同仪器之间的预测能力差异及其互补性尚未得到系统评估；</w:t>
      </w:r>
      <w:r>
        <w:rPr>
          <w:rStyle w:val="8"/>
          <w:color w:val="000000"/>
          <w:bdr w:val="none" w:color="auto" w:sz="0" w:space="0"/>
        </w:rPr>
        <w:t>第二</w:t>
      </w:r>
      <w:r>
        <w:rPr>
          <w:color w:val="000000"/>
          <w:bdr w:val="none" w:color="auto" w:sz="0" w:space="0"/>
        </w:rPr>
        <w:t>，专门针对海南热带特色柑橘品种的光谱数据库与预测模型极为匮乏，现有通用模型难以直接迁移应用；</w:t>
      </w:r>
      <w:r>
        <w:rPr>
          <w:rStyle w:val="8"/>
          <w:color w:val="000000"/>
          <w:bdr w:val="none" w:color="auto" w:sz="0" w:space="0"/>
        </w:rPr>
        <w:t>第三</w:t>
      </w:r>
      <w:r>
        <w:rPr>
          <w:color w:val="000000"/>
          <w:bdr w:val="none" w:color="auto" w:sz="0" w:space="0"/>
        </w:rPr>
        <w:t>，光谱检测与产地溯源的结合研究相对薄弱，尚未形成从"品质检测"到"地理溯源"的完整技术链条；</w:t>
      </w:r>
      <w:r>
        <w:rPr>
          <w:rStyle w:val="8"/>
          <w:color w:val="000000"/>
          <w:bdr w:val="none" w:color="auto" w:sz="0" w:space="0"/>
        </w:rPr>
        <w:t>第四</w:t>
      </w:r>
      <w:r>
        <w:rPr>
          <w:color w:val="000000"/>
          <w:bdr w:val="none" w:color="auto" w:sz="0" w:space="0"/>
        </w:rPr>
        <w:t>，现有研究成果大多停留在实验室阶段，缺乏面向实际应用场景的端到端系统实现。</w:t>
      </w:r>
    </w:p>
    <w:p w14:paraId="59A533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1.1.4 政策驱动与智慧农业的时代背景</w:t>
      </w:r>
    </w:p>
    <w:p w14:paraId="0388909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从宏观政策层面看，本项目的研究方向与国家战略高度契合。2024年10月，农业农村部正式印发《全国智慧农业行动计划（2024—2028年）》，明确将"农产品品质检测智能化"与"农产品质量安全追溯体系建设"列为重点任务，提出到2028年农业生产信息化率达到32%以上的目标。2025年中央一号文件再次明确提出"支持发展智慧农业"，农业数字化转型已成为国家战略共识。与此同时，海南自由贸易港建设也在积极推进"标准+认证+检测+溯源"农产品品牌体系，对科学、客观的品质检测技术提出了迫切需求。</w:t>
      </w:r>
    </w:p>
    <w:p w14:paraId="53CB07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1.1.5 本项目提出的核心问题</w:t>
      </w:r>
    </w:p>
    <w:p w14:paraId="10A9C05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综合以上背景，本项目聚焦以下核心科学与工程问题：</w:t>
      </w:r>
    </w:p>
    <w:p w14:paraId="29CC9A3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rStyle w:val="8"/>
          <w:color w:val="000000"/>
          <w:bdr w:val="none" w:color="auto" w:sz="0" w:space="0"/>
        </w:rPr>
        <w:t>其一</w:t>
      </w:r>
      <w:r>
        <w:rPr>
          <w:color w:val="000000"/>
          <w:bdr w:val="none" w:color="auto" w:sz="0" w:space="0"/>
        </w:rPr>
        <w:t>，能否构建一套专门面向海南澄迈福橙与琼中绿橙的多模态光谱数据集，覆盖可见-近红外全段（HSI，389~1030nm）、短波近红外（R210，901~1701nm）、紫外-近红外（S960，189~1099nm）三套仪器，并与滴定法化验值（4项）、液质精细成分（36项）形成完整的标签体系？</w:t>
      </w:r>
    </w:p>
    <w:p w14:paraId="7D24BB8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rStyle w:val="8"/>
          <w:color w:val="000000"/>
          <w:bdr w:val="none" w:color="auto" w:sz="0" w:space="0"/>
        </w:rPr>
        <w:t>其二</w:t>
      </w:r>
      <w:r>
        <w:rPr>
          <w:color w:val="000000"/>
          <w:bdr w:val="none" w:color="auto" w:sz="0" w:space="0"/>
        </w:rPr>
        <w:t>，在多仪器光谱特征融合的框架下，深度学习模型相较于传统化学计量学方法，能否在糖度、酸度、VC含量等关键品质指标的预测精度上取得显著提升？</w:t>
      </w:r>
    </w:p>
    <w:p w14:paraId="0FD77AF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rStyle w:val="8"/>
          <w:color w:val="000000"/>
          <w:bdr w:val="none" w:color="auto" w:sz="0" w:space="0"/>
        </w:rPr>
        <w:t>其三</w:t>
      </w:r>
      <w:r>
        <w:rPr>
          <w:color w:val="000000"/>
          <w:bdr w:val="none" w:color="auto" w:sz="0" w:space="0"/>
        </w:rPr>
        <w:t>，仅凭光谱信息，能否有效区分澄迈（CM）与琼中（QZ）两个产地的柑橘样本，为地理标志保护提供客观的光谱指纹证据？</w:t>
      </w:r>
    </w:p>
    <w:p w14:paraId="3773D79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rStyle w:val="8"/>
          <w:color w:val="000000"/>
          <w:bdr w:val="none" w:color="auto" w:sz="0" w:space="0"/>
        </w:rPr>
        <w:t>其四</w:t>
      </w:r>
      <w:r>
        <w:rPr>
          <w:color w:val="000000"/>
          <w:bdr w:val="none" w:color="auto" w:sz="0" w:space="0"/>
        </w:rPr>
        <w:t>，如何将上述模型封装为可实际使用的智能检测系统——包括Web平台与微信小程序——使果农、质检机构和科研人员能够通过上传光谱数据即时获取AI分析结果？</w:t>
      </w:r>
    </w:p>
    <w:p w14:paraId="5112DCFD"/>
    <w:p w14:paraId="55F64496"/>
    <w:p w14:paraId="75EC3D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80" w:afterAutospacing="0" w:line="280" w:lineRule="atLeast"/>
        <w:ind w:left="0" w:right="0"/>
        <w:rPr>
          <w:color w:val="000000"/>
          <w:sz w:val="18"/>
          <w:szCs w:val="18"/>
        </w:rPr>
      </w:pPr>
      <w:r>
        <w:rPr>
          <w:rStyle w:val="8"/>
          <w:b/>
          <w:color w:val="000000"/>
          <w:sz w:val="18"/>
          <w:szCs w:val="18"/>
          <w:bdr w:val="none" w:color="auto" w:sz="0" w:space="0"/>
        </w:rPr>
        <w:t>1.2 项目定位与核心价值</w:t>
      </w:r>
    </w:p>
    <w:p w14:paraId="7DECF1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1.2.1 项目定位</w:t>
      </w:r>
    </w:p>
    <w:p w14:paraId="2AAC2F9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"橙源智鉴"系统定位为</w:t>
      </w:r>
      <w:r>
        <w:rPr>
          <w:rStyle w:val="8"/>
          <w:color w:val="000000"/>
          <w:bdr w:val="none" w:color="auto" w:sz="0" w:space="0"/>
        </w:rPr>
        <w:t>面向海南热带特色柑橘的多模态光谱智能检测与产地溯源平台</w:t>
      </w:r>
      <w:r>
        <w:rPr>
          <w:color w:val="000000"/>
          <w:bdr w:val="none" w:color="auto" w:sz="0" w:space="0"/>
        </w:rPr>
        <w:t>，是一个融合农业光谱分析、深度学习建模与软件工程实现的综合性人工智能应用系统。</w:t>
      </w:r>
    </w:p>
    <w:p w14:paraId="4EFDC7C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从技术层面看，本项目以澄迈福橙（CM，200个样本）和琼中绿橙（QZ）为研究对象，以三套光谱仪（HSI高光谱、R210近红外、S960近红外）采集的多波段光谱数据为输入特征，以滴定法化验值（糖度、酸度、糖酸比、VC共4项）及液质精细成分（果糖、葡萄糖、蔗糖、有机酸、氨基酸共36项）为预测标签，构建覆盖"数据采集—预处理—特征提取—多模态融合—模型训练—系统部署"完整链路的端到端智能检测系统。</w:t>
      </w:r>
    </w:p>
    <w:p w14:paraId="5FE354A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从产品层面看，本项目交付形态包含三个层次：核心预测模型（多模态光谱融合深度学习模型）、Web检测平台（支持光谱文件上传与AI自动分析）、微信小程序（面向移动端用户的轻量化检测入口）。三者共同构成一个可实际运行、可真实演示的完整软件系统，而非停留于算法研究层面的理论验证。</w:t>
      </w:r>
    </w:p>
    <w:p w14:paraId="1E567E7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从应用层面看，本项目服务的核心场景包括：产地收购环节的快速品质分级、地理标志产品的真伪鉴别与产地溯源、科研机构的光谱数据管理与模型迭代，以及农业主管部门的质量监管辅助决策。</w:t>
      </w:r>
    </w:p>
    <w:p w14:paraId="084C6A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1.2.2 核心价值</w:t>
      </w:r>
    </w:p>
    <w:p w14:paraId="1290C27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rStyle w:val="8"/>
          <w:color w:val="000000"/>
          <w:bdr w:val="none" w:color="auto" w:sz="0" w:space="0"/>
        </w:rPr>
        <w:t>数据价值：构建稀缺的专属光谱数据集。​</w:t>
      </w:r>
      <w:r>
        <w:rPr>
          <w:color w:val="000000"/>
          <w:bdr w:val="none" w:color="auto" w:sz="0" w:space="0"/>
        </w:rPr>
        <w:t xml:space="preserve"> 本项目所使用的数据集由课题组自主采集，涵盖200个澄迈福橙样本与琼中绿橙样本，每个样本均配备三套光谱仪的完整光谱记录及双平行化学值标注，数据规模与标注完整性在同类研究中属于较高水准。尤其是三套仪器覆盖从紫外（189nm）到短波近红外（1701nm）的超宽波段范围，形成了互补性强的多模态光谱数据体系。这一数据集本身即具有独立的科研价值，是本项目区别于使用公开数据集的同类作品的根本性优势。</w:t>
      </w:r>
    </w:p>
    <w:p w14:paraId="4048F15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rStyle w:val="8"/>
          <w:color w:val="000000"/>
          <w:bdr w:val="none" w:color="auto" w:sz="0" w:space="0"/>
        </w:rPr>
        <w:t>技术价值：验证多模态光谱融合的增益效果。​</w:t>
      </w:r>
      <w:r>
        <w:rPr>
          <w:color w:val="000000"/>
          <w:bdr w:val="none" w:color="auto" w:sz="0" w:space="0"/>
        </w:rPr>
        <w:t xml:space="preserve"> 现有研究普遍基于单一仪器的光谱数据建模，不同仪器的检测能力差异及其融合潜力尚无系统性结论。本项目通过设计对照实验，在相同样本集上分别评估HSI单模态、R210单模态、S960单模态以及三者融合模型的预测精度，从而量化多模态融合相较于单仪器方案的实际增益，为光谱仪器选型与组合方案提供数据支撑。此外，针对S960仪器存在CM波段缺失的实际问题，本项目探索缺失波段的处理策略，具有一定的工程创新意义。</w:t>
      </w:r>
    </w:p>
    <w:p w14:paraId="1FE4DB4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rStyle w:val="8"/>
          <w:color w:val="000000"/>
          <w:bdr w:val="none" w:color="auto" w:sz="0" w:space="0"/>
        </w:rPr>
        <w:t>应用价值：填补海南特色柑橘智能检测的空白。​</w:t>
      </w:r>
      <w:r>
        <w:rPr>
          <w:color w:val="000000"/>
          <w:bdr w:val="none" w:color="auto" w:sz="0" w:space="0"/>
        </w:rPr>
        <w:t xml:space="preserve"> 目前，国内针对柑橘品质的光谱检测研究主要集中于脐橙、温州蜜柑等大宗品种，专门面向澄迈福橙与琼中绿橙这两个海南地理标志品种的光谱预测模型几乎空白。本项目所建立的专属模型，在样本分布、品种特性和产地环境上与实际应用场景高度匹配，预测结果的可靠性显著优于通用模型直接迁移的方案。</w:t>
      </w:r>
    </w:p>
    <w:p w14:paraId="4CD951C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rStyle w:val="8"/>
          <w:color w:val="000000"/>
          <w:bdr w:val="none" w:color="auto" w:sz="0" w:space="0"/>
        </w:rPr>
        <w:t>工程价值：实现从模型到系统的完整闭环。​</w:t>
      </w:r>
      <w:r>
        <w:rPr>
          <w:color w:val="000000"/>
          <w:bdr w:val="none" w:color="auto" w:sz="0" w:space="0"/>
        </w:rPr>
        <w:t xml:space="preserve"> 本项目不以发表算法为终点，而是将训练完成的模型封装为可调用的API服务，并在此基础上开发了具备完整用户交互界面的Web平台与微信小程序。用户只需上传光谱数据文件，系统即可自动完成预处理、特征提取、模型推理和结果可视化，输出糖度、酸度等关键品质指标的预测值及产地溯源结论。这一"从光谱到结论"的端到端自动化流程，是本项目在工程实现层面的核心贡献，也是其区别于纯学术研究的本质特征。</w:t>
      </w:r>
    </w:p>
    <w:p w14:paraId="42ACAF4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rStyle w:val="8"/>
          <w:color w:val="000000"/>
          <w:bdr w:val="none" w:color="auto" w:sz="0" w:space="0"/>
        </w:rPr>
        <w:t>社会价值：服务地理标志保护与产业诚信体系建设。​</w:t>
      </w:r>
      <w:r>
        <w:rPr>
          <w:color w:val="000000"/>
          <w:bdr w:val="none" w:color="auto" w:sz="0" w:space="0"/>
        </w:rPr>
        <w:t xml:space="preserve"> 澄迈福橙与琼中绿橙均为国家地理标志保护产品，品牌溢价显著，但假冒伪劣问题长期困扰产业健康发展。本项目所建立的产地溯源模型，能够基于光谱"指纹"特征客观区分两个产地的样本，为地理标志执法提供技术手段，为消费者的知情权提供科学保障，有助于推动海南热带农业品牌从"靠声誉"向"靠数据"的可信体系转型。</w:t>
      </w:r>
    </w:p>
    <w:p w14:paraId="25278262"/>
    <w:p w14:paraId="71FCB4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80" w:afterAutospacing="0" w:line="280" w:lineRule="atLeast"/>
        <w:ind w:left="0" w:right="0"/>
        <w:rPr>
          <w:color w:val="000000"/>
          <w:sz w:val="18"/>
          <w:szCs w:val="18"/>
        </w:rPr>
      </w:pPr>
      <w:r>
        <w:rPr>
          <w:rStyle w:val="8"/>
          <w:b/>
          <w:color w:val="000000"/>
          <w:sz w:val="18"/>
          <w:szCs w:val="18"/>
          <w:bdr w:val="none" w:color="auto" w:sz="0" w:space="0"/>
        </w:rPr>
        <w:t>1.3 主要创新点</w:t>
      </w:r>
    </w:p>
    <w:p w14:paraId="4A60D22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"橙源智鉴"的创新性不在于某一单点技术的突破，而在于将数据、算法、工程三个维度的创新有机整合，形成了一套完整的、可落地的智能检测体系。以下从四个层面加以阐述。</w:t>
      </w:r>
    </w:p>
    <w:p w14:paraId="65443690">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color w:val="000000"/>
        </w:rPr>
      </w:pPr>
      <w:r>
        <w:rPr>
          <w:color w:val="000000"/>
        </w:rPr>
        <w:pict>
          <v:rect id="_x0000_i1044" o:spt="1" style="height:1.5pt;width:432pt;" fillcolor="#000000" filled="t" stroked="f" coordsize="21600,21600" o:hr="t" o:hrstd="t" o:hrnoshade="t" o:hralign="center">
            <v:path/>
            <v:fill on="t" focussize="0,0"/>
            <v:stroke on="f"/>
            <v:imagedata o:title=""/>
            <o:lock v:ext="edit"/>
            <w10:wrap type="none"/>
            <w10:anchorlock/>
          </v:rect>
        </w:pict>
      </w:r>
    </w:p>
    <w:p w14:paraId="6F943D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创新一：首个面向海南地理标志柑橘的多仪器全谱段光谱数据集</w:t>
      </w:r>
    </w:p>
    <w:p w14:paraId="5B14698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本项目构建的数据集是整个系统的基石，也是其最难被复制的核心资产。数据集涵盖澄迈福橙（CM）与琼中绿橙（QZ）共两个产地，以三套不同原理的光谱仪对同一批样本进行采集：HSI高光谱成像仪覆盖可见至近红外波段（389~1030nm，约300个波段），R210近红外光谱仪覆盖短波近红外波段（901~1701nm，约228个波段），S960光谱仪覆盖紫外至近红外波段（189~1099nm）。三套仪器的波段范围相互交叠又各有延伸，合并后形成了从紫外到短波近红外的超宽谱段覆盖，远超单一仪器所能提供的信息维度。</w:t>
      </w:r>
    </w:p>
    <w:p w14:paraId="69D1A34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更重要的是，每个样本同时配备了两套化学标签：滴定法实测的糖度、酸度、糖酸比、VC四项宏观品质指标，以及液质联用（LC-MS）精确定量的36项微观成分（包括果糖、葡萄糖、蔗糖三种糖组分，九种有机酸，以及二十余种氨基酸）。双平行样本取均值的处理方式进一步保证了标签的可靠性。这种"多仪器光谱 × 多层次化学标签"的立体标注结构，在国内同类公开数据集中几乎没有先例，为后续的多目标预测和跨仪器对比研究提供了坚实的数据基础。</w:t>
      </w:r>
    </w:p>
    <w:p w14:paraId="4253FC1E">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color w:val="000000"/>
        </w:rPr>
      </w:pPr>
      <w:r>
        <w:rPr>
          <w:color w:val="000000"/>
        </w:rPr>
        <w:pict>
          <v:rect id="_x0000_i1045" o:spt="1" style="height:1.5pt;width:432pt;" fillcolor="#000000" filled="t" stroked="f" coordsize="21600,21600" o:hr="t" o:hrstd="t" o:hrnoshade="t" o:hralign="center">
            <v:path/>
            <v:fill on="t" focussize="0,0"/>
            <v:stroke on="f"/>
            <v:imagedata o:title=""/>
            <o:lock v:ext="edit"/>
            <w10:wrap type="none"/>
            <w10:anchorlock/>
          </v:rect>
        </w:pict>
      </w:r>
    </w:p>
    <w:p w14:paraId="257AAA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创新二：多模态光谱融合建模策略与跨仪器性能对比实验</w:t>
      </w:r>
    </w:p>
    <w:p w14:paraId="1274C22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单一仪器的光谱数据存在固有的信息盲区。以糖度预测为例，蔗糖的C-H倍频吸收主要集中在近红外1200nm附近，而某些有机酸的特征峰则出现在可见光波段——没有任何一台仪器能够同时以最优状态覆盖所有目标成分的特征波段。本项目提出的多模态融合策略正是针对这一问题：将三套仪器的光谱数据在特征层进行对齐与融合，通过设计专门的多分支深度学习网络，让模型自适应地学习不同仪器光谱对不同预测目标的贡献权重。</w:t>
      </w:r>
    </w:p>
    <w:p w14:paraId="5ADE023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与此同时，本项目设计了严格的对照实验框架：在完全相同的样本划分下，分别评估HSI单模态、R210单模态、S960单模态以及三模态融合方案在各品质指标上的预测精度（以R2R^2R2和RMSE为主要指标）。这一实验设计的意义不仅在于证明融合方案的优越性，更在于量化每套仪器对不同成分预测的独特贡献，为实际部署场景中的仪器选型提供有据可查的决策依据。此外，针对S960仪器CM样本存在部分波段缺失的真实数据问题，本项目探索了基于光谱插值与迁移学习的缺失波段补全策略，将工程中的"数据缺陷"转化为方法论层面的研究贡献。</w:t>
      </w:r>
    </w:p>
    <w:p w14:paraId="08E38F76">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color w:val="000000"/>
        </w:rPr>
      </w:pPr>
      <w:r>
        <w:rPr>
          <w:color w:val="000000"/>
        </w:rPr>
        <w:pict>
          <v:rect id="_x0000_i1046" o:spt="1" style="height:1.5pt;width:432pt;" fillcolor="#000000" filled="t" stroked="f" coordsize="21600,21600" o:hr="t" o:hrstd="t" o:hrnoshade="t" o:hralign="center">
            <v:path/>
            <v:fill on="t" focussize="0,0"/>
            <v:stroke on="f"/>
            <v:imagedata o:title=""/>
            <o:lock v:ext="edit"/>
            <w10:wrap type="none"/>
            <w10:anchorlock/>
          </v:rect>
        </w:pict>
      </w:r>
    </w:p>
    <w:p w14:paraId="096678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创新三：从宏观品质到微观成分的多目标协同预测</w:t>
      </w:r>
    </w:p>
    <w:p w14:paraId="1C8C906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现有绝大多数光谱检测研究仅针对糖度（可溶性固形物）这一单一指标进行预测，预测目标的单一性限制了系统的实用价值。本项目将预测目标扩展至两个层次：第一层次是滴定法四项宏观品质指标，直接对应市场定价和消费感知；第二层次是液质36项微观成分，涵盖了柑橘风味化学的完整图谱——不同有机酸的比例决定了酸味的层次感，氨基酸组成影响着果实的鲜味与营养价值，而GABA（γ-氨基丁酸）等功能性成分的含量则关乎产品的健康属性溢价。</w:t>
      </w:r>
    </w:p>
    <w:p w14:paraId="39617E3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将如此丰富的化学标签与光谱数据联合建模，一方面可以探索光谱对微观成分的预测边界（哪些成分可以被光谱准确预测，哪些超出了光谱的信息容量），另一方面也为未来构建基于光谱的柑橘"风味指纹图谱"奠定了数据基础。</w:t>
      </w:r>
    </w:p>
    <w:p w14:paraId="78F1BCA8">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280" w:afterAutospacing="0"/>
        <w:ind w:left="0" w:right="0"/>
        <w:rPr>
          <w:color w:val="000000"/>
        </w:rPr>
      </w:pPr>
      <w:r>
        <w:rPr>
          <w:color w:val="000000"/>
        </w:rPr>
        <w:pict>
          <v:rect id="_x0000_i1047" o:spt="1" style="height:1.5pt;width:432pt;" fillcolor="#000000" filled="t" stroked="f" coordsize="21600,21600" o:hr="t" o:hrstd="t" o:hrnoshade="t" o:hralign="center">
            <v:path/>
            <v:fill on="t" focussize="0,0"/>
            <v:stroke on="f"/>
            <v:imagedata o:title=""/>
            <o:lock v:ext="edit"/>
            <w10:wrap type="none"/>
            <w10:anchorlock/>
          </v:rect>
        </w:pict>
      </w:r>
    </w:p>
    <w:p w14:paraId="0C9F2A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创新四：端到端的智能检测系统工程实现</w:t>
      </w:r>
    </w:p>
    <w:p w14:paraId="1C87357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算法研究与系统工程之间存在巨大的落地鸿沟，本项目选择跨越这道鸿沟。在完成模型训练与验证之后，本项目进一步将模型封装为标准化的后端推理服务，并在此基础上完整开发了两个面向不同用户群体的前端产品。</w:t>
      </w:r>
    </w:p>
    <w:p w14:paraId="6B6D777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Web平台面向科研人员与质检机构，支持批量光谱文件上传、多仪器数据的自动识别与对齐、AI模型的在线推理，以及预测结果的可视化呈现（包括光谱曲线展示、各指标预测值与置信区间、产地溯源概率分布等）。微信小程序面向产地果农与流通环节从业者，以更轻量、更直观的交互方式提供单样本快速检测功能，降低了技术使用门槛。两个产品共享同一套后端模型服务，保证了预测结果的一致性。</w:t>
      </w:r>
    </w:p>
    <w:p w14:paraId="4E5E1AE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这种"一套模型、两个入口、全链路贯通"的系统架构，使得本项目不仅是一个算法方案，更是一个具备真实可用性的人工智能应用产品。用户从上传光谱数据到获取品质报告，全程无需任何专业背景知识，系统自动完成从原始数据到可读结论的全部转换——这正是人工智能技术赋能传统农业检测的最直接体现。</w:t>
      </w:r>
    </w:p>
    <w:p w14:paraId="35AB1D1B"/>
    <w:p w14:paraId="73962F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1.4.1 数据集规模</w:t>
      </w:r>
    </w:p>
    <w:p w14:paraId="7C5ED99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本项目以海南两大地理标志柑橘品种为研究对象，构建了迄今规模最完整的多模态柑橘品质光谱数据集。数据集涵盖 400 个独立样本，配套三套光谱仪器采集数据及两套化学标签体系，形成"多仪器 × 多标签 × 双产地"的立体结构。</w:t>
      </w:r>
    </w:p>
    <w:p w14:paraId="4F15981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rStyle w:val="8"/>
          <w:color w:val="000000"/>
          <w:bdr w:val="none" w:color="auto" w:sz="0" w:space="0"/>
        </w:rPr>
        <w:t>样本分布</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45"/>
        <w:gridCol w:w="1790"/>
        <w:gridCol w:w="1910"/>
        <w:gridCol w:w="1325"/>
      </w:tblGrid>
      <w:tr w14:paraId="0BF43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387C4EB9">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品种</w:t>
            </w:r>
          </w:p>
        </w:tc>
        <w:tc>
          <w:tcPr>
            <w:tcW w:w="0" w:type="auto"/>
            <w:shd w:val="clear"/>
            <w:tcMar>
              <w:top w:w="80" w:type="dxa"/>
              <w:left w:w="160" w:type="dxa"/>
              <w:bottom w:w="80" w:type="dxa"/>
              <w:right w:w="160" w:type="dxa"/>
            </w:tcMar>
            <w:vAlign w:val="center"/>
          </w:tcPr>
          <w:p w14:paraId="10167419">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产地</w:t>
            </w:r>
          </w:p>
        </w:tc>
        <w:tc>
          <w:tcPr>
            <w:tcW w:w="0" w:type="auto"/>
            <w:shd w:val="clear"/>
            <w:tcMar>
              <w:top w:w="80" w:type="dxa"/>
              <w:left w:w="160" w:type="dxa"/>
              <w:bottom w:w="80" w:type="dxa"/>
              <w:right w:w="160" w:type="dxa"/>
            </w:tcMar>
            <w:vAlign w:val="center"/>
          </w:tcPr>
          <w:p w14:paraId="292AA876">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样本编号</w:t>
            </w:r>
          </w:p>
        </w:tc>
        <w:tc>
          <w:tcPr>
            <w:tcW w:w="0" w:type="auto"/>
            <w:shd w:val="clear"/>
            <w:tcMar>
              <w:top w:w="80" w:type="dxa"/>
              <w:left w:w="160" w:type="dxa"/>
              <w:bottom w:w="80" w:type="dxa"/>
              <w:right w:w="160" w:type="dxa"/>
            </w:tcMar>
            <w:vAlign w:val="center"/>
          </w:tcPr>
          <w:p w14:paraId="5FC1DB59">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样本数量</w:t>
            </w:r>
          </w:p>
        </w:tc>
      </w:tr>
      <w:tr w14:paraId="09335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417FEF7F">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澄迈福橙（CM）</w:t>
            </w:r>
          </w:p>
        </w:tc>
        <w:tc>
          <w:tcPr>
            <w:tcW w:w="0" w:type="auto"/>
            <w:shd w:val="clear"/>
            <w:tcMar>
              <w:top w:w="80" w:type="dxa"/>
              <w:left w:w="160" w:type="dxa"/>
              <w:bottom w:w="80" w:type="dxa"/>
              <w:right w:w="160" w:type="dxa"/>
            </w:tcMar>
            <w:vAlign w:val="center"/>
          </w:tcPr>
          <w:p w14:paraId="4E69BF2B">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海南省澄迈县</w:t>
            </w:r>
          </w:p>
        </w:tc>
        <w:tc>
          <w:tcPr>
            <w:tcW w:w="0" w:type="auto"/>
            <w:shd w:val="clear"/>
            <w:tcMar>
              <w:top w:w="80" w:type="dxa"/>
              <w:left w:w="160" w:type="dxa"/>
              <w:bottom w:w="80" w:type="dxa"/>
              <w:right w:w="160" w:type="dxa"/>
            </w:tcMar>
            <w:vAlign w:val="center"/>
          </w:tcPr>
          <w:p w14:paraId="5C822081">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CM-1 ~ CM-200</w:t>
            </w:r>
          </w:p>
        </w:tc>
        <w:tc>
          <w:tcPr>
            <w:tcW w:w="0" w:type="auto"/>
            <w:shd w:val="clear"/>
            <w:tcMar>
              <w:top w:w="80" w:type="dxa"/>
              <w:left w:w="160" w:type="dxa"/>
              <w:bottom w:w="80" w:type="dxa"/>
              <w:right w:w="160" w:type="dxa"/>
            </w:tcMar>
            <w:vAlign w:val="center"/>
          </w:tcPr>
          <w:p w14:paraId="7B292266">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200</w:t>
            </w:r>
          </w:p>
        </w:tc>
      </w:tr>
      <w:tr w14:paraId="4DC4A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3F117A7B">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琼中绿橙（QZ）</w:t>
            </w:r>
          </w:p>
        </w:tc>
        <w:tc>
          <w:tcPr>
            <w:tcW w:w="0" w:type="auto"/>
            <w:shd w:val="clear"/>
            <w:tcMar>
              <w:top w:w="80" w:type="dxa"/>
              <w:left w:w="160" w:type="dxa"/>
              <w:bottom w:w="80" w:type="dxa"/>
              <w:right w:w="160" w:type="dxa"/>
            </w:tcMar>
            <w:vAlign w:val="center"/>
          </w:tcPr>
          <w:p w14:paraId="471E796F">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海南省琼中县</w:t>
            </w:r>
          </w:p>
        </w:tc>
        <w:tc>
          <w:tcPr>
            <w:tcW w:w="0" w:type="auto"/>
            <w:shd w:val="clear"/>
            <w:tcMar>
              <w:top w:w="80" w:type="dxa"/>
              <w:left w:w="160" w:type="dxa"/>
              <w:bottom w:w="80" w:type="dxa"/>
              <w:right w:w="160" w:type="dxa"/>
            </w:tcMar>
            <w:vAlign w:val="center"/>
          </w:tcPr>
          <w:p w14:paraId="7848987A">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QZ-1 ~ QZ-200</w:t>
            </w:r>
          </w:p>
        </w:tc>
        <w:tc>
          <w:tcPr>
            <w:tcW w:w="0" w:type="auto"/>
            <w:shd w:val="clear"/>
            <w:tcMar>
              <w:top w:w="80" w:type="dxa"/>
              <w:left w:w="160" w:type="dxa"/>
              <w:bottom w:w="80" w:type="dxa"/>
              <w:right w:w="160" w:type="dxa"/>
            </w:tcMar>
            <w:vAlign w:val="center"/>
          </w:tcPr>
          <w:p w14:paraId="09D9FD97">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200</w:t>
            </w:r>
          </w:p>
        </w:tc>
      </w:tr>
      <w:tr w14:paraId="5089C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2FBBE7FA">
            <w:pPr>
              <w:keepNext w:val="0"/>
              <w:keepLines w:val="0"/>
              <w:widowControl/>
              <w:suppressLineNumbers w:val="0"/>
              <w:jc w:val="left"/>
              <w:rPr>
                <w:color w:val="000000"/>
              </w:rPr>
            </w:pPr>
            <w:r>
              <w:rPr>
                <w:rStyle w:val="8"/>
                <w:rFonts w:ascii="宋体" w:hAnsi="宋体" w:eastAsia="宋体" w:cs="宋体"/>
                <w:color w:val="000000"/>
                <w:kern w:val="0"/>
                <w:sz w:val="24"/>
                <w:szCs w:val="24"/>
                <w:bdr w:val="none" w:color="auto" w:sz="0" w:space="0"/>
                <w:lang w:val="en-US" w:eastAsia="zh-CN" w:bidi="ar"/>
              </w:rPr>
              <w:t>合计</w:t>
            </w:r>
          </w:p>
        </w:tc>
        <w:tc>
          <w:tcPr>
            <w:tcW w:w="0" w:type="auto"/>
            <w:shd w:val="clear"/>
            <w:tcMar>
              <w:top w:w="80" w:type="dxa"/>
              <w:left w:w="160" w:type="dxa"/>
              <w:bottom w:w="80" w:type="dxa"/>
              <w:right w:w="160" w:type="dxa"/>
            </w:tcMar>
            <w:vAlign w:val="center"/>
          </w:tcPr>
          <w:p w14:paraId="47997F7E">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w:t>
            </w:r>
          </w:p>
        </w:tc>
        <w:tc>
          <w:tcPr>
            <w:tcW w:w="0" w:type="auto"/>
            <w:shd w:val="clear"/>
            <w:tcMar>
              <w:top w:w="80" w:type="dxa"/>
              <w:left w:w="160" w:type="dxa"/>
              <w:bottom w:w="80" w:type="dxa"/>
              <w:right w:w="160" w:type="dxa"/>
            </w:tcMar>
            <w:vAlign w:val="center"/>
          </w:tcPr>
          <w:p w14:paraId="2F82DFF9">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w:t>
            </w:r>
          </w:p>
        </w:tc>
        <w:tc>
          <w:tcPr>
            <w:tcW w:w="0" w:type="auto"/>
            <w:shd w:val="clear"/>
            <w:tcMar>
              <w:top w:w="80" w:type="dxa"/>
              <w:left w:w="160" w:type="dxa"/>
              <w:bottom w:w="80" w:type="dxa"/>
              <w:right w:w="160" w:type="dxa"/>
            </w:tcMar>
            <w:vAlign w:val="center"/>
          </w:tcPr>
          <w:p w14:paraId="35216288">
            <w:pPr>
              <w:keepNext w:val="0"/>
              <w:keepLines w:val="0"/>
              <w:widowControl/>
              <w:suppressLineNumbers w:val="0"/>
              <w:jc w:val="left"/>
              <w:rPr>
                <w:color w:val="000000"/>
              </w:rPr>
            </w:pPr>
            <w:r>
              <w:rPr>
                <w:rStyle w:val="8"/>
                <w:rFonts w:ascii="宋体" w:hAnsi="宋体" w:eastAsia="宋体" w:cs="宋体"/>
                <w:color w:val="000000"/>
                <w:kern w:val="0"/>
                <w:sz w:val="24"/>
                <w:szCs w:val="24"/>
                <w:bdr w:val="none" w:color="auto" w:sz="0" w:space="0"/>
                <w:lang w:val="en-US" w:eastAsia="zh-CN" w:bidi="ar"/>
              </w:rPr>
              <w:t>400</w:t>
            </w:r>
          </w:p>
        </w:tc>
      </w:tr>
    </w:tbl>
    <w:p w14:paraId="0AF70BC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rStyle w:val="8"/>
          <w:color w:val="000000"/>
          <w:bdr w:val="none" w:color="auto" w:sz="0" w:space="0"/>
        </w:rPr>
        <w:t>光谱数据</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2"/>
        <w:gridCol w:w="1782"/>
        <w:gridCol w:w="929"/>
        <w:gridCol w:w="1034"/>
        <w:gridCol w:w="836"/>
        <w:gridCol w:w="2373"/>
      </w:tblGrid>
      <w:tr w14:paraId="3E432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2C283864">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仪器</w:t>
            </w:r>
          </w:p>
        </w:tc>
        <w:tc>
          <w:tcPr>
            <w:tcW w:w="0" w:type="auto"/>
            <w:shd w:val="clear"/>
            <w:tcMar>
              <w:top w:w="80" w:type="dxa"/>
              <w:left w:w="160" w:type="dxa"/>
              <w:bottom w:w="80" w:type="dxa"/>
              <w:right w:w="160" w:type="dxa"/>
            </w:tcMar>
            <w:vAlign w:val="center"/>
          </w:tcPr>
          <w:p w14:paraId="55A559DC">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波段范围</w:t>
            </w:r>
          </w:p>
        </w:tc>
        <w:tc>
          <w:tcPr>
            <w:tcW w:w="0" w:type="auto"/>
            <w:shd w:val="clear"/>
            <w:tcMar>
              <w:top w:w="80" w:type="dxa"/>
              <w:left w:w="160" w:type="dxa"/>
              <w:bottom w:w="80" w:type="dxa"/>
              <w:right w:w="160" w:type="dxa"/>
            </w:tcMar>
            <w:vAlign w:val="center"/>
          </w:tcPr>
          <w:p w14:paraId="70AFF22B">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波段数</w:t>
            </w:r>
          </w:p>
        </w:tc>
        <w:tc>
          <w:tcPr>
            <w:tcW w:w="0" w:type="auto"/>
            <w:shd w:val="clear"/>
            <w:tcMar>
              <w:top w:w="80" w:type="dxa"/>
              <w:left w:w="160" w:type="dxa"/>
              <w:bottom w:w="80" w:type="dxa"/>
              <w:right w:w="160" w:type="dxa"/>
            </w:tcMar>
            <w:vAlign w:val="center"/>
          </w:tcPr>
          <w:p w14:paraId="7E908770">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CM 覆盖</w:t>
            </w:r>
          </w:p>
        </w:tc>
        <w:tc>
          <w:tcPr>
            <w:tcW w:w="0" w:type="auto"/>
            <w:shd w:val="clear"/>
            <w:tcMar>
              <w:top w:w="80" w:type="dxa"/>
              <w:left w:w="160" w:type="dxa"/>
              <w:bottom w:w="80" w:type="dxa"/>
              <w:right w:w="160" w:type="dxa"/>
            </w:tcMar>
            <w:vAlign w:val="center"/>
          </w:tcPr>
          <w:p w14:paraId="211D51E5">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QZ 覆盖</w:t>
            </w:r>
          </w:p>
        </w:tc>
        <w:tc>
          <w:tcPr>
            <w:tcW w:w="0" w:type="auto"/>
            <w:shd w:val="clear"/>
            <w:tcMar>
              <w:top w:w="80" w:type="dxa"/>
              <w:left w:w="160" w:type="dxa"/>
              <w:bottom w:w="80" w:type="dxa"/>
              <w:right w:w="160" w:type="dxa"/>
            </w:tcMar>
            <w:vAlign w:val="center"/>
          </w:tcPr>
          <w:p w14:paraId="459CDC19">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备注</w:t>
            </w:r>
          </w:p>
        </w:tc>
      </w:tr>
      <w:tr w14:paraId="1B642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2CC943A4">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HSI 高光谱成像仪</w:t>
            </w:r>
          </w:p>
        </w:tc>
        <w:tc>
          <w:tcPr>
            <w:tcW w:w="0" w:type="auto"/>
            <w:shd w:val="clear"/>
            <w:tcMar>
              <w:top w:w="80" w:type="dxa"/>
              <w:left w:w="160" w:type="dxa"/>
              <w:bottom w:w="80" w:type="dxa"/>
              <w:right w:w="160" w:type="dxa"/>
            </w:tcMar>
            <w:vAlign w:val="center"/>
          </w:tcPr>
          <w:p w14:paraId="7EFB28A8">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389.04 ~ 1030.58 nm</w:t>
            </w:r>
          </w:p>
        </w:tc>
        <w:tc>
          <w:tcPr>
            <w:tcW w:w="0" w:type="auto"/>
            <w:shd w:val="clear"/>
            <w:tcMar>
              <w:top w:w="80" w:type="dxa"/>
              <w:left w:w="160" w:type="dxa"/>
              <w:bottom w:w="80" w:type="dxa"/>
              <w:right w:w="160" w:type="dxa"/>
            </w:tcMar>
            <w:vAlign w:val="center"/>
          </w:tcPr>
          <w:p w14:paraId="33E12A0D">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300</w:t>
            </w:r>
          </w:p>
        </w:tc>
        <w:tc>
          <w:tcPr>
            <w:tcW w:w="0" w:type="auto"/>
            <w:shd w:val="clear"/>
            <w:tcMar>
              <w:top w:w="80" w:type="dxa"/>
              <w:left w:w="160" w:type="dxa"/>
              <w:bottom w:w="80" w:type="dxa"/>
              <w:right w:w="160" w:type="dxa"/>
            </w:tcMar>
            <w:vAlign w:val="center"/>
          </w:tcPr>
          <w:p w14:paraId="4AA7C970">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 完整</w:t>
            </w:r>
          </w:p>
        </w:tc>
        <w:tc>
          <w:tcPr>
            <w:tcW w:w="0" w:type="auto"/>
            <w:shd w:val="clear"/>
            <w:tcMar>
              <w:top w:w="80" w:type="dxa"/>
              <w:left w:w="160" w:type="dxa"/>
              <w:bottom w:w="80" w:type="dxa"/>
              <w:right w:w="160" w:type="dxa"/>
            </w:tcMar>
            <w:vAlign w:val="center"/>
          </w:tcPr>
          <w:p w14:paraId="187A804C">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 完整</w:t>
            </w:r>
          </w:p>
        </w:tc>
        <w:tc>
          <w:tcPr>
            <w:tcW w:w="0" w:type="auto"/>
            <w:shd w:val="clear"/>
            <w:tcMar>
              <w:top w:w="80" w:type="dxa"/>
              <w:left w:w="160" w:type="dxa"/>
              <w:bottom w:w="80" w:type="dxa"/>
              <w:right w:w="160" w:type="dxa"/>
            </w:tcMar>
            <w:vAlign w:val="center"/>
          </w:tcPr>
          <w:p w14:paraId="62B389F8">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已剔除 1 个异常样本</w:t>
            </w:r>
          </w:p>
        </w:tc>
      </w:tr>
      <w:tr w14:paraId="24252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0BA53196">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R210 近红外光谱仪</w:t>
            </w:r>
          </w:p>
        </w:tc>
        <w:tc>
          <w:tcPr>
            <w:tcW w:w="0" w:type="auto"/>
            <w:shd w:val="clear"/>
            <w:tcMar>
              <w:top w:w="80" w:type="dxa"/>
              <w:left w:w="160" w:type="dxa"/>
              <w:bottom w:w="80" w:type="dxa"/>
              <w:right w:w="160" w:type="dxa"/>
            </w:tcMar>
            <w:vAlign w:val="center"/>
          </w:tcPr>
          <w:p w14:paraId="6466EA96">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901.74 ~ 1701.25 nm</w:t>
            </w:r>
          </w:p>
        </w:tc>
        <w:tc>
          <w:tcPr>
            <w:tcW w:w="0" w:type="auto"/>
            <w:shd w:val="clear"/>
            <w:tcMar>
              <w:top w:w="80" w:type="dxa"/>
              <w:left w:w="160" w:type="dxa"/>
              <w:bottom w:w="80" w:type="dxa"/>
              <w:right w:w="160" w:type="dxa"/>
            </w:tcMar>
            <w:vAlign w:val="center"/>
          </w:tcPr>
          <w:p w14:paraId="74564367">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228</w:t>
            </w:r>
          </w:p>
        </w:tc>
        <w:tc>
          <w:tcPr>
            <w:tcW w:w="0" w:type="auto"/>
            <w:shd w:val="clear"/>
            <w:tcMar>
              <w:top w:w="80" w:type="dxa"/>
              <w:left w:w="160" w:type="dxa"/>
              <w:bottom w:w="80" w:type="dxa"/>
              <w:right w:w="160" w:type="dxa"/>
            </w:tcMar>
            <w:vAlign w:val="center"/>
          </w:tcPr>
          <w:p w14:paraId="058E738F">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 完整</w:t>
            </w:r>
          </w:p>
        </w:tc>
        <w:tc>
          <w:tcPr>
            <w:tcW w:w="0" w:type="auto"/>
            <w:shd w:val="clear"/>
            <w:tcMar>
              <w:top w:w="80" w:type="dxa"/>
              <w:left w:w="160" w:type="dxa"/>
              <w:bottom w:w="80" w:type="dxa"/>
              <w:right w:w="160" w:type="dxa"/>
            </w:tcMar>
            <w:vAlign w:val="center"/>
          </w:tcPr>
          <w:p w14:paraId="0507AD7B">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 完整</w:t>
            </w:r>
          </w:p>
        </w:tc>
        <w:tc>
          <w:tcPr>
            <w:tcW w:w="0" w:type="auto"/>
            <w:shd w:val="clear"/>
            <w:tcMar>
              <w:top w:w="80" w:type="dxa"/>
              <w:left w:w="160" w:type="dxa"/>
              <w:bottom w:w="80" w:type="dxa"/>
              <w:right w:w="160" w:type="dxa"/>
            </w:tcMar>
            <w:vAlign w:val="center"/>
          </w:tcPr>
          <w:p w14:paraId="51C4ADCD">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w:t>
            </w:r>
          </w:p>
        </w:tc>
      </w:tr>
      <w:tr w14:paraId="2F2E9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122E1A8C">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S960 紫外-近红外光谱仪</w:t>
            </w:r>
          </w:p>
        </w:tc>
        <w:tc>
          <w:tcPr>
            <w:tcW w:w="0" w:type="auto"/>
            <w:shd w:val="clear"/>
            <w:tcMar>
              <w:top w:w="80" w:type="dxa"/>
              <w:left w:w="160" w:type="dxa"/>
              <w:bottom w:w="80" w:type="dxa"/>
              <w:right w:w="160" w:type="dxa"/>
            </w:tcMar>
            <w:vAlign w:val="center"/>
          </w:tcPr>
          <w:p w14:paraId="60DCC38E">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189.32 ~ 1099.97 nm</w:t>
            </w:r>
          </w:p>
        </w:tc>
        <w:tc>
          <w:tcPr>
            <w:tcW w:w="0" w:type="auto"/>
            <w:shd w:val="clear"/>
            <w:tcMar>
              <w:top w:w="80" w:type="dxa"/>
              <w:left w:w="160" w:type="dxa"/>
              <w:bottom w:w="80" w:type="dxa"/>
              <w:right w:w="160" w:type="dxa"/>
            </w:tcMar>
            <w:vAlign w:val="center"/>
          </w:tcPr>
          <w:p w14:paraId="7E98031F">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1365</w:t>
            </w:r>
          </w:p>
        </w:tc>
        <w:tc>
          <w:tcPr>
            <w:tcW w:w="0" w:type="auto"/>
            <w:shd w:val="clear"/>
            <w:tcMar>
              <w:top w:w="80" w:type="dxa"/>
              <w:left w:w="160" w:type="dxa"/>
              <w:bottom w:w="80" w:type="dxa"/>
              <w:right w:w="160" w:type="dxa"/>
            </w:tcMar>
            <w:vAlign w:val="center"/>
          </w:tcPr>
          <w:p w14:paraId="52E585C5">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 部分缺失</w:t>
            </w:r>
          </w:p>
        </w:tc>
        <w:tc>
          <w:tcPr>
            <w:tcW w:w="0" w:type="auto"/>
            <w:shd w:val="clear"/>
            <w:tcMar>
              <w:top w:w="80" w:type="dxa"/>
              <w:left w:w="160" w:type="dxa"/>
              <w:bottom w:w="80" w:type="dxa"/>
              <w:right w:w="160" w:type="dxa"/>
            </w:tcMar>
            <w:vAlign w:val="center"/>
          </w:tcPr>
          <w:p w14:paraId="19EF7D67">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 完整</w:t>
            </w:r>
          </w:p>
        </w:tc>
        <w:tc>
          <w:tcPr>
            <w:tcW w:w="0" w:type="auto"/>
            <w:shd w:val="clear"/>
            <w:tcMar>
              <w:top w:w="80" w:type="dxa"/>
              <w:left w:w="160" w:type="dxa"/>
              <w:bottom w:w="80" w:type="dxa"/>
              <w:right w:w="160" w:type="dxa"/>
            </w:tcMar>
            <w:vAlign w:val="center"/>
          </w:tcPr>
          <w:p w14:paraId="74736FD7">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CM 数据存在波段缺失，已完成对齐标记</w:t>
            </w:r>
          </w:p>
        </w:tc>
      </w:tr>
    </w:tbl>
    <w:p w14:paraId="4A64B0D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rStyle w:val="8"/>
          <w:color w:val="000000"/>
          <w:bdr w:val="none" w:color="auto" w:sz="0" w:space="0"/>
        </w:rPr>
        <w:t>化学标签体系</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3"/>
        <w:gridCol w:w="1773"/>
        <w:gridCol w:w="2518"/>
        <w:gridCol w:w="847"/>
        <w:gridCol w:w="2515"/>
      </w:tblGrid>
      <w:tr w14:paraId="4D23F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73385B08">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标签类型</w:t>
            </w:r>
          </w:p>
        </w:tc>
        <w:tc>
          <w:tcPr>
            <w:tcW w:w="0" w:type="auto"/>
            <w:shd w:val="clear"/>
            <w:tcMar>
              <w:top w:w="80" w:type="dxa"/>
              <w:left w:w="160" w:type="dxa"/>
              <w:bottom w:w="80" w:type="dxa"/>
              <w:right w:w="160" w:type="dxa"/>
            </w:tcMar>
            <w:vAlign w:val="center"/>
          </w:tcPr>
          <w:p w14:paraId="4644C1B6">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检测方法</w:t>
            </w:r>
          </w:p>
        </w:tc>
        <w:tc>
          <w:tcPr>
            <w:tcW w:w="0" w:type="auto"/>
            <w:shd w:val="clear"/>
            <w:tcMar>
              <w:top w:w="80" w:type="dxa"/>
              <w:left w:w="160" w:type="dxa"/>
              <w:bottom w:w="80" w:type="dxa"/>
              <w:right w:w="160" w:type="dxa"/>
            </w:tcMar>
            <w:vAlign w:val="center"/>
          </w:tcPr>
          <w:p w14:paraId="6713AC14">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指标项目</w:t>
            </w:r>
          </w:p>
        </w:tc>
        <w:tc>
          <w:tcPr>
            <w:tcW w:w="0" w:type="auto"/>
            <w:shd w:val="clear"/>
            <w:tcMar>
              <w:top w:w="80" w:type="dxa"/>
              <w:left w:w="160" w:type="dxa"/>
              <w:bottom w:w="80" w:type="dxa"/>
              <w:right w:w="160" w:type="dxa"/>
            </w:tcMar>
            <w:vAlign w:val="center"/>
          </w:tcPr>
          <w:p w14:paraId="1AA7A08E">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指标数量</w:t>
            </w:r>
          </w:p>
        </w:tc>
        <w:tc>
          <w:tcPr>
            <w:tcW w:w="0" w:type="auto"/>
            <w:shd w:val="clear"/>
            <w:tcMar>
              <w:top w:w="80" w:type="dxa"/>
              <w:left w:w="160" w:type="dxa"/>
              <w:bottom w:w="80" w:type="dxa"/>
              <w:right w:w="160" w:type="dxa"/>
            </w:tcMar>
            <w:vAlign w:val="center"/>
          </w:tcPr>
          <w:p w14:paraId="6845F56C">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样本覆盖</w:t>
            </w:r>
          </w:p>
        </w:tc>
      </w:tr>
      <w:tr w14:paraId="102A1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16291569">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宏观品质指标</w:t>
            </w:r>
          </w:p>
        </w:tc>
        <w:tc>
          <w:tcPr>
            <w:tcW w:w="0" w:type="auto"/>
            <w:shd w:val="clear"/>
            <w:tcMar>
              <w:top w:w="80" w:type="dxa"/>
              <w:left w:w="160" w:type="dxa"/>
              <w:bottom w:w="80" w:type="dxa"/>
              <w:right w:w="160" w:type="dxa"/>
            </w:tcMar>
            <w:vAlign w:val="center"/>
          </w:tcPr>
          <w:p w14:paraId="34CD7575">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滴定法</w:t>
            </w:r>
          </w:p>
        </w:tc>
        <w:tc>
          <w:tcPr>
            <w:tcW w:w="0" w:type="auto"/>
            <w:shd w:val="clear"/>
            <w:tcMar>
              <w:top w:w="80" w:type="dxa"/>
              <w:left w:w="160" w:type="dxa"/>
              <w:bottom w:w="80" w:type="dxa"/>
              <w:right w:w="160" w:type="dxa"/>
            </w:tcMar>
            <w:vAlign w:val="center"/>
          </w:tcPr>
          <w:p w14:paraId="3AFA384A">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糖度、酸度、糖酸比、VC 含量</w:t>
            </w:r>
          </w:p>
        </w:tc>
        <w:tc>
          <w:tcPr>
            <w:tcW w:w="0" w:type="auto"/>
            <w:shd w:val="clear"/>
            <w:tcMar>
              <w:top w:w="80" w:type="dxa"/>
              <w:left w:w="160" w:type="dxa"/>
              <w:bottom w:w="80" w:type="dxa"/>
              <w:right w:w="160" w:type="dxa"/>
            </w:tcMar>
            <w:vAlign w:val="center"/>
          </w:tcPr>
          <w:p w14:paraId="697C5622">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4 项</w:t>
            </w:r>
          </w:p>
        </w:tc>
        <w:tc>
          <w:tcPr>
            <w:tcW w:w="0" w:type="auto"/>
            <w:shd w:val="clear"/>
            <w:tcMar>
              <w:top w:w="80" w:type="dxa"/>
              <w:left w:w="160" w:type="dxa"/>
              <w:bottom w:w="80" w:type="dxa"/>
              <w:right w:w="160" w:type="dxa"/>
            </w:tcMar>
            <w:vAlign w:val="center"/>
          </w:tcPr>
          <w:p w14:paraId="51791D2D">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400 个样本全覆盖</w:t>
            </w:r>
          </w:p>
        </w:tc>
      </w:tr>
      <w:tr w14:paraId="608C1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548CDD1E">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精细成分指标</w:t>
            </w:r>
          </w:p>
        </w:tc>
        <w:tc>
          <w:tcPr>
            <w:tcW w:w="0" w:type="auto"/>
            <w:shd w:val="clear"/>
            <w:tcMar>
              <w:top w:w="80" w:type="dxa"/>
              <w:left w:w="160" w:type="dxa"/>
              <w:bottom w:w="80" w:type="dxa"/>
              <w:right w:w="160" w:type="dxa"/>
            </w:tcMar>
            <w:vAlign w:val="center"/>
          </w:tcPr>
          <w:p w14:paraId="2CD11AE1">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液质联用（LC-MS）</w:t>
            </w:r>
          </w:p>
        </w:tc>
        <w:tc>
          <w:tcPr>
            <w:tcW w:w="0" w:type="auto"/>
            <w:shd w:val="clear"/>
            <w:tcMar>
              <w:top w:w="80" w:type="dxa"/>
              <w:left w:w="160" w:type="dxa"/>
              <w:bottom w:w="80" w:type="dxa"/>
              <w:right w:w="160" w:type="dxa"/>
            </w:tcMar>
            <w:vAlign w:val="center"/>
          </w:tcPr>
          <w:p w14:paraId="692DC7B5">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糖组分（3）、有机酸（9）、氨基酸（21）</w:t>
            </w:r>
          </w:p>
        </w:tc>
        <w:tc>
          <w:tcPr>
            <w:tcW w:w="0" w:type="auto"/>
            <w:shd w:val="clear"/>
            <w:tcMar>
              <w:top w:w="80" w:type="dxa"/>
              <w:left w:w="160" w:type="dxa"/>
              <w:bottom w:w="80" w:type="dxa"/>
              <w:right w:w="160" w:type="dxa"/>
            </w:tcMar>
            <w:vAlign w:val="center"/>
          </w:tcPr>
          <w:p w14:paraId="148ABAE9">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36 项</w:t>
            </w:r>
          </w:p>
        </w:tc>
        <w:tc>
          <w:tcPr>
            <w:tcW w:w="0" w:type="auto"/>
            <w:shd w:val="clear"/>
            <w:tcMar>
              <w:top w:w="80" w:type="dxa"/>
              <w:left w:w="160" w:type="dxa"/>
              <w:bottom w:w="80" w:type="dxa"/>
              <w:right w:w="160" w:type="dxa"/>
            </w:tcMar>
            <w:vAlign w:val="center"/>
          </w:tcPr>
          <w:p w14:paraId="1865BDDA">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400 个样本，每样本含 A/B 双平行，取均值使用</w:t>
            </w:r>
          </w:p>
        </w:tc>
      </w:tr>
    </w:tbl>
    <w:p w14:paraId="32AD1259"/>
    <w:p w14:paraId="756C8B30"/>
    <w:p w14:paraId="4EFD2B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2.1 样本来源与采集规范</w:t>
      </w:r>
    </w:p>
    <w:p w14:paraId="53F29C5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本研究以海南省两大地理标志柑橘品种——</w:t>
      </w:r>
      <w:r>
        <w:rPr>
          <w:rStyle w:val="8"/>
          <w:color w:val="000000"/>
          <w:bdr w:val="none" w:color="auto" w:sz="0" w:space="0"/>
        </w:rPr>
        <w:t>澄迈福橙</w:t>
      </w:r>
      <w:r>
        <w:rPr>
          <w:color w:val="000000"/>
          <w:bdr w:val="none" w:color="auto" w:sz="0" w:space="0"/>
        </w:rPr>
        <w:t>（</w:t>
      </w:r>
      <w:r>
        <w:rPr>
          <w:rStyle w:val="9"/>
          <w:color w:val="000000"/>
          <w:bdr w:val="none" w:color="auto" w:sz="0" w:space="0"/>
        </w:rPr>
        <w:t>Citrus sinensis</w:t>
      </w:r>
      <w:r>
        <w:rPr>
          <w:color w:val="000000"/>
          <w:bdr w:val="none" w:color="auto" w:sz="0" w:space="0"/>
        </w:rPr>
        <w:t xml:space="preserve"> cv. Chengmai）与</w:t>
      </w:r>
      <w:r>
        <w:rPr>
          <w:rStyle w:val="8"/>
          <w:color w:val="000000"/>
          <w:bdr w:val="none" w:color="auto" w:sz="0" w:space="0"/>
        </w:rPr>
        <w:t>琼中绿橙</w:t>
      </w:r>
      <w:r>
        <w:rPr>
          <w:color w:val="000000"/>
          <w:bdr w:val="none" w:color="auto" w:sz="0" w:space="0"/>
        </w:rPr>
        <w:t>（</w:t>
      </w:r>
      <w:r>
        <w:rPr>
          <w:rStyle w:val="9"/>
          <w:color w:val="000000"/>
          <w:bdr w:val="none" w:color="auto" w:sz="0" w:space="0"/>
        </w:rPr>
        <w:t>Citrus reticulata</w:t>
      </w:r>
      <w:r>
        <w:rPr>
          <w:color w:val="000000"/>
          <w:bdr w:val="none" w:color="auto" w:sz="0" w:space="0"/>
        </w:rPr>
        <w:t xml:space="preserve"> cv. Qiongzhong）为研究对象，依托课题组与</w:t>
      </w:r>
      <w:r>
        <w:rPr>
          <w:rStyle w:val="8"/>
          <w:color w:val="000000"/>
          <w:bdr w:val="none" w:color="auto" w:sz="0" w:space="0"/>
        </w:rPr>
        <w:t>海南省农业科学院</w:t>
      </w:r>
      <w:r>
        <w:rPr>
          <w:color w:val="000000"/>
          <w:bdr w:val="none" w:color="auto" w:sz="0" w:space="0"/>
        </w:rPr>
        <w:t>的合作关系，于果实成熟采收期赴产地开展系统性样本采集工作。</w:t>
      </w:r>
    </w:p>
    <w:p w14:paraId="512F7D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color w:val="000000"/>
          <w:sz w:val="14"/>
          <w:szCs w:val="14"/>
        </w:rPr>
      </w:pPr>
      <w:r>
        <w:rPr>
          <w:rStyle w:val="8"/>
          <w:b/>
          <w:color w:val="000000"/>
          <w:sz w:val="14"/>
          <w:szCs w:val="14"/>
          <w:bdr w:val="none" w:color="auto" w:sz="0" w:space="0"/>
        </w:rPr>
        <w:t>2.1.1 样本来源</w:t>
      </w:r>
    </w:p>
    <w:p w14:paraId="2FDD82D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澄迈福橙样本采集自海南省澄迈县主产区果园，琼中绿橙样本采集自海南省琼中黎族苗族自治县核心产区。两个产地均为各自品种的原产地保护区域，品种特征典型，具有良好的代表性。采集时间统一选定在果实商业成熟期，以确保样本的品质分布具有充分的多样性，能够覆盖从偏生到充分成熟的完整品质区间，为后续模型训练提供足够的标签动态范围。</w:t>
      </w:r>
    </w:p>
    <w:p w14:paraId="135425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color w:val="000000"/>
          <w:sz w:val="14"/>
          <w:szCs w:val="14"/>
        </w:rPr>
      </w:pPr>
      <w:r>
        <w:rPr>
          <w:rStyle w:val="8"/>
          <w:b/>
          <w:color w:val="000000"/>
          <w:sz w:val="14"/>
          <w:szCs w:val="14"/>
          <w:bdr w:val="none" w:color="auto" w:sz="0" w:space="0"/>
        </w:rPr>
        <w:t>2.1.2 样本采集与筛选规范</w:t>
      </w:r>
    </w:p>
    <w:p w14:paraId="7DCBAEE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样本采集遵循随机抽样原则，在合作方协助下从不同树株、不同冠层位置分批采摘，以降低个体间系统性差异对数据集的影响。采摘后对样本进行初步筛选，剔除存在明显机械损伤、病斑或严重畸形的果实，保留外观完整、形态正常的个体参与后续实验。</w:t>
      </w:r>
    </w:p>
    <w:p w14:paraId="58C9110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 xml:space="preserve">最终，本研究共获得有效样本 </w:t>
      </w:r>
      <w:r>
        <w:rPr>
          <w:rStyle w:val="8"/>
          <w:color w:val="000000"/>
          <w:bdr w:val="none" w:color="auto" w:sz="0" w:space="0"/>
        </w:rPr>
        <w:t>400 个</w:t>
      </w:r>
      <w:r>
        <w:rPr>
          <w:color w:val="000000"/>
          <w:bdr w:val="none" w:color="auto" w:sz="0" w:space="0"/>
        </w:rPr>
        <w:t>，其中澄迈福橙（CM）200 个（编号 CM-1 至 CM-200），琼中绿橙（QZ）200 个（编号 QZ-1 至 QZ-200）。所有样本在采集完成后统一编号、装箱，于低温条件下运输至实验室，并在 24 小时内完成光谱采集与化学指标检测，以最大程度减少样本在储存过程中的品质变化。</w:t>
      </w:r>
    </w:p>
    <w:p w14:paraId="3A638B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color w:val="000000"/>
          <w:sz w:val="14"/>
          <w:szCs w:val="14"/>
        </w:rPr>
      </w:pPr>
      <w:r>
        <w:rPr>
          <w:rStyle w:val="8"/>
          <w:b/>
          <w:color w:val="000000"/>
          <w:sz w:val="14"/>
          <w:szCs w:val="14"/>
          <w:bdr w:val="none" w:color="auto" w:sz="0" w:space="0"/>
        </w:rPr>
        <w:t>2.1.3 实验室样本处理流程</w:t>
      </w:r>
    </w:p>
    <w:p w14:paraId="3501EB1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样本抵达实验室后，按编号逐一进行标准化处理。光谱采集在前，化学检测在后，两项操作均针对同一果实个体进行，确保光谱数据与化学标签的严格对应关系。光谱采集完成后，将果实切开取汁，分别用于滴定法宏观指标检测（糖度、酸度、糖酸比、VC 含量）以及液质联用（LC-MS）精细成分分析（糖组分、有机酸、氨基酸共 36 项）。液质检测中每个样本设置 A、B 两个平行样，以两次测定均值作为最终化学标签值，以提高标签的准确性与稳定性。</w:t>
      </w:r>
    </w:p>
    <w:p w14:paraId="28B44C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2.2 多仪器光谱采集方案</w:t>
      </w:r>
    </w:p>
    <w:p w14:paraId="75D282C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为从不同波段维度全面表征柑橘果实的内部品质信息，本研究构建了三仪器协同采集方案，分别使用</w:t>
      </w:r>
      <w:r>
        <w:rPr>
          <w:rStyle w:val="8"/>
          <w:color w:val="000000"/>
          <w:bdr w:val="none" w:color="auto" w:sz="0" w:space="0"/>
        </w:rPr>
        <w:t>HSI高光谱成像仪</w:t>
      </w:r>
      <w:r>
        <w:rPr>
          <w:color w:val="000000"/>
          <w:bdr w:val="none" w:color="auto" w:sz="0" w:space="0"/>
        </w:rPr>
        <w:t>、</w:t>
      </w:r>
      <w:r>
        <w:rPr>
          <w:rStyle w:val="8"/>
          <w:color w:val="000000"/>
          <w:bdr w:val="none" w:color="auto" w:sz="0" w:space="0"/>
        </w:rPr>
        <w:t>R210近红外光谱仪</w:t>
      </w:r>
      <w:r>
        <w:rPr>
          <w:color w:val="000000"/>
          <w:bdr w:val="none" w:color="auto" w:sz="0" w:space="0"/>
        </w:rPr>
        <w:t>与</w:t>
      </w:r>
      <w:r>
        <w:rPr>
          <w:rStyle w:val="8"/>
          <w:color w:val="000000"/>
          <w:bdr w:val="none" w:color="auto" w:sz="0" w:space="0"/>
        </w:rPr>
        <w:t>S960紫外-近红外光谱仪</w:t>
      </w:r>
      <w:r>
        <w:rPr>
          <w:color w:val="000000"/>
          <w:bdr w:val="none" w:color="auto" w:sz="0" w:space="0"/>
        </w:rPr>
        <w:t>对同一批样本进行光谱采集，实现从紫外至短波近红外（189 ~ 1701 nm）的超宽谱段全覆盖。三套仪器在波段范围、空间分辨率与信噪比特性上各有侧重，形成互补，为后续多源数据融合建模提供了坚实的数据基础。</w:t>
      </w:r>
    </w:p>
    <w:p w14:paraId="4B3CA4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color w:val="000000"/>
          <w:sz w:val="14"/>
          <w:szCs w:val="14"/>
        </w:rPr>
      </w:pPr>
      <w:r>
        <w:rPr>
          <w:rStyle w:val="8"/>
          <w:b/>
          <w:color w:val="000000"/>
          <w:sz w:val="14"/>
          <w:szCs w:val="14"/>
          <w:bdr w:val="none" w:color="auto" w:sz="0" w:space="0"/>
        </w:rPr>
        <w:t>2.2.1 HSI 高光谱成像仪</w:t>
      </w:r>
    </w:p>
    <w:p w14:paraId="5B02464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 xml:space="preserve">HSI高光谱成像仪采集波段范围为 </w:t>
      </w:r>
      <w:r>
        <w:rPr>
          <w:rStyle w:val="8"/>
          <w:color w:val="000000"/>
          <w:bdr w:val="none" w:color="auto" w:sz="0" w:space="0"/>
        </w:rPr>
        <w:t>389.04 ~ 1030.58 nm</w:t>
      </w:r>
      <w:r>
        <w:rPr>
          <w:color w:val="000000"/>
          <w:bdr w:val="none" w:color="auto" w:sz="0" w:space="0"/>
        </w:rPr>
        <w:t xml:space="preserve">，共约 </w:t>
      </w:r>
      <w:r>
        <w:rPr>
          <w:rStyle w:val="8"/>
          <w:color w:val="000000"/>
          <w:bdr w:val="none" w:color="auto" w:sz="0" w:space="0"/>
        </w:rPr>
        <w:t>300 个连续光谱波段</w:t>
      </w:r>
      <w:r>
        <w:rPr>
          <w:color w:val="000000"/>
          <w:bdr w:val="none" w:color="auto" w:sz="0" w:space="0"/>
        </w:rPr>
        <w:t xml:space="preserve">，覆盖可见光至近红外过渡区域。该仪器以逐行推扫方式对果实表面成像，每个样本采集完成后提取果实赤道截面感兴趣区域（ROI）内所有像素点的光谱，取均值作为该样本的代表性光谱向量，以消除果实表面局部不均匀性对采集结果的影响。采集环境采用标准卤素光源照明，采集前以标准白板与黑板完成反射率校正，确保各样本间光谱数据的可比性。CM与QZ两个产地样本均完成全量采集，共获得有效高光谱数据 </w:t>
      </w:r>
      <w:r>
        <w:rPr>
          <w:rStyle w:val="8"/>
          <w:color w:val="000000"/>
          <w:bdr w:val="none" w:color="auto" w:sz="0" w:space="0"/>
        </w:rPr>
        <w:t>399 条</w:t>
      </w:r>
      <w:r>
        <w:rPr>
          <w:color w:val="000000"/>
          <w:bdr w:val="none" w:color="auto" w:sz="0" w:space="0"/>
        </w:rPr>
        <w:t>（其中 1 个样本因采集过程中存在明显异常，经核查后予以剔除）。</w:t>
      </w:r>
    </w:p>
    <w:p w14:paraId="0F5A18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color w:val="000000"/>
          <w:sz w:val="14"/>
          <w:szCs w:val="14"/>
        </w:rPr>
      </w:pPr>
      <w:r>
        <w:rPr>
          <w:rStyle w:val="8"/>
          <w:b/>
          <w:color w:val="000000"/>
          <w:sz w:val="14"/>
          <w:szCs w:val="14"/>
          <w:bdr w:val="none" w:color="auto" w:sz="0" w:space="0"/>
        </w:rPr>
        <w:t>2.2.2 R210 近红外光谱仪</w:t>
      </w:r>
    </w:p>
    <w:p w14:paraId="299291C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 xml:space="preserve">R210近红外光谱仪采集波段范围为 </w:t>
      </w:r>
      <w:r>
        <w:rPr>
          <w:rStyle w:val="8"/>
          <w:color w:val="000000"/>
          <w:bdr w:val="none" w:color="auto" w:sz="0" w:space="0"/>
        </w:rPr>
        <w:t>901.74 ~ 1701.25 nm</w:t>
      </w:r>
      <w:r>
        <w:rPr>
          <w:color w:val="000000"/>
          <w:bdr w:val="none" w:color="auto" w:sz="0" w:space="0"/>
        </w:rPr>
        <w:t xml:space="preserve">，共 </w:t>
      </w:r>
      <w:r>
        <w:rPr>
          <w:rStyle w:val="8"/>
          <w:color w:val="000000"/>
          <w:bdr w:val="none" w:color="auto" w:sz="0" w:space="0"/>
        </w:rPr>
        <w:t>228 个光谱波段</w:t>
      </w:r>
      <w:r>
        <w:rPr>
          <w:color w:val="000000"/>
          <w:bdr w:val="none" w:color="auto" w:sz="0" w:space="0"/>
        </w:rPr>
        <w:t xml:space="preserve">，重点覆盖近红外区域中与有机分子 C—H、O—H、N—H 等基团倍频和合频吸收密切相关的谱段，对糖度、酸度等主要品质指标具有较强的响应能力。采集时将仪器探头紧贴果实赤道部位表皮，以漫反射模式进行接触式测量，每个样本在赤道不同方位重复采集多次后取均值，以降低果皮厚度不均及局部组织差异带来的测量误差。CM与QZ两个产地样本均完成全量采集，共获得有效光谱数据 </w:t>
      </w:r>
      <w:r>
        <w:rPr>
          <w:rStyle w:val="8"/>
          <w:color w:val="000000"/>
          <w:bdr w:val="none" w:color="auto" w:sz="0" w:space="0"/>
        </w:rPr>
        <w:t>400 条</w:t>
      </w:r>
      <w:r>
        <w:rPr>
          <w:color w:val="000000"/>
          <w:bdr w:val="none" w:color="auto" w:sz="0" w:space="0"/>
        </w:rPr>
        <w:t>。</w:t>
      </w:r>
    </w:p>
    <w:p w14:paraId="6FBE5C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color w:val="000000"/>
          <w:sz w:val="14"/>
          <w:szCs w:val="14"/>
        </w:rPr>
      </w:pPr>
      <w:r>
        <w:rPr>
          <w:rStyle w:val="8"/>
          <w:b/>
          <w:color w:val="000000"/>
          <w:sz w:val="14"/>
          <w:szCs w:val="14"/>
          <w:bdr w:val="none" w:color="auto" w:sz="0" w:space="0"/>
        </w:rPr>
        <w:t>2.2.3 S960 紫外-近红外光谱仪</w:t>
      </w:r>
    </w:p>
    <w:p w14:paraId="12406F7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 xml:space="preserve">S960紫外-近红外光谱仪采集波段范围为 </w:t>
      </w:r>
      <w:r>
        <w:rPr>
          <w:rStyle w:val="8"/>
          <w:color w:val="000000"/>
          <w:bdr w:val="none" w:color="auto" w:sz="0" w:space="0"/>
        </w:rPr>
        <w:t>189.32 ~ 1099.97 nm</w:t>
      </w:r>
      <w:r>
        <w:rPr>
          <w:color w:val="000000"/>
          <w:bdr w:val="none" w:color="auto" w:sz="0" w:space="0"/>
        </w:rPr>
        <w:t xml:space="preserve">，共约 </w:t>
      </w:r>
      <w:r>
        <w:rPr>
          <w:rStyle w:val="8"/>
          <w:color w:val="000000"/>
          <w:bdr w:val="none" w:color="auto" w:sz="0" w:space="0"/>
        </w:rPr>
        <w:t>1365 个光谱波段</w:t>
      </w:r>
      <w:r>
        <w:rPr>
          <w:color w:val="000000"/>
          <w:bdr w:val="none" w:color="auto" w:sz="0" w:space="0"/>
        </w:rPr>
        <w:t>，是三套仪器中波段数量最多、短波端延伸最深的仪器，能够捕捉到紫外至可见光区域内与花青素、类黄酮、叶绿素等色素类成分相关的特征吸收信息。采集方式与R210相同，采用漫反射接触式测量。需要说明的是，由于仪器自身硬件限制，</w:t>
      </w:r>
      <w:r>
        <w:rPr>
          <w:rStyle w:val="8"/>
          <w:color w:val="000000"/>
          <w:bdr w:val="none" w:color="auto" w:sz="0" w:space="0"/>
        </w:rPr>
        <w:t>CM样本的部分波段在采集过程中存在数据缺失</w:t>
      </w:r>
      <w:r>
        <w:rPr>
          <w:color w:val="000000"/>
          <w:bdr w:val="none" w:color="auto" w:sz="0" w:space="0"/>
        </w:rPr>
        <w:t xml:space="preserve">，已在数据整理阶段完成缺失波段的标记与对齐处理（见文件"S960 CM1-200 去波段对齐"），后续建模时将对缺失波段进行相应的掩码处理。QZ样本数据采集完整，无缺失情况。CM与QZ合计获得有效光谱数据 </w:t>
      </w:r>
      <w:r>
        <w:rPr>
          <w:rStyle w:val="8"/>
          <w:color w:val="000000"/>
          <w:bdr w:val="none" w:color="auto" w:sz="0" w:space="0"/>
        </w:rPr>
        <w:t>400 条</w:t>
      </w:r>
      <w:r>
        <w:rPr>
          <w:color w:val="000000"/>
          <w:bdr w:val="none" w:color="auto" w:sz="0" w:space="0"/>
        </w:rPr>
        <w:t>。</w:t>
      </w:r>
    </w:p>
    <w:p w14:paraId="415FCD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color w:val="000000"/>
          <w:sz w:val="14"/>
          <w:szCs w:val="14"/>
        </w:rPr>
      </w:pPr>
      <w:r>
        <w:rPr>
          <w:rStyle w:val="8"/>
          <w:b/>
          <w:color w:val="000000"/>
          <w:sz w:val="14"/>
          <w:szCs w:val="14"/>
          <w:bdr w:val="none" w:color="auto" w:sz="0" w:space="0"/>
        </w:rPr>
        <w:t>2.2.4 三仪器采集方案汇总</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1694"/>
        <w:gridCol w:w="992"/>
        <w:gridCol w:w="1418"/>
        <w:gridCol w:w="1004"/>
        <w:gridCol w:w="1978"/>
      </w:tblGrid>
      <w:tr w14:paraId="02323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72E10258">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仪器</w:t>
            </w:r>
          </w:p>
        </w:tc>
        <w:tc>
          <w:tcPr>
            <w:tcW w:w="0" w:type="auto"/>
            <w:shd w:val="clear"/>
            <w:tcMar>
              <w:top w:w="80" w:type="dxa"/>
              <w:left w:w="160" w:type="dxa"/>
              <w:bottom w:w="80" w:type="dxa"/>
              <w:right w:w="160" w:type="dxa"/>
            </w:tcMar>
            <w:vAlign w:val="center"/>
          </w:tcPr>
          <w:p w14:paraId="2EFFEB9A">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波段范围</w:t>
            </w:r>
          </w:p>
        </w:tc>
        <w:tc>
          <w:tcPr>
            <w:tcW w:w="0" w:type="auto"/>
            <w:shd w:val="clear"/>
            <w:tcMar>
              <w:top w:w="80" w:type="dxa"/>
              <w:left w:w="160" w:type="dxa"/>
              <w:bottom w:w="80" w:type="dxa"/>
              <w:right w:w="160" w:type="dxa"/>
            </w:tcMar>
            <w:vAlign w:val="center"/>
          </w:tcPr>
          <w:p w14:paraId="0796600E">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波段数</w:t>
            </w:r>
          </w:p>
        </w:tc>
        <w:tc>
          <w:tcPr>
            <w:tcW w:w="0" w:type="auto"/>
            <w:shd w:val="clear"/>
            <w:tcMar>
              <w:top w:w="80" w:type="dxa"/>
              <w:left w:w="160" w:type="dxa"/>
              <w:bottom w:w="80" w:type="dxa"/>
              <w:right w:w="160" w:type="dxa"/>
            </w:tcMar>
            <w:vAlign w:val="center"/>
          </w:tcPr>
          <w:p w14:paraId="5B8460B3">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采集方式</w:t>
            </w:r>
          </w:p>
        </w:tc>
        <w:tc>
          <w:tcPr>
            <w:tcW w:w="0" w:type="auto"/>
            <w:shd w:val="clear"/>
            <w:tcMar>
              <w:top w:w="80" w:type="dxa"/>
              <w:left w:w="160" w:type="dxa"/>
              <w:bottom w:w="80" w:type="dxa"/>
              <w:right w:w="160" w:type="dxa"/>
            </w:tcMar>
            <w:vAlign w:val="center"/>
          </w:tcPr>
          <w:p w14:paraId="1B34DB52">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有效样本数</w:t>
            </w:r>
          </w:p>
        </w:tc>
        <w:tc>
          <w:tcPr>
            <w:tcW w:w="0" w:type="auto"/>
            <w:shd w:val="clear"/>
            <w:tcMar>
              <w:top w:w="80" w:type="dxa"/>
              <w:left w:w="160" w:type="dxa"/>
              <w:bottom w:w="80" w:type="dxa"/>
              <w:right w:w="160" w:type="dxa"/>
            </w:tcMar>
            <w:vAlign w:val="center"/>
          </w:tcPr>
          <w:p w14:paraId="1695A96B">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数据特点</w:t>
            </w:r>
          </w:p>
        </w:tc>
      </w:tr>
      <w:tr w14:paraId="3F8AC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32F7090C">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HSI 高光谱成像仪</w:t>
            </w:r>
          </w:p>
        </w:tc>
        <w:tc>
          <w:tcPr>
            <w:tcW w:w="0" w:type="auto"/>
            <w:shd w:val="clear"/>
            <w:tcMar>
              <w:top w:w="80" w:type="dxa"/>
              <w:left w:w="160" w:type="dxa"/>
              <w:bottom w:w="80" w:type="dxa"/>
              <w:right w:w="160" w:type="dxa"/>
            </w:tcMar>
            <w:vAlign w:val="center"/>
          </w:tcPr>
          <w:p w14:paraId="4E00492E">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389.04 ~ 1030.58 nm</w:t>
            </w:r>
          </w:p>
        </w:tc>
        <w:tc>
          <w:tcPr>
            <w:tcW w:w="0" w:type="auto"/>
            <w:shd w:val="clear"/>
            <w:tcMar>
              <w:top w:w="80" w:type="dxa"/>
              <w:left w:w="160" w:type="dxa"/>
              <w:bottom w:w="80" w:type="dxa"/>
              <w:right w:w="160" w:type="dxa"/>
            </w:tcMar>
            <w:vAlign w:val="center"/>
          </w:tcPr>
          <w:p w14:paraId="2966C222">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~300</w:t>
            </w:r>
          </w:p>
        </w:tc>
        <w:tc>
          <w:tcPr>
            <w:tcW w:w="0" w:type="auto"/>
            <w:shd w:val="clear"/>
            <w:tcMar>
              <w:top w:w="80" w:type="dxa"/>
              <w:left w:w="160" w:type="dxa"/>
              <w:bottom w:w="80" w:type="dxa"/>
              <w:right w:w="160" w:type="dxa"/>
            </w:tcMar>
            <w:vAlign w:val="center"/>
          </w:tcPr>
          <w:p w14:paraId="6757D529">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推扫成像，ROI 均值</w:t>
            </w:r>
          </w:p>
        </w:tc>
        <w:tc>
          <w:tcPr>
            <w:tcW w:w="0" w:type="auto"/>
            <w:shd w:val="clear"/>
            <w:tcMar>
              <w:top w:w="80" w:type="dxa"/>
              <w:left w:w="160" w:type="dxa"/>
              <w:bottom w:w="80" w:type="dxa"/>
              <w:right w:w="160" w:type="dxa"/>
            </w:tcMar>
            <w:vAlign w:val="center"/>
          </w:tcPr>
          <w:p w14:paraId="1868E561">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399</w:t>
            </w:r>
          </w:p>
        </w:tc>
        <w:tc>
          <w:tcPr>
            <w:tcW w:w="0" w:type="auto"/>
            <w:shd w:val="clear"/>
            <w:tcMar>
              <w:top w:w="80" w:type="dxa"/>
              <w:left w:w="160" w:type="dxa"/>
              <w:bottom w:w="80" w:type="dxa"/>
              <w:right w:w="160" w:type="dxa"/>
            </w:tcMar>
            <w:vAlign w:val="center"/>
          </w:tcPr>
          <w:p w14:paraId="4FAF476C">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兼具空间与光谱信息，可见-近红外</w:t>
            </w:r>
          </w:p>
        </w:tc>
      </w:tr>
      <w:tr w14:paraId="397E8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1B292505">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R210 近红外光谱仪</w:t>
            </w:r>
          </w:p>
        </w:tc>
        <w:tc>
          <w:tcPr>
            <w:tcW w:w="0" w:type="auto"/>
            <w:shd w:val="clear"/>
            <w:tcMar>
              <w:top w:w="80" w:type="dxa"/>
              <w:left w:w="160" w:type="dxa"/>
              <w:bottom w:w="80" w:type="dxa"/>
              <w:right w:w="160" w:type="dxa"/>
            </w:tcMar>
            <w:vAlign w:val="center"/>
          </w:tcPr>
          <w:p w14:paraId="0C5C07B7">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901.74 ~ 1701.25 nm</w:t>
            </w:r>
          </w:p>
        </w:tc>
        <w:tc>
          <w:tcPr>
            <w:tcW w:w="0" w:type="auto"/>
            <w:shd w:val="clear"/>
            <w:tcMar>
              <w:top w:w="80" w:type="dxa"/>
              <w:left w:w="160" w:type="dxa"/>
              <w:bottom w:w="80" w:type="dxa"/>
              <w:right w:w="160" w:type="dxa"/>
            </w:tcMar>
            <w:vAlign w:val="center"/>
          </w:tcPr>
          <w:p w14:paraId="6745C11A">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228</w:t>
            </w:r>
          </w:p>
        </w:tc>
        <w:tc>
          <w:tcPr>
            <w:tcW w:w="0" w:type="auto"/>
            <w:shd w:val="clear"/>
            <w:tcMar>
              <w:top w:w="80" w:type="dxa"/>
              <w:left w:w="160" w:type="dxa"/>
              <w:bottom w:w="80" w:type="dxa"/>
              <w:right w:w="160" w:type="dxa"/>
            </w:tcMar>
            <w:vAlign w:val="center"/>
          </w:tcPr>
          <w:p w14:paraId="596C8E1F">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漫反射接触式</w:t>
            </w:r>
          </w:p>
        </w:tc>
        <w:tc>
          <w:tcPr>
            <w:tcW w:w="0" w:type="auto"/>
            <w:shd w:val="clear"/>
            <w:tcMar>
              <w:top w:w="80" w:type="dxa"/>
              <w:left w:w="160" w:type="dxa"/>
              <w:bottom w:w="80" w:type="dxa"/>
              <w:right w:w="160" w:type="dxa"/>
            </w:tcMar>
            <w:vAlign w:val="center"/>
          </w:tcPr>
          <w:p w14:paraId="1020A754">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400</w:t>
            </w:r>
          </w:p>
        </w:tc>
        <w:tc>
          <w:tcPr>
            <w:tcW w:w="0" w:type="auto"/>
            <w:shd w:val="clear"/>
            <w:tcMar>
              <w:top w:w="80" w:type="dxa"/>
              <w:left w:w="160" w:type="dxa"/>
              <w:bottom w:w="80" w:type="dxa"/>
              <w:right w:w="160" w:type="dxa"/>
            </w:tcMar>
            <w:vAlign w:val="center"/>
          </w:tcPr>
          <w:p w14:paraId="05B09D2C">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近红外有机基团吸收区，信噪比高</w:t>
            </w:r>
          </w:p>
        </w:tc>
      </w:tr>
      <w:tr w14:paraId="29653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764F1792">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S960 紫外-近红外光谱仪</w:t>
            </w:r>
          </w:p>
        </w:tc>
        <w:tc>
          <w:tcPr>
            <w:tcW w:w="0" w:type="auto"/>
            <w:shd w:val="clear"/>
            <w:tcMar>
              <w:top w:w="80" w:type="dxa"/>
              <w:left w:w="160" w:type="dxa"/>
              <w:bottom w:w="80" w:type="dxa"/>
              <w:right w:w="160" w:type="dxa"/>
            </w:tcMar>
            <w:vAlign w:val="center"/>
          </w:tcPr>
          <w:p w14:paraId="2F763438">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189.32 ~ 1099.97 nm</w:t>
            </w:r>
          </w:p>
        </w:tc>
        <w:tc>
          <w:tcPr>
            <w:tcW w:w="0" w:type="auto"/>
            <w:shd w:val="clear"/>
            <w:tcMar>
              <w:top w:w="80" w:type="dxa"/>
              <w:left w:w="160" w:type="dxa"/>
              <w:bottom w:w="80" w:type="dxa"/>
              <w:right w:w="160" w:type="dxa"/>
            </w:tcMar>
            <w:vAlign w:val="center"/>
          </w:tcPr>
          <w:p w14:paraId="6DF4EBBC">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~1365</w:t>
            </w:r>
          </w:p>
        </w:tc>
        <w:tc>
          <w:tcPr>
            <w:tcW w:w="0" w:type="auto"/>
            <w:shd w:val="clear"/>
            <w:tcMar>
              <w:top w:w="80" w:type="dxa"/>
              <w:left w:w="160" w:type="dxa"/>
              <w:bottom w:w="80" w:type="dxa"/>
              <w:right w:w="160" w:type="dxa"/>
            </w:tcMar>
            <w:vAlign w:val="center"/>
          </w:tcPr>
          <w:p w14:paraId="1B2F022F">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漫反射接触式</w:t>
            </w:r>
          </w:p>
        </w:tc>
        <w:tc>
          <w:tcPr>
            <w:tcW w:w="0" w:type="auto"/>
            <w:shd w:val="clear"/>
            <w:tcMar>
              <w:top w:w="80" w:type="dxa"/>
              <w:left w:w="160" w:type="dxa"/>
              <w:bottom w:w="80" w:type="dxa"/>
              <w:right w:w="160" w:type="dxa"/>
            </w:tcMar>
            <w:vAlign w:val="center"/>
          </w:tcPr>
          <w:p w14:paraId="34294C71">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400</w:t>
            </w:r>
          </w:p>
        </w:tc>
        <w:tc>
          <w:tcPr>
            <w:tcW w:w="0" w:type="auto"/>
            <w:shd w:val="clear"/>
            <w:tcMar>
              <w:top w:w="80" w:type="dxa"/>
              <w:left w:w="160" w:type="dxa"/>
              <w:bottom w:w="80" w:type="dxa"/>
              <w:right w:w="160" w:type="dxa"/>
            </w:tcMar>
            <w:vAlign w:val="center"/>
          </w:tcPr>
          <w:p w14:paraId="5982A065">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谱段最宽，CM 数据含部分缺失波段</w:t>
            </w:r>
          </w:p>
        </w:tc>
      </w:tr>
    </w:tbl>
    <w:p w14:paraId="3D25FE4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三套仪器在波段上存在一定的重叠区域（约 389 ~ 1030 nm 与 901 ~ 1099 nm 段），这为后续多源光谱融合时的波段对齐与互校验提供了有利条件。全部光谱数据采集完成后，统一以样本编号为索引进行归档整理，与化学标签数据建立一一对应关系，形成完整的多模态数据集。</w:t>
      </w:r>
    </w:p>
    <w:p w14:paraId="102BF6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2.3 化学值参考标签体系</w:t>
      </w:r>
    </w:p>
    <w:p w14:paraId="4619C04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 xml:space="preserve">光谱数据本身不直接反映果实的内在品质，必须依托准确可靠的化学参考标签作为模型训练的监督信号。本研究建立了双层化学标签体系：第一层为滴定法测定的宏观品质指标，第二层为液质联用（LC-MS）测定的精细化学成分，共计 </w:t>
      </w:r>
      <w:r>
        <w:rPr>
          <w:rStyle w:val="8"/>
          <w:color w:val="000000"/>
          <w:bdr w:val="none" w:color="auto" w:sz="0" w:space="0"/>
        </w:rPr>
        <w:t>40 项化学指标</w:t>
      </w:r>
      <w:r>
        <w:rPr>
          <w:color w:val="000000"/>
          <w:bdr w:val="none" w:color="auto" w:sz="0" w:space="0"/>
        </w:rPr>
        <w:t>，为多任务回归建模提供了丰富的标签维度。</w:t>
      </w:r>
    </w:p>
    <w:p w14:paraId="0BC48D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color w:val="000000"/>
          <w:sz w:val="14"/>
          <w:szCs w:val="14"/>
        </w:rPr>
      </w:pPr>
      <w:r>
        <w:rPr>
          <w:rStyle w:val="8"/>
          <w:b/>
          <w:color w:val="000000"/>
          <w:sz w:val="14"/>
          <w:szCs w:val="14"/>
          <w:bdr w:val="none" w:color="auto" w:sz="0" w:space="0"/>
        </w:rPr>
        <w:t>2.3.1 滴定法宏观品质指标</w:t>
      </w:r>
    </w:p>
    <w:p w14:paraId="5B8322A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 xml:space="preserve">滴定法检测由海南省农业科学院分析测试中心负责完成，共测定 </w:t>
      </w:r>
      <w:r>
        <w:rPr>
          <w:rStyle w:val="8"/>
          <w:color w:val="000000"/>
          <w:bdr w:val="none" w:color="auto" w:sz="0" w:space="0"/>
        </w:rPr>
        <w:t>4 项宏观品质指标</w:t>
      </w:r>
      <w:r>
        <w:rPr>
          <w:color w:val="000000"/>
          <w:bdr w:val="none" w:color="auto" w:sz="0" w:space="0"/>
        </w:rPr>
        <w:t>，涵盖柑橘果实最基本的食用品质维度。糖度采用斐林试剂滴定法测定，单位为°Brix；酸度采用氢氧化钠标准溶液滴定法测定，结果以柠檬酸当量计，单位为 g/100 mL；糖酸比由糖度与酸度计算得出，为无量纲综合指标，直接反映果实的甜酸平衡特征；VC 含量采用 2,6-二氯靛酚滴定法测定，单位为 mg/100 mL，表征果实的营养价值。400 个样本全部完成滴定法检测，无缺失数据。</w:t>
      </w:r>
    </w:p>
    <w:p w14:paraId="0532957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上述 4 项指标是柑橘品质评价的核心常规参数，也是近红外光谱无损检测领域最具应用价值的预测目标，将作为后续建模的主要考核指标。</w:t>
      </w:r>
    </w:p>
    <w:p w14:paraId="6A86D1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color w:val="000000"/>
          <w:sz w:val="14"/>
          <w:szCs w:val="14"/>
        </w:rPr>
      </w:pPr>
      <w:r>
        <w:rPr>
          <w:rStyle w:val="8"/>
          <w:b/>
          <w:color w:val="000000"/>
          <w:sz w:val="14"/>
          <w:szCs w:val="14"/>
          <w:bdr w:val="none" w:color="auto" w:sz="0" w:space="0"/>
        </w:rPr>
        <w:t>2.3.2 液质联用精细成分指标</w:t>
      </w:r>
    </w:p>
    <w:p w14:paraId="71146A0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 xml:space="preserve">液质联用（LC-MS）检测由合作方实验室完成，共测定 </w:t>
      </w:r>
      <w:r>
        <w:rPr>
          <w:rStyle w:val="8"/>
          <w:color w:val="000000"/>
          <w:bdr w:val="none" w:color="auto" w:sz="0" w:space="0"/>
        </w:rPr>
        <w:t>36 项精细化学成分</w:t>
      </w:r>
      <w:r>
        <w:rPr>
          <w:color w:val="000000"/>
          <w:bdr w:val="none" w:color="auto" w:sz="0" w:space="0"/>
        </w:rPr>
        <w:t>，分为糖组分、有机酸和氨基酸三大类。</w:t>
      </w:r>
    </w:p>
    <w:p w14:paraId="3C84F7B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糖组分共 3 项，包括果糖（Fructose）、葡萄糖（Glucose）与蔗糖（Sucrose），三者构成柑橘可溶性糖的主要组成，与滴定法糖度指标形成成分级对应关系，可用于验证宏观指标与微观组分之间的定量一致性。</w:t>
      </w:r>
    </w:p>
    <w:p w14:paraId="2B432F5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有机酸共 9 项，包括柠檬酸（Citric acid）、苹果酸（Malic acid）、异柠檬酸（Isocitric acid）、奎宁酸（Quinic acid）、酒石酸（Tartaric acid）、抗坏血酸（Ascorbic acid）、富马酸（Fumaric acid）、琥珀酸（Succinic acid）与莽草酸（Shikimic acid）。柑橘以柠檬酸为主要积累有机酸，苹果酸次之，各有机酸组分的相对比例因品种与成熟度而异，是区分品种来源与成熟状态的重要化学特征。</w:t>
      </w:r>
    </w:p>
    <w:p w14:paraId="1A3B142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氨基酸共 21 项，涵盖蛋白质氨基酸及部分非蛋白质氨基酸（如 GABA），包括 Ala（丙氨酸）、Arg（精氨酸）、Asn（天冬酰胺）、Asp（天冬氨酸）、Glu（谷氨酸）、Gln（谷氨酰胺）、Gly（甘氨酸）、His（组氨酸）、Ile（异亮氨酸）、Leu（亮氨酸）、Lys（赖氨酸）、Met（甲硫氨酸）、Phe（苯丙氨酸）、Pro（脯氨酸）、Ser（丝氨酸）、Thr（苏氨酸）、Trp（色氨酸）、Tyr（酪氨酸）、Val（缬氨酸）、Cys（半胱氨酸）与 GABA（γ-氨基丁酸）。氨基酸组分与果实风味、营养品质及代谢状态密切相关，在光谱波段 N—H 基团的吸收区域具有潜在的光谱响应，为探索氨基酸的光谱无损检测可行性提供了标签基础。</w:t>
      </w:r>
    </w:p>
    <w:p w14:paraId="6C1D37E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color w:val="000000"/>
          <w:sz w:val="14"/>
          <w:szCs w:val="14"/>
        </w:rPr>
      </w:pPr>
      <w:r>
        <w:rPr>
          <w:rStyle w:val="8"/>
          <w:b/>
          <w:color w:val="000000"/>
          <w:sz w:val="14"/>
          <w:szCs w:val="14"/>
          <w:bdr w:val="none" w:color="auto" w:sz="0" w:space="0"/>
        </w:rPr>
        <w:t>2.3.3 平行样处理与标签标准化</w:t>
      </w:r>
    </w:p>
    <w:p w14:paraId="2DB4756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液质联用检测中，每个样本设置 A、B 两个独立平行样进行重复测定，以两次测定结果的算术平均值作为该样本的最终标签值：</w:t>
      </w:r>
    </w:p>
    <w:p w14:paraId="4733CC5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Labelfinal=ValueA+ValueB2\text{Label}_{\text{final}} = \frac{\text{Value}_A + \text{Value}_B}{2}Labelfinal​=2ValueA​+ValueB​​</w:t>
      </w:r>
    </w:p>
    <w:p w14:paraId="02E4CD7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平行样处理有效降低了单次测定的随机误差，提高了化学标签的稳定性与可靠性。对于平行样相对偏差超过 10% 的情况，进行复测确认后再取均值，确保标签质量满足建模要求。所有化学标签数据采集完成后，以样本编号为唯一索引建立标签数据库，与三套仪器的光谱数据进行逐样本关联对齐，形成完整的多模态数据集，为后续回归建模与成分反演研究提供可靠的监督信号。</w:t>
      </w:r>
    </w:p>
    <w:p w14:paraId="210415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80" w:afterAutospacing="0" w:line="260" w:lineRule="atLeast"/>
        <w:ind w:left="0" w:right="0"/>
        <w:rPr>
          <w:color w:val="000000"/>
          <w:sz w:val="16"/>
          <w:szCs w:val="16"/>
        </w:rPr>
      </w:pPr>
      <w:r>
        <w:rPr>
          <w:rStyle w:val="8"/>
          <w:b/>
          <w:color w:val="000000"/>
          <w:sz w:val="16"/>
          <w:szCs w:val="16"/>
          <w:bdr w:val="none" w:color="auto" w:sz="0" w:space="0"/>
        </w:rPr>
        <w:t>2.4 数据预处理</w:t>
      </w:r>
    </w:p>
    <w:p w14:paraId="54A785B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为保证后续多目标品质预测与产地溯源模型的可靠性与可比性，本研究对多源异构数据进行了系统化预处理。原始数据涵盖三类光谱数据（HSI、R210、S960）与两类理化指标数据（滴定法化验值、液质检测值）。由于不同仪器的波段范围、采样密度、数据格式及样本覆盖情况存在差异，需依次完成样本统一、异常剔除、重复样合并、波段对齐与基础光谱预处理，最终构建标准化建模数据集。</w:t>
      </w:r>
    </w:p>
    <w:p w14:paraId="141090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color w:val="000000"/>
          <w:sz w:val="14"/>
          <w:szCs w:val="14"/>
        </w:rPr>
      </w:pPr>
      <w:r>
        <w:rPr>
          <w:rStyle w:val="8"/>
          <w:b/>
          <w:color w:val="000000"/>
          <w:sz w:val="14"/>
          <w:szCs w:val="14"/>
          <w:bdr w:val="none" w:color="auto" w:sz="0" w:space="0"/>
        </w:rPr>
        <w:t>2.4.1 样本统一与主键标准化</w:t>
      </w:r>
    </w:p>
    <w:p w14:paraId="06235D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预处理的首要步骤是对所有数据文件中的样本编号进行统一规范，将不同来源表格中的样本标识全部映射为统一格式（如 CM-1、QZ-200），以确保多模态数据能够按样本严格一一对应。在此基础上建立全局样本索引表，对每个样本记录其产地来源及各模态数据的完整性状态。理论样本全集为 400 个，其中澄迈（CM）200 个、琼中（QZ）200 个。</w:t>
      </w:r>
    </w:p>
    <w:p w14:paraId="376A0F9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 xml:space="preserve">进一步核查发现，HSI 光谱数据与滴定法化验值均同步缺失样本 CM-34，表明该样本已在前期实验整理阶段被判定为异常并予以剔除。为保证后续各模态建模时样本集完全一致，将 CM-34 从分析集中排除，最终形成 </w:t>
      </w:r>
      <w:r>
        <w:rPr>
          <w:rStyle w:val="8"/>
          <w:color w:val="000000"/>
          <w:bdr w:val="none" w:color="auto" w:sz="0" w:space="0"/>
        </w:rPr>
        <w:t>399 个样本的主分析数据集</w:t>
      </w:r>
      <w:r>
        <w:rPr>
          <w:color w:val="000000"/>
          <w:bdr w:val="none" w:color="auto" w:sz="0" w:space="0"/>
        </w:rPr>
        <w:t>，作为后续全部建模与对比实验的统一输入基础。</w:t>
      </w:r>
    </w:p>
    <w:p w14:paraId="3AA26E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color w:val="000000"/>
          <w:sz w:val="14"/>
          <w:szCs w:val="14"/>
        </w:rPr>
      </w:pPr>
      <w:r>
        <w:rPr>
          <w:rStyle w:val="8"/>
          <w:b/>
          <w:color w:val="000000"/>
          <w:sz w:val="14"/>
          <w:szCs w:val="14"/>
          <w:bdr w:val="none" w:color="auto" w:sz="0" w:space="0"/>
        </w:rPr>
        <w:t>2.4.2 理化指标数据清洗与汇总</w:t>
      </w:r>
    </w:p>
    <w:p w14:paraId="480BB1B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rStyle w:val="8"/>
          <w:color w:val="000000"/>
          <w:bdr w:val="none" w:color="auto" w:sz="0" w:space="0"/>
        </w:rPr>
        <w:t>滴定法化验值处理</w:t>
      </w:r>
      <w:r>
        <w:rPr>
          <w:color w:val="000000"/>
          <w:bdr w:val="none" w:color="auto" w:sz="0" w:space="0"/>
        </w:rPr>
        <w:t>方面，原始数据包含糖度、酸度、糖酸比与 VC 含量 4 项核心品质指标，数据结构规整、无重复记录。预处理主要完成字段名称标准化、样本编号映射至全局主键体系及排序对齐，最终得到 399 个样本对应的标准化品质目标表（399×4）。</w:t>
      </w:r>
    </w:p>
    <w:p w14:paraId="1DA8DE2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rStyle w:val="8"/>
          <w:color w:val="000000"/>
          <w:bdr w:val="none" w:color="auto" w:sz="0" w:space="0"/>
        </w:rPr>
        <w:t>液质检测数据处理</w:t>
      </w:r>
      <w:r>
        <w:rPr>
          <w:color w:val="000000"/>
          <w:bdr w:val="none" w:color="auto" w:sz="0" w:space="0"/>
        </w:rPr>
        <w:t>方面，原始数据包含糖组分、有机酸与氨基酸共 36 项成分指标，每个样本设有 A、B 两个平行重复，原始记录共 800 条。预处理时首先将原始编号解析为"样本编号 + 重复编号"结构，对每个样本的平行样进行一致性核查，确认每个样本均严格对应一组 A/B 重复后，以算术平均值作为各指标的最终测定值。同步计算平行样间的平均绝对差、最大差值与平均变异系数等质量控制指标，用于评估实验重复性。经汇总，液质数据由 800 条重复观测记录压缩为 399 个样本级记录（399×36），与主分析数据集严格对齐。</w:t>
      </w:r>
    </w:p>
    <w:p w14:paraId="455F5D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color w:val="000000"/>
          <w:sz w:val="14"/>
          <w:szCs w:val="14"/>
        </w:rPr>
      </w:pPr>
      <w:r>
        <w:rPr>
          <w:rStyle w:val="8"/>
          <w:b/>
          <w:color w:val="000000"/>
          <w:sz w:val="14"/>
          <w:szCs w:val="14"/>
          <w:bdr w:val="none" w:color="auto" w:sz="0" w:space="0"/>
        </w:rPr>
        <w:t>2.4.3 三类光谱数据标准化处理</w:t>
      </w:r>
    </w:p>
    <w:p w14:paraId="216DAE4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rStyle w:val="8"/>
          <w:color w:val="000000"/>
          <w:bdr w:val="none" w:color="auto" w:sz="0" w:space="0"/>
        </w:rPr>
        <w:t>HSI 高光谱数据</w:t>
      </w:r>
      <w:r>
        <w:rPr>
          <w:color w:val="000000"/>
          <w:bdr w:val="none" w:color="auto" w:sz="0" w:space="0"/>
        </w:rPr>
        <w:t>覆盖 389.04~1030.58 nm，共 300 个波段。预处理时分别读取澄迈与琼中样本数据，依据统一样本编号合并，并对波段列进行标准化命名与排序，最终得到 399 个样本、300 个波段的 HSI 标准光谱表（399×300）。</w:t>
      </w:r>
    </w:p>
    <w:p w14:paraId="1C633B8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rStyle w:val="8"/>
          <w:color w:val="000000"/>
          <w:bdr w:val="none" w:color="auto" w:sz="0" w:space="0"/>
        </w:rPr>
        <w:t>R210 近红外光谱数据</w:t>
      </w:r>
      <w:r>
        <w:rPr>
          <w:color w:val="000000"/>
          <w:bdr w:val="none" w:color="auto" w:sz="0" w:space="0"/>
        </w:rPr>
        <w:t>覆盖 901.74~1701.25 nm，共 228 个波段。预处理流程与 HSI 类似，包括样本编号清洗、波段列标准化、数值化转换与两产地数据拼接，最终形成 399 个样本、228 个波段的标准化近红外光谱数据表（399×228）。</w:t>
      </w:r>
    </w:p>
    <w:p w14:paraId="48A8B1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rStyle w:val="8"/>
          <w:color w:val="000000"/>
          <w:bdr w:val="none" w:color="auto" w:sz="0" w:space="0"/>
        </w:rPr>
        <w:t>S960 光谱数据</w:t>
      </w:r>
      <w:r>
        <w:rPr>
          <w:color w:val="000000"/>
          <w:bdr w:val="none" w:color="auto" w:sz="0" w:space="0"/>
        </w:rPr>
        <w:t>覆盖 189.32~1099.97 nm，是三套仪器中预处理难度最高的数据集。由于仪器采集问题，澄迈样本存在部分波段缺失，同时两产地数据在波段命名精度上存在细微差异。对此，首先将所有波段列统一转换为数值型波长表示，通过容差匹配方式消除浮点精度差异导致的"同一波段不同命名"问题；随后对澄迈与琼中数据进行真实波长对齐，识别出琼中存在而澄迈缺失的 50 个波段。在此基础上，构建了两个版本的 S960 数据集：</w:t>
      </w:r>
      <w:r>
        <w:rPr>
          <w:rStyle w:val="8"/>
          <w:color w:val="000000"/>
          <w:bdr w:val="none" w:color="auto" w:sz="0" w:space="0"/>
        </w:rPr>
        <w:t>公共波段版</w:t>
      </w:r>
      <w:r>
        <w:rPr>
          <w:color w:val="000000"/>
          <w:bdr w:val="none" w:color="auto" w:sz="0" w:space="0"/>
        </w:rPr>
        <w:t>仅保留两地样本均存在的有效波段，用于构建稳健基线模型；</w:t>
      </w:r>
      <w:r>
        <w:rPr>
          <w:rStyle w:val="8"/>
          <w:color w:val="000000"/>
          <w:bdr w:val="none" w:color="auto" w:sz="0" w:space="0"/>
        </w:rPr>
        <w:t>插值实验版</w:t>
      </w:r>
      <w:r>
        <w:rPr>
          <w:color w:val="000000"/>
          <w:bdr w:val="none" w:color="auto" w:sz="0" w:space="0"/>
        </w:rPr>
        <w:t>将插值目标网格限制在澄迈已有有效波段的覆盖范围内，对缺失波段进行区间内插值补全，避免外推造成的伪信号。两个版本均包含 399 个样本、1402 个波段特征（399×1402），分别适用于保守建模与增强建模对比实验。</w:t>
      </w:r>
    </w:p>
    <w:p w14:paraId="4638B0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color w:val="000000"/>
          <w:sz w:val="14"/>
          <w:szCs w:val="14"/>
        </w:rPr>
      </w:pPr>
      <w:r>
        <w:rPr>
          <w:rStyle w:val="8"/>
          <w:b/>
          <w:color w:val="000000"/>
          <w:sz w:val="14"/>
          <w:szCs w:val="14"/>
          <w:bdr w:val="none" w:color="auto" w:sz="0" w:space="0"/>
        </w:rPr>
        <w:t>2.4.4 基础光谱预处理</w:t>
      </w:r>
    </w:p>
    <w:p w14:paraId="30B5ED3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在完成原始光谱对齐后，针对 HSI、R210 与 S960 三类光谱数据，进一步构建可直接用于建模的基础预处理版本，采用以下标准处理策略：</w:t>
      </w:r>
    </w:p>
    <w:p w14:paraId="7E3074A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hanging="360"/>
        <w:rPr>
          <w:color w:val="000000"/>
        </w:rPr>
      </w:pPr>
      <w:r>
        <w:rPr>
          <w:rStyle w:val="8"/>
          <w:color w:val="000000"/>
          <w:bdr w:val="none" w:color="auto" w:sz="0" w:space="0"/>
        </w:rPr>
        <w:t>Savitzky–Golay（SG）平滑</w:t>
      </w:r>
      <w:r>
        <w:rPr>
          <w:color w:val="000000"/>
          <w:bdr w:val="none" w:color="auto" w:sz="0" w:space="0"/>
        </w:rPr>
        <w:t>：用于抑制光谱采集过程中的随机噪声，平滑波形变化趋势，同时保留光谱峰形的基本轮廓；</w:t>
      </w:r>
    </w:p>
    <w:p w14:paraId="6565EE1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hanging="360"/>
        <w:rPr>
          <w:color w:val="000000"/>
        </w:rPr>
      </w:pPr>
      <w:r>
        <w:rPr>
          <w:rStyle w:val="8"/>
          <w:color w:val="000000"/>
          <w:bdr w:val="none" w:color="auto" w:sz="0" w:space="0"/>
        </w:rPr>
        <w:t>SNV（标准正态变换）​</w:t>
      </w:r>
      <w:r>
        <w:rPr>
          <w:color w:val="000000"/>
          <w:bdr w:val="none" w:color="auto" w:sz="0" w:space="0"/>
        </w:rPr>
        <w:t>：对每条光谱进行零均值单位方差归一化，消除样本间由散射效应引起的整体偏移与尺度差异；</w:t>
      </w:r>
    </w:p>
    <w:p w14:paraId="116DCE7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hanging="360"/>
        <w:rPr>
          <w:color w:val="000000"/>
        </w:rPr>
      </w:pPr>
      <w:r>
        <w:rPr>
          <w:rStyle w:val="8"/>
          <w:color w:val="000000"/>
          <w:bdr w:val="none" w:color="auto" w:sz="0" w:space="0"/>
        </w:rPr>
        <w:t>MSC（多元散射校正）​</w:t>
      </w:r>
      <w:r>
        <w:rPr>
          <w:color w:val="000000"/>
          <w:bdr w:val="none" w:color="auto" w:sz="0" w:space="0"/>
        </w:rPr>
        <w:t>：以全体样本均值光谱为参考，校正由颗粒状态与表面特性差异造成的散射影响。</w:t>
      </w:r>
    </w:p>
    <w:p w14:paraId="264EBD7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每类光谱数据均按</w:t>
      </w:r>
      <w:r>
        <w:rPr>
          <w:rStyle w:val="8"/>
          <w:color w:val="000000"/>
          <w:bdr w:val="none" w:color="auto" w:sz="0" w:space="0"/>
        </w:rPr>
        <w:t>原始对齐版</w:t>
      </w:r>
      <w:r>
        <w:rPr>
          <w:color w:val="000000"/>
          <w:bdr w:val="none" w:color="auto" w:sz="0" w:space="0"/>
        </w:rPr>
        <w:t>（raw aligned）与</w:t>
      </w:r>
      <w:r>
        <w:rPr>
          <w:rStyle w:val="8"/>
          <w:color w:val="000000"/>
          <w:bdr w:val="none" w:color="auto" w:sz="0" w:space="0"/>
        </w:rPr>
        <w:t>基础建模版</w:t>
      </w:r>
      <w:r>
        <w:rPr>
          <w:color w:val="000000"/>
          <w:bdr w:val="none" w:color="auto" w:sz="0" w:space="0"/>
        </w:rPr>
        <w:t>（SG+SNV、SG+MSC）两层结构分别保存，既保证原始信息的可追溯性，又便于后续开展不同预处理方案的消融对比实验。</w:t>
      </w:r>
    </w:p>
    <w:p w14:paraId="3EE888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color w:val="000000"/>
          <w:sz w:val="14"/>
          <w:szCs w:val="14"/>
        </w:rPr>
      </w:pPr>
      <w:r>
        <w:rPr>
          <w:rStyle w:val="8"/>
          <w:b/>
          <w:color w:val="000000"/>
          <w:sz w:val="14"/>
          <w:szCs w:val="14"/>
          <w:bdr w:val="none" w:color="auto" w:sz="0" w:space="0"/>
        </w:rPr>
        <w:t>2.4.5 多模态融合数据构建</w:t>
      </w:r>
    </w:p>
    <w:p w14:paraId="1B99F67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为支撑后续"单仪器建模"与"多仪器融合建模"的系统对比，在完成单仪器数据清洗后，以 399 个样本的统一主分析集为基础，通过样本编号严格一对一对齐，构建了以下多种融合数据集：HSI+R210 双仪器融合、HSI+S960 双仪器融合、R210+S960 双仪器融合，以及 HSI+R210+S960 三仪器全融合。同时保留了不同仪器在重叠波段区间内的交集版数据，用于研究多仪器间的互补性与冗余性。最终，三仪器全融合表包含 399 个样本、</w:t>
      </w:r>
      <w:r>
        <w:rPr>
          <w:rStyle w:val="8"/>
          <w:color w:val="000000"/>
          <w:bdr w:val="none" w:color="auto" w:sz="0" w:space="0"/>
        </w:rPr>
        <w:t>1930 个特征变量</w:t>
      </w:r>
      <w:r>
        <w:rPr>
          <w:color w:val="000000"/>
          <w:bdr w:val="none" w:color="auto" w:sz="0" w:space="0"/>
        </w:rPr>
        <w:t>（399×1930），可直接作为后续多模态品质预测与产地溯源模型的输入数据。</w:t>
      </w:r>
    </w:p>
    <w:p w14:paraId="08C568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240" w:lineRule="atLeast"/>
        <w:ind w:left="0" w:right="0"/>
        <w:rPr>
          <w:color w:val="000000"/>
          <w:sz w:val="14"/>
          <w:szCs w:val="14"/>
        </w:rPr>
      </w:pPr>
      <w:r>
        <w:rPr>
          <w:rStyle w:val="8"/>
          <w:b/>
          <w:color w:val="000000"/>
          <w:sz w:val="14"/>
          <w:szCs w:val="14"/>
          <w:bdr w:val="none" w:color="auto" w:sz="0" w:space="0"/>
        </w:rPr>
        <w:t>2.4.6 预处理结果汇总</w:t>
      </w:r>
    </w:p>
    <w:p w14:paraId="6DF5A59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经过上述处理，本研究最终形成一套结构统一、样本一致、可直接用于建模的标准化数据资产，核心数据集规格如下表所示。</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85"/>
        <w:gridCol w:w="1070"/>
        <w:gridCol w:w="1310"/>
        <w:gridCol w:w="3005"/>
      </w:tblGrid>
      <w:tr w14:paraId="171C6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498F6C6C">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数据集名称</w:t>
            </w:r>
          </w:p>
        </w:tc>
        <w:tc>
          <w:tcPr>
            <w:tcW w:w="0" w:type="auto"/>
            <w:shd w:val="clear"/>
            <w:tcMar>
              <w:top w:w="80" w:type="dxa"/>
              <w:left w:w="160" w:type="dxa"/>
              <w:bottom w:w="80" w:type="dxa"/>
              <w:right w:w="160" w:type="dxa"/>
            </w:tcMar>
            <w:vAlign w:val="center"/>
          </w:tcPr>
          <w:p w14:paraId="1E9E879C">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样本数</w:t>
            </w:r>
          </w:p>
        </w:tc>
        <w:tc>
          <w:tcPr>
            <w:tcW w:w="0" w:type="auto"/>
            <w:shd w:val="clear"/>
            <w:tcMar>
              <w:top w:w="80" w:type="dxa"/>
              <w:left w:w="160" w:type="dxa"/>
              <w:bottom w:w="80" w:type="dxa"/>
              <w:right w:w="160" w:type="dxa"/>
            </w:tcMar>
            <w:vAlign w:val="center"/>
          </w:tcPr>
          <w:p w14:paraId="3A5C433E">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特征维度</w:t>
            </w:r>
          </w:p>
        </w:tc>
        <w:tc>
          <w:tcPr>
            <w:tcW w:w="0" w:type="auto"/>
            <w:shd w:val="clear"/>
            <w:tcMar>
              <w:top w:w="80" w:type="dxa"/>
              <w:left w:w="160" w:type="dxa"/>
              <w:bottom w:w="80" w:type="dxa"/>
              <w:right w:w="160" w:type="dxa"/>
            </w:tcMar>
            <w:vAlign w:val="center"/>
          </w:tcPr>
          <w:p w14:paraId="10DB7811">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说明</w:t>
            </w:r>
          </w:p>
        </w:tc>
      </w:tr>
      <w:tr w14:paraId="5C882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132813DF">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滴定法品质目标表</w:t>
            </w:r>
          </w:p>
        </w:tc>
        <w:tc>
          <w:tcPr>
            <w:tcW w:w="0" w:type="auto"/>
            <w:shd w:val="clear"/>
            <w:tcMar>
              <w:top w:w="80" w:type="dxa"/>
              <w:left w:w="160" w:type="dxa"/>
              <w:bottom w:w="80" w:type="dxa"/>
              <w:right w:w="160" w:type="dxa"/>
            </w:tcMar>
            <w:vAlign w:val="center"/>
          </w:tcPr>
          <w:p w14:paraId="2AC9846B">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399</w:t>
            </w:r>
          </w:p>
        </w:tc>
        <w:tc>
          <w:tcPr>
            <w:tcW w:w="0" w:type="auto"/>
            <w:shd w:val="clear"/>
            <w:tcMar>
              <w:top w:w="80" w:type="dxa"/>
              <w:left w:w="160" w:type="dxa"/>
              <w:bottom w:w="80" w:type="dxa"/>
              <w:right w:w="160" w:type="dxa"/>
            </w:tcMar>
            <w:vAlign w:val="center"/>
          </w:tcPr>
          <w:p w14:paraId="061ED5B8">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4</w:t>
            </w:r>
          </w:p>
        </w:tc>
        <w:tc>
          <w:tcPr>
            <w:tcW w:w="0" w:type="auto"/>
            <w:shd w:val="clear"/>
            <w:tcMar>
              <w:top w:w="80" w:type="dxa"/>
              <w:left w:w="160" w:type="dxa"/>
              <w:bottom w:w="80" w:type="dxa"/>
              <w:right w:w="160" w:type="dxa"/>
            </w:tcMar>
            <w:vAlign w:val="center"/>
          </w:tcPr>
          <w:p w14:paraId="7ECF6FC8">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糖度、酸度、糖酸比、VC</w:t>
            </w:r>
          </w:p>
        </w:tc>
      </w:tr>
      <w:tr w14:paraId="36DD3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403F2C5B">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液质样本级目标表</w:t>
            </w:r>
          </w:p>
        </w:tc>
        <w:tc>
          <w:tcPr>
            <w:tcW w:w="0" w:type="auto"/>
            <w:shd w:val="clear"/>
            <w:tcMar>
              <w:top w:w="80" w:type="dxa"/>
              <w:left w:w="160" w:type="dxa"/>
              <w:bottom w:w="80" w:type="dxa"/>
              <w:right w:w="160" w:type="dxa"/>
            </w:tcMar>
            <w:vAlign w:val="center"/>
          </w:tcPr>
          <w:p w14:paraId="135503E6">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399</w:t>
            </w:r>
          </w:p>
        </w:tc>
        <w:tc>
          <w:tcPr>
            <w:tcW w:w="0" w:type="auto"/>
            <w:shd w:val="clear"/>
            <w:tcMar>
              <w:top w:w="80" w:type="dxa"/>
              <w:left w:w="160" w:type="dxa"/>
              <w:bottom w:w="80" w:type="dxa"/>
              <w:right w:w="160" w:type="dxa"/>
            </w:tcMar>
            <w:vAlign w:val="center"/>
          </w:tcPr>
          <w:p w14:paraId="245DF005">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36</w:t>
            </w:r>
          </w:p>
        </w:tc>
        <w:tc>
          <w:tcPr>
            <w:tcW w:w="0" w:type="auto"/>
            <w:shd w:val="clear"/>
            <w:tcMar>
              <w:top w:w="80" w:type="dxa"/>
              <w:left w:w="160" w:type="dxa"/>
              <w:bottom w:w="80" w:type="dxa"/>
              <w:right w:w="160" w:type="dxa"/>
            </w:tcMar>
            <w:vAlign w:val="center"/>
          </w:tcPr>
          <w:p w14:paraId="72DB90A6">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糖组分、有机酸、氨基酸</w:t>
            </w:r>
          </w:p>
        </w:tc>
      </w:tr>
      <w:tr w14:paraId="38EC2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33C19A59">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HSI 光谱表</w:t>
            </w:r>
          </w:p>
        </w:tc>
        <w:tc>
          <w:tcPr>
            <w:tcW w:w="0" w:type="auto"/>
            <w:shd w:val="clear"/>
            <w:tcMar>
              <w:top w:w="80" w:type="dxa"/>
              <w:left w:w="160" w:type="dxa"/>
              <w:bottom w:w="80" w:type="dxa"/>
              <w:right w:w="160" w:type="dxa"/>
            </w:tcMar>
            <w:vAlign w:val="center"/>
          </w:tcPr>
          <w:p w14:paraId="7274CF1C">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399</w:t>
            </w:r>
          </w:p>
        </w:tc>
        <w:tc>
          <w:tcPr>
            <w:tcW w:w="0" w:type="auto"/>
            <w:shd w:val="clear"/>
            <w:tcMar>
              <w:top w:w="80" w:type="dxa"/>
              <w:left w:w="160" w:type="dxa"/>
              <w:bottom w:w="80" w:type="dxa"/>
              <w:right w:w="160" w:type="dxa"/>
            </w:tcMar>
            <w:vAlign w:val="center"/>
          </w:tcPr>
          <w:p w14:paraId="610DC275">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300</w:t>
            </w:r>
          </w:p>
        </w:tc>
        <w:tc>
          <w:tcPr>
            <w:tcW w:w="0" w:type="auto"/>
            <w:shd w:val="clear"/>
            <w:tcMar>
              <w:top w:w="80" w:type="dxa"/>
              <w:left w:w="160" w:type="dxa"/>
              <w:bottom w:w="80" w:type="dxa"/>
              <w:right w:w="160" w:type="dxa"/>
            </w:tcMar>
            <w:vAlign w:val="center"/>
          </w:tcPr>
          <w:p w14:paraId="10729C96">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389~1031 nm</w:t>
            </w:r>
          </w:p>
        </w:tc>
      </w:tr>
      <w:tr w14:paraId="7B2BE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28713443">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R210 光谱表</w:t>
            </w:r>
          </w:p>
        </w:tc>
        <w:tc>
          <w:tcPr>
            <w:tcW w:w="0" w:type="auto"/>
            <w:shd w:val="clear"/>
            <w:tcMar>
              <w:top w:w="80" w:type="dxa"/>
              <w:left w:w="160" w:type="dxa"/>
              <w:bottom w:w="80" w:type="dxa"/>
              <w:right w:w="160" w:type="dxa"/>
            </w:tcMar>
            <w:vAlign w:val="center"/>
          </w:tcPr>
          <w:p w14:paraId="211E6ED1">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399</w:t>
            </w:r>
          </w:p>
        </w:tc>
        <w:tc>
          <w:tcPr>
            <w:tcW w:w="0" w:type="auto"/>
            <w:shd w:val="clear"/>
            <w:tcMar>
              <w:top w:w="80" w:type="dxa"/>
              <w:left w:w="160" w:type="dxa"/>
              <w:bottom w:w="80" w:type="dxa"/>
              <w:right w:w="160" w:type="dxa"/>
            </w:tcMar>
            <w:vAlign w:val="center"/>
          </w:tcPr>
          <w:p w14:paraId="26F1233E">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228</w:t>
            </w:r>
          </w:p>
        </w:tc>
        <w:tc>
          <w:tcPr>
            <w:tcW w:w="0" w:type="auto"/>
            <w:shd w:val="clear"/>
            <w:tcMar>
              <w:top w:w="80" w:type="dxa"/>
              <w:left w:w="160" w:type="dxa"/>
              <w:bottom w:w="80" w:type="dxa"/>
              <w:right w:w="160" w:type="dxa"/>
            </w:tcMar>
            <w:vAlign w:val="center"/>
          </w:tcPr>
          <w:p w14:paraId="3D67F370">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902~1701 nm</w:t>
            </w:r>
          </w:p>
        </w:tc>
      </w:tr>
      <w:tr w14:paraId="5D3D0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73E9E4CA">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S960 公共波段表</w:t>
            </w:r>
          </w:p>
        </w:tc>
        <w:tc>
          <w:tcPr>
            <w:tcW w:w="0" w:type="auto"/>
            <w:shd w:val="clear"/>
            <w:tcMar>
              <w:top w:w="80" w:type="dxa"/>
              <w:left w:w="160" w:type="dxa"/>
              <w:bottom w:w="80" w:type="dxa"/>
              <w:right w:w="160" w:type="dxa"/>
            </w:tcMar>
            <w:vAlign w:val="center"/>
          </w:tcPr>
          <w:p w14:paraId="6401BA6E">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399</w:t>
            </w:r>
          </w:p>
        </w:tc>
        <w:tc>
          <w:tcPr>
            <w:tcW w:w="0" w:type="auto"/>
            <w:shd w:val="clear"/>
            <w:tcMar>
              <w:top w:w="80" w:type="dxa"/>
              <w:left w:w="160" w:type="dxa"/>
              <w:bottom w:w="80" w:type="dxa"/>
              <w:right w:w="160" w:type="dxa"/>
            </w:tcMar>
            <w:vAlign w:val="center"/>
          </w:tcPr>
          <w:p w14:paraId="4AAF771B">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1402</w:t>
            </w:r>
          </w:p>
        </w:tc>
        <w:tc>
          <w:tcPr>
            <w:tcW w:w="0" w:type="auto"/>
            <w:shd w:val="clear"/>
            <w:tcMar>
              <w:top w:w="80" w:type="dxa"/>
              <w:left w:w="160" w:type="dxa"/>
              <w:bottom w:w="80" w:type="dxa"/>
              <w:right w:w="160" w:type="dxa"/>
            </w:tcMar>
            <w:vAlign w:val="center"/>
          </w:tcPr>
          <w:p w14:paraId="6F43ABEF">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189~1100 nm，保守版</w:t>
            </w:r>
          </w:p>
        </w:tc>
      </w:tr>
      <w:tr w14:paraId="0DAD0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42D81EA2">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S960 插值实验表</w:t>
            </w:r>
          </w:p>
        </w:tc>
        <w:tc>
          <w:tcPr>
            <w:tcW w:w="0" w:type="auto"/>
            <w:shd w:val="clear"/>
            <w:tcMar>
              <w:top w:w="80" w:type="dxa"/>
              <w:left w:w="160" w:type="dxa"/>
              <w:bottom w:w="80" w:type="dxa"/>
              <w:right w:w="160" w:type="dxa"/>
            </w:tcMar>
            <w:vAlign w:val="center"/>
          </w:tcPr>
          <w:p w14:paraId="2486A9FD">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399</w:t>
            </w:r>
          </w:p>
        </w:tc>
        <w:tc>
          <w:tcPr>
            <w:tcW w:w="0" w:type="auto"/>
            <w:shd w:val="clear"/>
            <w:tcMar>
              <w:top w:w="80" w:type="dxa"/>
              <w:left w:w="160" w:type="dxa"/>
              <w:bottom w:w="80" w:type="dxa"/>
              <w:right w:w="160" w:type="dxa"/>
            </w:tcMar>
            <w:vAlign w:val="center"/>
          </w:tcPr>
          <w:p w14:paraId="099AE45C">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1402</w:t>
            </w:r>
          </w:p>
        </w:tc>
        <w:tc>
          <w:tcPr>
            <w:tcW w:w="0" w:type="auto"/>
            <w:shd w:val="clear"/>
            <w:tcMar>
              <w:top w:w="80" w:type="dxa"/>
              <w:left w:w="160" w:type="dxa"/>
              <w:bottom w:w="80" w:type="dxa"/>
              <w:right w:w="160" w:type="dxa"/>
            </w:tcMar>
            <w:vAlign w:val="center"/>
          </w:tcPr>
          <w:p w14:paraId="7EF2FD24">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189~1100 nm，增强版</w:t>
            </w:r>
          </w:p>
        </w:tc>
      </w:tr>
      <w:tr w14:paraId="77A3E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035E4CDC">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三仪器全融合表</w:t>
            </w:r>
          </w:p>
        </w:tc>
        <w:tc>
          <w:tcPr>
            <w:tcW w:w="0" w:type="auto"/>
            <w:shd w:val="clear"/>
            <w:tcMar>
              <w:top w:w="80" w:type="dxa"/>
              <w:left w:w="160" w:type="dxa"/>
              <w:bottom w:w="80" w:type="dxa"/>
              <w:right w:w="160" w:type="dxa"/>
            </w:tcMar>
            <w:vAlign w:val="center"/>
          </w:tcPr>
          <w:p w14:paraId="1E2114C9">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399</w:t>
            </w:r>
          </w:p>
        </w:tc>
        <w:tc>
          <w:tcPr>
            <w:tcW w:w="0" w:type="auto"/>
            <w:shd w:val="clear"/>
            <w:tcMar>
              <w:top w:w="80" w:type="dxa"/>
              <w:left w:w="160" w:type="dxa"/>
              <w:bottom w:w="80" w:type="dxa"/>
              <w:right w:w="160" w:type="dxa"/>
            </w:tcMar>
            <w:vAlign w:val="center"/>
          </w:tcPr>
          <w:p w14:paraId="42642D48">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1930</w:t>
            </w:r>
          </w:p>
        </w:tc>
        <w:tc>
          <w:tcPr>
            <w:tcW w:w="0" w:type="auto"/>
            <w:shd w:val="clear"/>
            <w:tcMar>
              <w:top w:w="80" w:type="dxa"/>
              <w:left w:w="160" w:type="dxa"/>
              <w:bottom w:w="80" w:type="dxa"/>
              <w:right w:w="160" w:type="dxa"/>
            </w:tcMar>
            <w:vAlign w:val="center"/>
          </w:tcPr>
          <w:p w14:paraId="585FB70E">
            <w:pPr>
              <w:keepNext w:val="0"/>
              <w:keepLines w:val="0"/>
              <w:widowControl/>
              <w:suppressLineNumbers w:val="0"/>
              <w:jc w:val="left"/>
              <w:rPr>
                <w:color w:val="000000"/>
              </w:rPr>
            </w:pPr>
            <w:r>
              <w:rPr>
                <w:rFonts w:ascii="宋体" w:hAnsi="宋体" w:eastAsia="宋体" w:cs="宋体"/>
                <w:color w:val="000000"/>
                <w:kern w:val="0"/>
                <w:sz w:val="24"/>
                <w:szCs w:val="24"/>
                <w:bdr w:val="none" w:color="auto" w:sz="0" w:space="0"/>
                <w:lang w:val="en-US" w:eastAsia="zh-CN" w:bidi="ar"/>
              </w:rPr>
              <w:t>HSI+R210+S960</w:t>
            </w:r>
          </w:p>
        </w:tc>
      </w:tr>
    </w:tbl>
    <w:p w14:paraId="34A2AC8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80" w:afterAutospacing="0"/>
        <w:ind w:left="0" w:right="0"/>
        <w:rPr>
          <w:color w:val="000000"/>
        </w:rPr>
      </w:pPr>
      <w:r>
        <w:rPr>
          <w:color w:val="000000"/>
          <w:bdr w:val="none" w:color="auto" w:sz="0" w:space="0"/>
        </w:rPr>
        <w:t>此外，项目还保留了平行样重复性质控表、波段缺失报告与输出表汇总清单等中间结果文件，确保整个数据预处理流程具有良好的可追溯性与可复现性。</w:t>
      </w:r>
    </w:p>
    <w:p w14:paraId="02594BF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3D2181"/>
    <w:multiLevelType w:val="multilevel"/>
    <w:tmpl w:val="E63D21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EC92A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8</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2026-04-07T12:36:07Z</dcterms:created>
  <dc:creator>psy19</dc:creator>
  <cp:lastModifiedBy>狗勾</cp:lastModifiedBy>
  <dcterms:modified xsi:type="dcterms:W3CDTF">2026-04-07T12:44:57Z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eyJoZGlkIjoiNzY3NzhhZWIwMTZkZTMwNzg3NDdlY2UwNjJlOWExYTAiLCJ1c2VySWQiOiIxNDcyMTAxMzMyIn0=</vt:lpwstr>
  </property>
  <property fmtid="{D5CDD505-2E9C-101B-9397-08002B2CF9AE}" pid="4" name="ICV">
    <vt:lpwstr>BF2DF0F1DAF34F9E9FFC06668165EAE8_12</vt:lpwstr>
  </property>
</Properties>
</file>