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bc8aabf8f24f31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d559b5c469e9404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3000"/>
      </w:pPr>
      <w:r/>
    </w:p>
    <w:p>
      <w:pPr>
        <w:spacing w:after="200"/>
        <w:jc w:val="center"/>
      </w:pPr>
      <w:r>
        <w:rPr>
          <w:rFonts w:eastAsia="SimHei"/>
          <w:color w:val="FFFFFF"/>
          <w:sz w:val="36"/>
        </w:rPr>
        <w:t>2025年（第18届）中国大学生计算机设计大赛</w:t>
      </w:r>
    </w:p>
    <w:p>
      <w:pPr>
        <w:spacing w:after="600"/>
        <w:jc w:val="center"/>
      </w:pPr>
      <w:r>
        <w:rPr>
          <w:color w:val="BEE3F8"/>
          <w:sz w:val="28"/>
        </w:rPr>
        <w:t>大数据实践赛作品报告</w:t>
      </w:r>
    </w:p>
    <w:p>
      <w:pPr>
        <w:spacing w:after="200"/>
        <w:jc w:val="center"/>
      </w:pPr>
      <w:r>
        <w:rPr>
          <w:rFonts w:eastAsia="SimHei"/>
          <w:color w:val="FFFFFF"/>
          <w:sz w:val="44"/>
        </w:rPr>
        <w:t>橙源智鉴</w:t>
      </w:r>
    </w:p>
    <w:p>
      <w:pPr>
        <w:spacing w:after="800"/>
        <w:jc w:val="center"/>
      </w:pPr>
      <w:r>
        <w:rPr>
          <w:color w:val="BEE3F8"/>
          <w:sz w:val="24"/>
        </w:rPr>
        <w:t>基于多模态光谱融合的海南柑橘品质智能检测与产地溯源系统</w:t>
      </w:r>
    </w:p>
    <w:p>
      <w:pPr>
        <w:spacing w:after="120"/>
        <w:jc w:val="center"/>
      </w:pPr>
      <w:r>
        <w:rPr>
          <w:color w:val="FFFFFF"/>
          <w:sz w:val="21"/>
        </w:rPr>
        <w:t>作品编号：____________________</w:t>
      </w:r>
    </w:p>
    <w:p>
      <w:pPr>
        <w:jc w:val="center"/>
      </w:pPr>
      <w:r>
        <w:rPr>
          <w:color w:val="FFFFFF"/>
          <w:sz w:val="21"/>
        </w:rPr>
        <w:t>填写日期：2026年4月10日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目录</w:t>
      </w:r>
      <w:bookmarkEnd w:id="0"/>
    </w:p>
    <w:p>
      <w:pPr>
        <w:spacing w:after="300"/>
      </w:pPr>
      <w:r>
        <w:rPr>
          <w:color w:val="718096"/>
          <w:sz w:val="18"/>
        </w:rPr>
        <w:t>（提示：首次打开请右键点击目录，选择“更新域”刷新页码）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项目概述</w:t>
      </w:r>
      <w:r>
        <w:tab/>
      </w:r>
      <w:r>
        <w:t>1</w:t>
      </w:r>
    </w:p>
    <w:p>
      <w:pPr>
        <w:pStyle w:val="TOC2"/>
      </w:pPr>
      <w:r>
        <w:t>1.1 项目背景与意义</w:t>
      </w:r>
      <w:r>
        <w:tab/>
      </w:r>
      <w:r>
        <w:t>1</w:t>
      </w:r>
    </w:p>
    <w:p>
      <w:pPr>
        <w:pStyle w:val="TOC2"/>
      </w:pPr>
      <w:r>
        <w:t>1.2 面向对象与应用价值</w:t>
      </w:r>
      <w:r>
        <w:tab/>
      </w:r>
      <w:r>
        <w:t>2</w:t>
      </w:r>
    </w:p>
    <w:p>
      <w:pPr>
        <w:pStyle w:val="TOC2"/>
      </w:pPr>
      <w:r>
        <w:t>1.3 项目组成与主要功能</w:t>
      </w:r>
      <w:r>
        <w:tab/>
      </w:r>
      <w:r>
        <w:t>3</w:t>
      </w:r>
    </w:p>
    <w:p>
      <w:pPr>
        <w:pStyle w:val="TOC1"/>
      </w:pPr>
      <w:r>
        <w:t>第二章 问题分析</w:t>
      </w:r>
      <w:r>
        <w:tab/>
      </w:r>
      <w:r>
        <w:t>5</w:t>
      </w:r>
    </w:p>
    <w:p>
      <w:pPr>
        <w:pStyle w:val="TOC2"/>
      </w:pPr>
      <w:r>
        <w:t>2.1 行业现状与问题来源</w:t>
      </w:r>
      <w:r>
        <w:tab/>
      </w:r>
      <w:r>
        <w:t>5</w:t>
      </w:r>
    </w:p>
    <w:p>
      <w:pPr>
        <w:pStyle w:val="TOC2"/>
      </w:pPr>
      <w:r>
        <w:t>2.2 现有解决方案对比</w:t>
      </w:r>
      <w:r>
        <w:tab/>
      </w:r>
      <w:r>
        <w:t>6</w:t>
      </w:r>
    </w:p>
    <w:p>
      <w:pPr>
        <w:pStyle w:val="TOC2"/>
      </w:pPr>
      <w:r>
        <w:t>2.3 核心痛点问题</w:t>
      </w:r>
      <w:r>
        <w:tab/>
      </w:r>
      <w:r>
        <w:t>7</w:t>
      </w:r>
    </w:p>
    <w:p>
      <w:pPr>
        <w:pStyle w:val="TOC1"/>
      </w:pPr>
      <w:r>
        <w:t>第三章 技术方案</w:t>
      </w:r>
      <w:r>
        <w:tab/>
      </w:r>
      <w:r>
        <w:t>9</w:t>
      </w:r>
    </w:p>
    <w:p>
      <w:pPr>
        <w:pStyle w:val="TOC2"/>
      </w:pPr>
      <w:r>
        <w:t>3.1 总体技术路线</w:t>
      </w:r>
      <w:r>
        <w:tab/>
      </w:r>
      <w:r>
        <w:t>9</w:t>
      </w:r>
    </w:p>
    <w:p>
      <w:pPr>
        <w:pStyle w:val="TOC2"/>
      </w:pPr>
      <w:r>
        <w:t>3.2 数据治理方案</w:t>
      </w:r>
      <w:r>
        <w:tab/>
      </w:r>
      <w:r>
        <w:t>10</w:t>
      </w:r>
    </w:p>
    <w:p>
      <w:pPr>
        <w:pStyle w:val="TOC2"/>
      </w:pPr>
      <w:r>
        <w:t>3.3 模型与关键方法</w:t>
      </w:r>
      <w:r>
        <w:tab/>
      </w:r>
      <w:r>
        <w:t>11</w:t>
      </w:r>
    </w:p>
    <w:p>
      <w:pPr>
        <w:pStyle w:val="TOC1"/>
      </w:pPr>
      <w:r>
        <w:t>第四章 系统实现</w:t>
      </w:r>
      <w:r>
        <w:tab/>
      </w:r>
      <w:r>
        <w:t>13</w:t>
      </w:r>
    </w:p>
    <w:p>
      <w:pPr>
        <w:pStyle w:val="TOC2"/>
      </w:pPr>
      <w:r>
        <w:t>4.1 系统架构设计</w:t>
      </w:r>
      <w:r>
        <w:tab/>
      </w:r>
      <w:r>
        <w:t>13</w:t>
      </w:r>
    </w:p>
    <w:p>
      <w:pPr>
        <w:pStyle w:val="TOC2"/>
      </w:pPr>
      <w:r>
        <w:t>4.2 关键难点与解决方案</w:t>
      </w:r>
      <w:r>
        <w:tab/>
      </w:r>
      <w:r>
        <w:t>14</w:t>
      </w:r>
    </w:p>
    <w:p>
      <w:pPr>
        <w:pStyle w:val="TOC1"/>
      </w:pPr>
      <w:r>
        <w:t>第五章 测试分析</w:t>
      </w:r>
      <w:r>
        <w:tab/>
      </w:r>
      <w:r>
        <w:t>16</w:t>
      </w:r>
    </w:p>
    <w:p>
      <w:pPr>
        <w:pStyle w:val="TOC2"/>
      </w:pPr>
      <w:r>
        <w:t>5.1 测试环境与设置</w:t>
      </w:r>
      <w:r>
        <w:tab/>
      </w:r>
      <w:r>
        <w:t>16</w:t>
      </w:r>
    </w:p>
    <w:p>
      <w:pPr>
        <w:pStyle w:val="TOC2"/>
      </w:pPr>
      <w:r>
        <w:t>5.2 实验结果与分析</w:t>
      </w:r>
      <w:r>
        <w:tab/>
      </w:r>
      <w:r>
        <w:t>17</w:t>
      </w:r>
    </w:p>
    <w:p>
      <w:pPr>
        <w:pStyle w:val="TOC1"/>
      </w:pPr>
      <w:r>
        <w:t>第六章 项目总结</w:t>
      </w:r>
      <w:r>
        <w:tab/>
      </w:r>
      <w:r>
        <w:t>20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_Toc001" w:id="001"/>
      <w:r>
        <w:t>第一章 项目概述</w:t>
      </w:r>
      <w:bookmarkEnd w:id="001"/>
    </w:p>
    <w:p>
      <w:pPr>
        <w:pStyle w:val="Heading2"/>
      </w:pPr>
      <w:r>
        <w:t>1.1 项目背景与意义</w:t>
      </w:r>
    </w:p>
    <w:p>
      <w:r>
        <w:t>柑橘是我国重要的经济作物，2024年中国柑橘总产量达6433.8万吨，占全球总产量的32.5%，市场规模预计达2530亿元。在海南，澄迈福橙和琼中绿橙作为地理标志产品，分别于2012年和2006年获得国家地理标志证明商标，2021年澄迈福橙品牌价值达1.53亿元。然而，随着柑橘产业进入品牌化和区域化发展阶段，传统依赖经验判断的品质检测与产地辨识方式已难以满足现代流通、展示和验货环节的需求。</w:t>
      </w:r>
    </w:p>
    <w:p>
      <w:r>
        <w:t>近红外光谱技术作为一种快速、无损、高效的分析技术，已被广泛应用于农产品品质检测领域。研究表明，结合深度学习算法的可见/近红外光谱设备在水果品质评估中表现出色，可实现糖度、酸度、维生素C等内部品质的精准预测，以及产地溯源的高精度识别。本项目正是基于这一技术背景，围绕海南特色柑橘开展多模态光谱融合的智能检测与产地溯源研究。</w:t>
      </w:r>
    </w:p>
    <w:p>
      <w:pPr>
        <w:pStyle w:val="Heading2"/>
      </w:pPr>
      <w:r>
        <w:t>1.2 面向对象与应用价值</w:t>
      </w:r>
    </w:p>
    <w:p>
      <w:r>
        <w:t>本项目主要面向果园与合作社、产地质检与分选环节、品牌展示与渠道验货场景，以及教学与科研演示场景。具体应用价值如下表所示：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200"/>
        <w:gridCol w:w="36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应用场景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关注内容</w:t>
            </w:r>
          </w:p>
        </w:tc>
        <w:tc>
          <w:tcPr>
            <w:tcW w:w="3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项目输出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果园与合作社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批次登记、初步分级、样本留档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样本信息、品质结果、历史记录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质检与分选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产地核验、糖度判断、成分说明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分析结果页、对比结果、批次报告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品牌展示与验货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产地说明、品质说明、结果留存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正式中文报告、可回看记录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教学与科研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数据治理、任务对比、结果展示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多任务实验结果与系统演示</w:t>
            </w:r>
          </w:p>
        </w:tc>
      </w:tr>
    </w:tbl>
    <w:p>
      <w:pPr>
        <w:pStyle w:val="Caption"/>
      </w:pPr>
      <w:r>
        <w:t>表1-1 项目主要服务场景与应用价值</w:t>
      </w:r>
    </w:p>
    <w:p>
      <w:pPr>
        <w:pStyle w:val="Heading2"/>
      </w:pPr>
      <w:r>
        <w:t>1.3 项目组成与主要功能</w:t>
      </w:r>
    </w:p>
    <w:p>
      <w:r>
        <w:t>本项目由网页端、移动端、分析支撑层和结果输出模块四部分组成，形成覆盖样本录入、分析处理、结果展示、报告输出的完整链路。截至2026年4月，项目已完成9个网页主要页面、11个移动端功能页面，并形成20项核心能力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4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模块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主要内容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完成情况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网页端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首页、分析页、数据总览、历史页等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已完成9个主要页面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移动端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上传、查询、分析、报告查看等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已完成11个功能页面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分析支撑层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样本、文件、分析、结果等流程组织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已形成20项核心能力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结果输出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历史归档、正式报告、中文结果整理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已支持结构化结果输出</w:t>
            </w:r>
          </w:p>
        </w:tc>
      </w:tr>
    </w:tbl>
    <w:p>
      <w:pPr>
        <w:pStyle w:val="Caption"/>
      </w:pPr>
      <w:r>
        <w:t>表1-2 项目组成与完成情况</w:t>
      </w:r>
    </w:p>
    <w:p>
      <w:r>
        <w:br w:type="page"/>
      </w:r>
    </w:p>
    <w:p>
      <w:pPr>
        <w:pStyle w:val="Heading1"/>
      </w:pPr>
      <w:bookmarkStart w:name="_Toc002" w:id="002"/>
      <w:r>
        <w:t>第二章 问题分析</w:t>
      </w:r>
      <w:bookmarkEnd w:id="002"/>
    </w:p>
    <w:p>
      <w:pPr>
        <w:pStyle w:val="Heading2"/>
      </w:pPr>
      <w:r>
        <w:t>2.1 行业现状与问题来源</w:t>
      </w:r>
    </w:p>
    <w:p>
      <w:r>
        <w:t>海南柑橘产业在品牌建设方面取得了显著成就，但在品质检测与产地溯源环节仍面临诸多挑战。传统做法将样本登记、理化检测、光谱分析和报告整理分散在不同环节和人员手中，导致信息难以统一对齐，检测结果难以转化为稳定的使用价值。</w:t>
      </w:r>
    </w:p>
    <w:p>
      <w:r>
        <w:t>澄迈福橙和琼中绿橙作为海南柑橘的代表性品种，具有较强的地域品牌属性和可量化的理化成分差异，适合作为数据实践项目的研究对象。围绕这两类柑橘，本项目需要解决从样本整理、数据建模、结果比较到报告输出的整条链路问题。</w:t>
      </w:r>
    </w:p>
    <w:p>
      <w:pPr>
        <w:pStyle w:val="Heading2"/>
      </w:pPr>
      <w:r>
        <w:t>2.2 现有解决方案对比</w:t>
      </w:r>
    </w:p>
    <w:p>
      <w:r>
        <w:t>围绕果品产地识别和品质检测，现有技术路线主要分为三类：人工经验与理化检测、单一光谱建模研究、以及展示或管理系统。各类方案的对比分析如下：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2200"/>
        <w:gridCol w:w="2200"/>
        <w:gridCol w:w="26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解决路线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优势</w:t>
            </w:r>
          </w:p>
        </w:tc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局限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本项目对应处理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人工经验与理化检测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指标直观，便于小规模判断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周期长，信息分散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保留理化标签，引入统一管理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单一光谱建模研究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单项任务有效，方法成熟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任务分离，结果难统一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围绕同一主表组织多任务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展示或管理系统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页面完整，适合演示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与实验数据联系不紧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将实验、展示、报告统一</w:t>
            </w:r>
          </w:p>
        </w:tc>
      </w:tr>
    </w:tbl>
    <w:p>
      <w:pPr>
        <w:pStyle w:val="Caption"/>
      </w:pPr>
      <w:r>
        <w:t>表2-1 现有解决方案对比分析</w:t>
      </w:r>
    </w:p>
    <w:p>
      <w:pPr>
        <w:pStyle w:val="Heading2"/>
      </w:pPr>
      <w:r>
        <w:t>2.3 核心痛点问题</w:t>
      </w:r>
    </w:p>
    <w:p>
      <w:r>
        <w:t>基于前述分析，本项目聚焦以下四个核心痛点问题：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800"/>
        <w:gridCol w:w="30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痛点</w:t>
            </w:r>
          </w:p>
        </w:tc>
        <w:tc>
          <w:tcPr>
            <w:tcW w:w="3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具体表现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比赛展示影响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数据底座不统一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样本、标签、光谱分散在不同文件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结果难以统一叙事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异常模态干扰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HSI存在跨产地同编号完全重复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影响建模可信度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多任务结果割裂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产地、品质、成分结论分开陈列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难以体现整体价值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结果表达不足</w:t>
            </w:r>
          </w:p>
        </w:tc>
        <w:tc>
          <w:tcPr>
            <w:tcW w:w="3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缺少面向展示和归档的正式文本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演示停留在数值层面</w:t>
            </w:r>
          </w:p>
        </w:tc>
      </w:tr>
    </w:tbl>
    <w:p>
      <w:pPr>
        <w:pStyle w:val="Caption"/>
      </w:pPr>
      <w:r>
        <w:t>表2-2 本项目聚焦的核心痛点</w:t>
      </w:r>
    </w:p>
    <w:p>
      <w:r>
        <w:br w:type="page"/>
      </w:r>
    </w:p>
    <w:p>
      <w:pPr>
        <w:pStyle w:val="Heading1"/>
      </w:pPr>
      <w:bookmarkStart w:name="_Toc003" w:id="003"/>
      <w:r>
        <w:t>第三章 技术方案</w:t>
      </w:r>
      <w:bookmarkEnd w:id="003"/>
    </w:p>
    <w:p>
      <w:pPr>
        <w:pStyle w:val="Heading2"/>
      </w:pPr>
      <w:r>
        <w:t>3.1 总体技术路线</w:t>
      </w:r>
    </w:p>
    <w:p>
      <w:r>
        <w:t>本项目的技术路线按照“样本治理—任务建模—结果组织—系统呈现”四个阶段推进。首先完成数据清洗、异常排查和主表重建，再组织产地溯源、品质预测和液质成分预测三类实验，随后将结果回连到样本编号，最后在网页端、移动端和正式报告中统一呈现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4000"/>
        <w:gridCol w:w="3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阶段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核心工作</w:t>
            </w:r>
          </w:p>
        </w:tc>
        <w:tc>
          <w:tcPr>
            <w:tcW w:w="3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产出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阶段一：样本治理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清洗原始数据、排查异常模态、完成对齐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安全主表与统一样本体系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阶段二：任务建模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组织产地、品质、液质成分三类实验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多任务测试结果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阶段三：结果组织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把结果回连到样本编号和批次信息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结构化结果说明与历史记录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阶段四：系统呈现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在网页端与移动端完成展示和查询</w:t>
            </w:r>
          </w:p>
        </w:tc>
        <w:tc>
          <w:tcPr>
            <w:tcW w:w="3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比赛可演示的项目形态</w:t>
            </w:r>
          </w:p>
        </w:tc>
      </w:tr>
    </w:tbl>
    <w:p>
      <w:pPr>
        <w:pStyle w:val="Caption"/>
      </w:pPr>
      <w:r>
        <w:t>表3-1 总体技术路线</w:t>
      </w:r>
    </w:p>
    <w:p>
      <w:pPr>
        <w:pStyle w:val="Heading2"/>
      </w:pPr>
      <w:r>
        <w:t>3.2 数据治理方案</w:t>
      </w:r>
    </w:p>
    <w:p>
      <w:r>
        <w:t>项目原始数据由滴定法指标、液质成分和多模态光谱三部分组成。在数据治理过程中，发现HSI数据中存在199对跨产地同编号完全重复样本，无法作为正式跨产地实验依据；S960两地产地原始波段数量不同，琼中样本较澄迈多出50个尾部波段。项目据此剔除HSI，保留R210与S960双光谱作为正式建模基础，并重建安全主表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400"/>
        <w:gridCol w:w="3200"/>
        <w:gridCol w:w="34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治理项</w:t>
            </w:r>
          </w:p>
        </w:tc>
        <w:tc>
          <w:tcPr>
            <w:tcW w:w="3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结果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作用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HSI异常排查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识别199对跨产地完全重复样本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排除异常模态对正式实验的干扰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正式建模主表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399个安全样本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作为三类任务的唯一正式主表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S960波段对齐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1402个共同波段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保证两地产地数据可直接比较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统一样本划分</w:t>
            </w:r>
          </w:p>
        </w:tc>
        <w:tc>
          <w:tcPr>
            <w:tcW w:w="32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279/60/60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保证多任务结果可在同一框架下解释</w:t>
            </w:r>
          </w:p>
        </w:tc>
      </w:tr>
    </w:tbl>
    <w:p>
      <w:pPr>
        <w:pStyle w:val="Caption"/>
      </w:pPr>
      <w:r>
        <w:t>表3-2 数据治理要点</w:t>
      </w:r>
    </w:p>
    <w:p>
      <w:pPr>
        <w:pStyle w:val="Heading2"/>
      </w:pPr>
      <w:r>
        <w:t>3.3 模型与关键方法</w:t>
      </w:r>
    </w:p>
    <w:p>
      <w:r>
        <w:t>三类任务采用统一主表、分任务建模的方式推进。产地溯源任务以分类模型为主，重点比较单光谱与双光谱方案的区分效果；品质预测任务以回归模型为主，围绕糖度、糖酸比、VC等指标展开；液质成分预测任务引入SNV预处理、PCA降维和参数搜索以提升整体表现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800"/>
        <w:gridCol w:w="2600"/>
        <w:gridCol w:w="2600"/>
        <w:gridCol w:w="2000"/>
      </w:tblGrid>
      <w:tr>
        <w:trPr>
          <w:tblHeader/>
          <w:trHeight w:val="400" w:hRule="atLeast"/>
        </w:trPr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任务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输入与标签</w:t>
            </w:r>
          </w:p>
        </w:tc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主要方法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关注重点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产地溯源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双光谱特征+origin标签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逻辑回归、线性SVM、集成模型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单光谱与双光谱区分效果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品质预测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双光谱特征+糖度/糖酸比/VC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岭回归、PLS回归等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最具代表性的品质指标</w:t>
            </w:r>
          </w:p>
        </w:tc>
      </w:tr>
      <w:tr>
        <w:trPr>
          <w:trHeight w:val="360" w:hRule="atLeast"/>
        </w:trPr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液质成分预测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双光谱特征+36项液质标签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基线回归+SNV+PCA+参数搜索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多目标任务整体平均表现</w:t>
            </w:r>
          </w:p>
        </w:tc>
      </w:tr>
    </w:tbl>
    <w:p>
      <w:pPr>
        <w:pStyle w:val="Caption"/>
      </w:pPr>
      <w:r>
        <w:t>表3-3 三类任务技术安排</w:t>
      </w:r>
    </w:p>
    <w:p>
      <w:r>
        <w:br w:type="page"/>
      </w:r>
    </w:p>
    <w:p>
      <w:pPr>
        <w:pStyle w:val="Heading1"/>
      </w:pPr>
      <w:bookmarkStart w:name="_Toc004" w:id="004"/>
      <w:r>
        <w:t>第四章 系统实现</w:t>
      </w:r>
      <w:bookmarkEnd w:id="004"/>
    </w:p>
    <w:p>
      <w:pPr>
        <w:pStyle w:val="Heading2"/>
      </w:pPr>
      <w:r>
        <w:t>4.1 系统架构设计</w:t>
      </w:r>
    </w:p>
    <w:p>
      <w:r>
        <w:t>展示端分为网页端和移动端两部分。网页端放置首页、数据总览、分析页、历史页等主要页面，用于集中展示样本规模、实验结果和项目成果；移动端放置上传、分析、查询、报告查看等页面，用于样本录入和结果回看。两端围绕同一套样本与结果组织，入口不同，结果口径一致。</w:t>
      </w:r>
    </w:p>
    <w:p>
      <w:r>
        <w:t>系统流程按照样本录入、文件接收、任务处理、结果整理、历史归档五个环节展开。样本进入系统后先绑定编号和批次信息，再进入分析流程；分析完成后，结果围绕该样本编号回写到结果页和历史页；报告模块从结构化结果中抽取产地、品质和重点成分信息，生成正式文本。</w:t>
      </w:r>
    </w:p>
    <w:p>
      <w:pPr>
        <w:pStyle w:val="Heading2"/>
      </w:pPr>
      <w:r>
        <w:t>4.2 关键难点与解决方案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200"/>
        <w:gridCol w:w="3400"/>
        <w:gridCol w:w="3400"/>
      </w:tblGrid>
      <w:tr>
        <w:trPr>
          <w:tblHeader/>
          <w:trHeight w:val="400" w:hRule="atLeast"/>
        </w:trPr>
        <w:tc>
          <w:tcPr>
            <w:tcW w:w="22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难点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具体表现</w:t>
            </w:r>
          </w:p>
        </w:tc>
        <w:tc>
          <w:tcPr>
            <w:tcW w:w="3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解决方法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异常模态干扰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HSI出现跨产地同编号完全重复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剔除HSI，重建双光谱安全主表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波段口径不统一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S960两地产地原始波段数量不同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统一裁剪为共同波段对齐表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多任务结果分散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分类、回归、成分结果来源不同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围绕样本编号统一页面和报告</w:t>
            </w:r>
          </w:p>
        </w:tc>
      </w:tr>
      <w:tr>
        <w:trPr>
          <w:trHeight w:val="360" w:hRule="atLeast"/>
        </w:trPr>
        <w:tc>
          <w:tcPr>
            <w:tcW w:w="22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历史回查困难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结果难形成正式留档材料</w:t>
            </w:r>
          </w:p>
        </w:tc>
        <w:tc>
          <w:tcPr>
            <w:tcW w:w="3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建立历史记录与中文报告链路</w:t>
            </w:r>
          </w:p>
        </w:tc>
      </w:tr>
    </w:tbl>
    <w:p>
      <w:pPr>
        <w:pStyle w:val="Caption"/>
      </w:pPr>
      <w:r>
        <w:t>表4-1 关键难点与解决方案</w:t>
      </w:r>
    </w:p>
    <w:p>
      <w:r>
        <w:br w:type="page"/>
      </w:r>
    </w:p>
    <w:p>
      <w:pPr>
        <w:pStyle w:val="Heading1"/>
      </w:pPr>
      <w:bookmarkStart w:name="_Toc005" w:id="005"/>
      <w:r>
        <w:t>第五章 测试分析</w:t>
      </w:r>
      <w:bookmarkEnd w:id="005"/>
    </w:p>
    <w:p>
      <w:pPr>
        <w:pStyle w:val="Heading2"/>
      </w:pPr>
      <w:r>
        <w:t>5.1 测试环境与设置</w:t>
      </w:r>
    </w:p>
    <w:p>
      <w:r>
        <w:t>测试全部建立在统一安全主表之上，正式实验样本数为399，训练集、验证集、测试集规模分别为279、60、60。澄迈福橙与琼中绿橙在验证集和测试集中均保持30:30的平衡分布，保证分类与回归任务处在一致的评估条件下。所有结论均以正式实验结果为依据，不使用临时口径和零散结果替代正式测试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600"/>
        <w:gridCol w:w="2400"/>
        <w:gridCol w:w="4000"/>
      </w:tblGrid>
      <w:tr>
        <w:trPr>
          <w:tblHeader/>
          <w:trHeight w:val="400" w:hRule="atLeast"/>
        </w:trPr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测试项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设置</w:t>
            </w:r>
          </w:p>
        </w:tc>
        <w:tc>
          <w:tcPr>
            <w:tcW w:w="4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正式样本数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399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统一安全主表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数据划分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279/60/60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训练集/验证集/测试集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分类评估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准确率、平衡准确率、F1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用于产地溯源任务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回归评估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R²、RMSE</w:t>
            </w:r>
          </w:p>
        </w:tc>
        <w:tc>
          <w:tcPr>
            <w:tcW w:w="4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用于品质和液质成分预测任务</w:t>
            </w:r>
          </w:p>
        </w:tc>
      </w:tr>
    </w:tbl>
    <w:p>
      <w:pPr>
        <w:pStyle w:val="Caption"/>
      </w:pPr>
      <w:r>
        <w:t>表5-1 测试设置概况</w:t>
      </w:r>
    </w:p>
    <w:p>
      <w:pPr>
        <w:pStyle w:val="Heading2"/>
      </w:pPr>
      <w:r>
        <w:t>5.2 实验结果与分析</w:t>
      </w:r>
    </w:p>
    <w:p>
      <w:pPr>
        <w:pStyle w:val="Heading3"/>
      </w:pPr>
      <w:r>
        <w:t>5.2.1 产地溯源结果</w:t>
      </w:r>
    </w:p>
    <w:p>
      <w:r>
        <w:t>产地溯源是本项目表现最稳定的任务。以S960单光谱为输入时，逻辑回归在验证集和测试集上的准确率、平衡准确率和F1_macro均达到1.0000，具备很强的说服力。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000"/>
        <w:gridCol w:w="2000"/>
        <w:gridCol w:w="1800"/>
        <w:gridCol w:w="1800"/>
        <w:gridCol w:w="2000"/>
      </w:tblGrid>
      <w:tr>
        <w:trPr>
          <w:tblHeader/>
          <w:trHeight w:val="400" w:hRule="atLeast"/>
        </w:trPr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特征方案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模型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验证集准确率</w:t>
            </w:r>
          </w:p>
        </w:tc>
        <w:tc>
          <w:tcPr>
            <w:tcW w:w="18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测试集准确率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测试集F1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逻辑回归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S960单光谱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线性SVM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  <w:tr>
        <w:trPr>
          <w:trHeight w:val="360" w:hRule="atLeast"/>
        </w:trPr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R210+S960双光谱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LightGBM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0.9833</w:t>
            </w:r>
          </w:p>
        </w:tc>
        <w:tc>
          <w:tcPr>
            <w:tcW w:w="18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1.0000</w:t>
            </w:r>
          </w:p>
        </w:tc>
      </w:tr>
    </w:tbl>
    <w:p>
      <w:pPr>
        <w:pStyle w:val="Caption"/>
      </w:pPr>
      <w:r>
        <w:t>表5-2 产地溯源代表性结果</w:t>
      </w:r>
    </w:p>
    <w:p>
      <w:pPr>
        <w:pStyle w:val="Heading3"/>
      </w:pPr>
      <w:r>
        <w:t>5.2.2 品质预测结果</w:t>
      </w:r>
    </w:p>
    <w:p>
      <w:r>
        <w:t>品质预测任务中，糖度是最具代表性的指标。R210+S960双光谱条件下的岭回归在测试集上取得R²=0.7051、RMSE=0.8071，说明双光谱方案对糖度变化具有较好的响应能力。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1600"/>
        <w:gridCol w:w="2000"/>
        <w:gridCol w:w="2000"/>
        <w:gridCol w:w="2000"/>
        <w:gridCol w:w="2000"/>
      </w:tblGrid>
      <w:tr>
        <w:trPr>
          <w:tblHeader/>
          <w:trHeight w:val="400" w:hRule="atLeast"/>
        </w:trPr>
        <w:tc>
          <w:tcPr>
            <w:tcW w:w="1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指标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最佳模型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特征方案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测试集R²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测试集RMSE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糖度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岭回归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R210+S960双光谱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0.7051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0.8071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VC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PLS回归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0.3778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5.7642</w:t>
            </w:r>
          </w:p>
        </w:tc>
      </w:tr>
      <w:tr>
        <w:trPr>
          <w:trHeight w:val="360" w:hRule="atLeast"/>
        </w:trPr>
        <w:tc>
          <w:tcPr>
            <w:tcW w:w="1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糖酸比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PLS回归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R210单光谱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0.3654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2.9632</w:t>
            </w:r>
          </w:p>
        </w:tc>
      </w:tr>
    </w:tbl>
    <w:p>
      <w:pPr>
        <w:pStyle w:val="Caption"/>
      </w:pPr>
      <w:r>
        <w:t>表5-3 品质预测代表性结果</w:t>
      </w:r>
    </w:p>
    <w:p>
      <w:pPr>
        <w:pStyle w:val="Heading3"/>
      </w:pPr>
      <w:r>
        <w:t>5.2.3 液质成分预测结果</w:t>
      </w:r>
    </w:p>
    <w:p>
      <w:r>
        <w:t>液质成分预测是本项目最能体现多模态分析价值的部分。基线实验中，R210+S960双光谱+岭回归已取得验证集平均R²=0.6811、测试集平均R²=0.6620。引入SNV预处理、PCA降维和参数搜索后，验证集平均R²提升到0.7104，测试集平均R²提升到0.6975。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600"/>
        <w:gridCol w:w="2400"/>
        <w:gridCol w:w="2400"/>
        <w:gridCol w:w="2000"/>
      </w:tblGrid>
      <w:tr>
        <w:trPr>
          <w:tblHeader/>
          <w:trHeight w:val="400" w:hRule="atLeast"/>
        </w:trPr>
        <w:tc>
          <w:tcPr>
            <w:tcW w:w="2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阶段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验证集平均R²</w:t>
            </w:r>
          </w:p>
        </w:tc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测试集平均R²</w:t>
            </w:r>
          </w:p>
        </w:tc>
        <w:tc>
          <w:tcPr>
            <w:tcW w:w="20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说明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基线实验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0.6811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0.6620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R210+S960双光谱+岭回归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优化后最优验证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0.7104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0.6803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SNV+PCA+Ridge搜索</w:t>
            </w:r>
          </w:p>
        </w:tc>
      </w:tr>
      <w:tr>
        <w:trPr>
          <w:trHeight w:val="360" w:hRule="atLeast"/>
        </w:trPr>
        <w:tc>
          <w:tcPr>
            <w:tcW w:w="26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优化后最优测试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0.7048</w:t>
            </w:r>
          </w:p>
        </w:tc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0.6975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SNV+PCA+Ridge搜索</w:t>
            </w:r>
          </w:p>
        </w:tc>
      </w:tr>
    </w:tbl>
    <w:p>
      <w:pPr>
        <w:pStyle w:val="Caption"/>
      </w:pPr>
      <w:r>
        <w:t>表5-4 液质成分任务整体增益</w:t>
      </w:r>
    </w:p>
    <w:p>
      <w:r>
        <w:br w:type="page"/>
      </w:r>
    </w:p>
    <w:p>
      <w:pPr>
        <w:pStyle w:val="Heading1"/>
      </w:pPr>
      <w:bookmarkStart w:name="_Toc006" w:id="006"/>
      <w:r>
        <w:t>第六章 项目总结</w:t>
      </w:r>
      <w:bookmarkEnd w:id="006"/>
    </w:p>
    <w:p>
      <w:pPr>
        <w:pStyle w:val="Heading2"/>
      </w:pPr>
      <w:r>
        <w:t>6.1 项目特色与创新点</w:t>
      </w:r>
    </w:p>
    <w:p>
      <w:r>
        <w:t>本项目具有以下四个方面的特色与创新：</w:t>
      </w:r>
    </w:p>
    <w:tbl>
      <w:tblPr>
        <w:tblW w:w="5000" w:type="pct"/>
        <w:tblBorders>
          <w:top w:val="single" w:color="2C5282" w:sz="12"/>
          <w:left w:val="nil"/>
          <w:bottom w:val="single" w:color="2C5282" w:sz="12"/>
          <w:right w:val="nil"/>
          <w:insideH w:val="nil"/>
          <w:insideV w:val="nil"/>
        </w:tblBorders>
        <w:tblCellMar>
          <w:top w:w="120" w:type="dxa"/>
          <w:left w:w="150" w:type="dxa"/>
          <w:bottom w:w="120" w:type="dxa"/>
          <w:right w:w="150" w:type="dxa"/>
        </w:tblCellMar>
      </w:tblPr>
      <w:tblGrid>
        <w:gridCol w:w="2400"/>
        <w:gridCol w:w="6600"/>
      </w:tblGrid>
      <w:tr>
        <w:trPr>
          <w:tblHeader/>
          <w:trHeight w:val="400" w:hRule="atLeast"/>
        </w:trPr>
        <w:tc>
          <w:tcPr>
            <w:tcW w:w="24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创新点</w:t>
            </w:r>
          </w:p>
        </w:tc>
        <w:tc>
          <w:tcPr>
            <w:tcW w:w="6600" w:type="dxa"/>
            <w:tcBorders>
              <w:bottom w:val="single" w:color="2C5282" w:sz="6"/>
            </w:tcBorders>
            <w:shd w:val="clear" w:fill="EBF8FF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b/>
                <w:color w:val="1A365D"/>
                <w:sz w:val="20"/>
              </w:rPr>
              <w:t>具体体现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数据治理创新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识别HSI跨产地完全重复问题，剔除异常模态并重建安全主表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多任务协同创新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产地、品质、液质成分三类任务共用统一样本体系和统一划分方案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结果组织创新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分析结果围绕样本编号组织为页面展示、历史记录和正式报告</w:t>
            </w:r>
          </w:p>
        </w:tc>
      </w:tr>
      <w:tr>
        <w:trPr>
          <w:trHeight w:val="360" w:hRule="atLeast"/>
        </w:trPr>
        <w:tc>
          <w:tcPr>
            <w:tcW w:w="2400" w:type="dxa"/>
            <w:vAlign w:val="center"/>
          </w:tcPr>
          <w:p>
            <w:pPr>
              <w:spacing w:before="0" w:after="0"/>
              <w:ind w:firstLine="0"/>
              <w:jc w:val="center"/>
            </w:pPr>
            <w:r>
              <w:rPr>
                <w:color w:val="1A365D"/>
                <w:sz w:val="20"/>
              </w:rPr>
              <w:t>场景贯通创新</w:t>
            </w:r>
          </w:p>
        </w:tc>
        <w:tc>
          <w:tcPr>
            <w:tcW w:w="6600" w:type="dxa"/>
            <w:vAlign w:val="center"/>
          </w:tcPr>
          <w:p>
            <w:pPr>
              <w:spacing w:before="0" w:after="0"/>
              <w:ind w:firstLine="0"/>
              <w:jc w:val="left"/>
            </w:pPr>
            <w:r>
              <w:rPr>
                <w:color w:val="1A365D"/>
                <w:sz w:val="20"/>
              </w:rPr>
              <w:t>把样本录入、分析处理、结果说明和留档放到同一条项目链路中</w:t>
            </w:r>
          </w:p>
        </w:tc>
      </w:tr>
    </w:tbl>
    <w:p>
      <w:pPr>
        <w:pStyle w:val="Caption"/>
      </w:pPr>
      <w:r>
        <w:t>表6-1 项目特色与创新点</w:t>
      </w:r>
    </w:p>
    <w:p>
      <w:pPr>
        <w:pStyle w:val="Heading2"/>
      </w:pPr>
      <w:r>
        <w:t>6.2 应用推广前景</w:t>
      </w:r>
    </w:p>
    <w:p>
      <w:r>
        <w:t>本项目最适合首先落在海南特色柑橘的品质检测与产地说明场景。随着样本规模扩大和品类继续接入，推广对象不局限于两类柑橘样本。以当前的数据治理方法、多任务分析流程和结果组织方式为基础，项目可继续扩展到更多柑橘品种及其他特色农产品场景，在区域农业数字化、标准化和品牌化建设中形成可复用的方法模板。</w:t>
      </w:r>
    </w:p>
    <w:p>
      <w:pPr>
        <w:pStyle w:val="Heading2"/>
      </w:pPr>
      <w:r>
        <w:t>6.3 未来展望</w:t>
      </w:r>
    </w:p>
    <w:p>
      <w:r>
        <w:t>下一阶段，项目将继续围绕样本扩充、品类扩展和结果表达深化三条线推进。样本侧将引入更多批次和季节数据，增强模型对实际生产场景的覆盖；任务侧将把现有双光谱分析方法推广到更多柑橘与特色农产品；表达侧将继续丰富图表展示、报告模板和场景化说明，使项目在比赛展示之外，也能更好服务于区域品牌建设和农业数字化应用。</w:t>
      </w:r>
    </w:p>
    <w:p>
      <w:r>
        <w:br w:type="page"/>
      </w:r>
    </w:p>
    <w:p>
      <w:pPr>
        <w:pStyle w:val="Heading1"/>
      </w:pPr>
      <w:bookmarkStart w:name="_Toc007" w:id="007"/>
      <w:r>
        <w:t>参考文献</w:t>
      </w:r>
      <w:bookmarkEnd w:id="007"/>
    </w:p>
    <w:p>
      <w:pPr>
        <w:spacing w:after="120"/>
        <w:ind w:left="420" w:hanging="420" w:firstLine="0"/>
      </w:pPr>
      <w:r>
        <w:rPr>
          <w:sz w:val="20"/>
        </w:rPr>
        <w:t>[1] 谭正林, 吴谋成, 傅廷栋. 近红外光谱技术在农产品品质检测中的应用[J]. 中国油料作物学报, 2012, 34(4): 455-460.</w:t>
      </w:r>
    </w:p>
    <w:p>
      <w:pPr>
        <w:spacing w:after="120"/>
        <w:ind w:left="420" w:hanging="420" w:firstLine="0"/>
      </w:pPr>
      <w:r>
        <w:rPr>
          <w:sz w:val="20"/>
        </w:rPr>
        <w:t>[2] 江南大学姚卫蓉教授团队. 深度学习驱动的可见/近红外光谱设备在水果品质评估中的应用[J]. Trends in Food Science &amp; Technology, 2025.</w:t>
      </w:r>
    </w:p>
    <w:p>
      <w:pPr>
        <w:spacing w:after="120"/>
        <w:ind w:left="420" w:hanging="420" w:firstLine="0"/>
      </w:pPr>
      <w:r>
        <w:rPr>
          <w:sz w:val="20"/>
        </w:rPr>
        <w:t>[3] 农业农村部. 2024年全国农业统计公报[R]. 2024.</w:t>
      </w:r>
    </w:p>
    <w:p>
      <w:pPr>
        <w:spacing w:after="120"/>
        <w:ind w:left="420" w:hanging="420" w:firstLine="0"/>
      </w:pPr>
      <w:r>
        <w:rPr>
          <w:sz w:val="20"/>
        </w:rPr>
        <w:t>[4] 共研网. 2025-2031年中国柑橘市场深度调查报告[R]. 2025.</w:t>
      </w:r>
    </w:p>
    <w:p>
      <w:pPr>
        <w:spacing w:after="120"/>
        <w:ind w:left="420" w:hanging="420" w:firstLine="0"/>
      </w:pPr>
      <w:r>
        <w:rPr>
          <w:sz w:val="20"/>
        </w:rPr>
        <w:t>[5] Lu Z, Jia K, Zhang H, et al. Geographical Origin Identification of Citrus Fruits Based on Near-Infrared Spectroscopy Combined with Convolutional Neural Network and Data Augmentation[J]. Agriculture, 2025, 15(22): 2350.</w:t>
      </w:r>
    </w:p>
    <w:p>
      <w:pPr>
        <w:spacing w:after="120"/>
        <w:ind w:left="420" w:hanging="420" w:firstLine="0"/>
      </w:pPr>
      <w:r>
        <w:rPr>
          <w:sz w:val="20"/>
        </w:rPr>
        <w:t>[6] Wu D, Sun D W. Advanced applications of hyperspectral imaging technology for food quality and safety analysis and assessment: A review[J]. Innovative Food Science &amp; Emerging Technologies, 2013, 19: 1-14.</w:t>
      </w:r>
    </w:p>
    <w:p>
      <w:pPr>
        <w:spacing w:after="120"/>
        <w:ind w:left="420" w:hanging="420" w:firstLine="0"/>
      </w:pPr>
      <w:r>
        <w:rPr>
          <w:sz w:val="20"/>
        </w:rPr>
        <w:t>[7] Liu Y, Sun X, Ouyang A. Nondestructive measurement of soluble solid content of navel orange fruit by visible-NIR spectrometric technique with PLSR and PCA-BPNN[J]. LWT - Food Science and Technology, 2010, 43(4): 602-607.</w:t>
      </w:r>
    </w:p>
    <w:p>
      <w:pPr>
        <w:spacing w:after="120"/>
        <w:ind w:left="420" w:hanging="420" w:firstLine="0"/>
      </w:pPr>
      <w:r>
        <w:rPr>
          <w:sz w:val="20"/>
        </w:rPr>
        <w:t>[8] Liu Y, Chen S, Zhang F, et al. Simultaneous detection of citrus internal quality attributes based on near-infrared spectroscopy and hyperspectral imaging with multi-task deep learning and instrumental transfer learning[J]. Food Chemistry, 2025, 472: 144337.</w:t>
      </w:r>
    </w:p>
    <w:p>
      <w:pPr>
        <w:sectPr>
          <w:headerReference w:type="default" r:id="R7ab6dd7af2594990"/>
          <w:footerReference w:type="default" r:id="Rf628ff61631f47db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b4e2e446d535445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spacing w:after="400"/>
        <w:jc w:val="center"/>
      </w:pPr>
      <w:r>
        <w:rPr>
          <w:rFonts w:eastAsia="SimHei"/>
          <w:color w:val="FFFFFF"/>
          <w:sz w:val="36"/>
        </w:rPr>
        <w:t>橙源智鉴</w:t>
      </w:r>
    </w:p>
    <w:p>
      <w:pPr>
        <w:spacing w:after="200"/>
        <w:jc w:val="center"/>
      </w:pPr>
      <w:r>
        <w:rPr>
          <w:color w:val="BEE3F8"/>
          <w:sz w:val="21"/>
        </w:rPr>
        <w:t>基于多模态光谱融合的海南柑橘品质智能检测与产地溯源系统</w:t>
      </w:r>
    </w:p>
    <w:p>
      <w:pPr>
        <w:jc w:val="center"/>
      </w:pPr>
      <w:r>
        <w:rPr>
          <w:color w:val="BEE3F8"/>
          <w:sz w:val="18"/>
        </w:rPr>
        <w:t>2025年（第18届）中国大学生计算机设计大赛  大数据实践赛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18096"/>
        <w:sz w:val="18"/>
      </w:rPr>
      <w:fldChar w:fldCharType="begin"/>
      <w:instrText> PAGE </w:instrText>
      <w:fldChar w:fldCharType="separate"/>
      <w:t>1</w:t>
      <w:fldChar w:fldCharType="end"/>
    </w:r>
    <w:r>
      <w:t xml:space="preserve"> / </w:t>
    </w:r>
    <w:r>
      <w:rPr>
        <w:color w:val="718096"/>
        <w:sz w:val="18"/>
      </w:rPr>
      <w:fldChar w:fldCharType="begin"/>
      <w:instrText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8aec5b54aaa643b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18096"/>
        <w:sz w:val="18"/>
      </w:rPr>
      <w:t>橙源智鉴——海南柑橘品质智能检测与产地溯源系统</w:t>
    </w:r>
    <w:r>
      <w:rPr>
        <w:color w:val="2C5282"/>
        <w:sz w:val="18"/>
      </w:rPr>
      <w:t xml:space="preserve">  |  </w:t>
    </w:r>
    <w:r>
      <w:rPr>
        <w:color w:val="718096"/>
        <w:sz w:val="18"/>
      </w:rPr>
      <w:t>中国大学生计算机设计大赛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60" w:lineRule="auto"/>
      <w:ind w:firstLine="420"/>
    </w:pPr>
    <w:rPr>
      <w:rFonts w:ascii="Calibri" w:hAnsi="Calibri" w:eastAsia="Microsoft YaHei"/>
      <w:color w:val="1A365D"/>
      <w:sz w:val="21"/>
    </w:rPr>
  </w:style>
  <w:style w:type="paragraph" w:styleId="Heading1">
    <w:name w:val="heading 1"/>
    <w:basedOn w:val="Normal"/>
    <w:pPr>
      <w:keepNext/>
      <w:keepLines/>
      <w:spacing w:before="600" w:after="300" w:line="240" w:lineRule="auto"/>
      <w:ind w:firstLine="0"/>
      <w:outlineLvl w:val="0"/>
    </w:pPr>
    <w:rPr>
      <w:rFonts w:eastAsia="SimHei"/>
      <w:b/>
      <w:color w:val="2C5282"/>
      <w:sz w:val="32"/>
    </w:rPr>
  </w:style>
  <w:style w:type="paragraph" w:styleId="Heading2">
    <w:name w:val="heading 2"/>
    <w:basedOn w:val="Normal"/>
    <w:pPr>
      <w:keepNext/>
      <w:keepLines/>
      <w:spacing w:before="400" w:after="200"/>
      <w:ind w:firstLine="0"/>
      <w:outlineLvl w:val="1"/>
    </w:pPr>
    <w:rPr>
      <w:rFonts w:eastAsia="SimHei"/>
      <w:b/>
      <w:color w:val="1A365D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b/>
      <w:color w:val="4A5568"/>
      <w:sz w:val="24"/>
    </w:rPr>
  </w:style>
  <w:style w:type="paragraph" w:styleId="Caption">
    <w:name w:val="Caption"/>
    <w:basedOn w:val="Normal"/>
    <w:pPr>
      <w:keepLines/>
      <w:spacing w:before="60" w:after="400"/>
      <w:ind w:firstLine="0"/>
      <w:jc w:val="center"/>
    </w:pPr>
    <w:rPr>
      <w:color w:val="4A5568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firstLine="0"/>
    </w:pPr>
    <w:rPr>
      <w:b/>
      <w:color w:val="1A365D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420" w:firstLine="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c5643cc29744ccf" /><Relationship Type="http://schemas.openxmlformats.org/officeDocument/2006/relationships/numbering" Target="/word/numbering.xml" Id="Rdd34b5841973475c" /><Relationship Type="http://schemas.openxmlformats.org/officeDocument/2006/relationships/image" Target="/media/image.png" Id="Rd559b5c469e9404d" /><Relationship Type="http://schemas.openxmlformats.org/officeDocument/2006/relationships/image" Target="/media/image2.png" Id="Rb4e2e446d5354457" /><Relationship Type="http://schemas.openxmlformats.org/officeDocument/2006/relationships/header" Target="/word/header1.xml" Id="R7ab6dd7af2594990" /><Relationship Type="http://schemas.openxmlformats.org/officeDocument/2006/relationships/footer" Target="/word/footer1.xml" Id="Rf628ff61631f47db" /><Relationship Type="http://schemas.openxmlformats.org/officeDocument/2006/relationships/settings" Target="/word/settings.xml" Id="Rd84cfa38ab9b424f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3.png" Id="R8aec5b54aaa643b5" /></Relationships>
</file>