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12bc8aabf8f24f3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ackground.png"/>
                    <pic:cNvPicPr/>
                  </pic:nvPicPr>
                  <pic:blipFill>
                    <a:blip r:embed="Rd559b5c469e9404d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3000"/>
      </w:pPr>
      <w:r/>
    </w:p>
    <w:p>
      <w:pPr>
        <w:spacing w:after="200"/>
        <w:jc w:val="center"/>
      </w:pPr>
      <w:r>
        <w:rPr>
          <w:rFonts w:eastAsia="SimHei"/>
          <w:color w:val="FFFFFF"/>
          <w:sz w:val="36"/>
        </w:rPr>
        <w:t>2025年（第18届）中国大学生计算机设计大赛</w:t>
      </w:r>
    </w:p>
    <w:p>
      <w:pPr>
        <w:spacing w:after="600"/>
        <w:jc w:val="center"/>
      </w:pPr>
      <w:r>
        <w:rPr>
          <w:color w:val="BEE3F8"/>
          <w:sz w:val="28"/>
        </w:rPr>
        <w:t>大数据实践赛作品报告</w:t>
      </w:r>
    </w:p>
    <w:p>
      <w:pPr>
        <w:spacing w:after="200"/>
        <w:jc w:val="center"/>
      </w:pPr>
      <w:r>
        <w:rPr>
          <w:rFonts w:eastAsia="SimHei"/>
          <w:color w:val="FFFFFF"/>
          <w:sz w:val="44"/>
        </w:rPr>
        <w:t>橙源智鉴</w:t>
      </w:r>
    </w:p>
    <w:p>
      <w:pPr>
        <w:spacing w:after="800"/>
        <w:jc w:val="center"/>
      </w:pPr>
      <w:r>
        <w:rPr>
          <w:color w:val="BEE3F8"/>
          <w:sz w:val="24"/>
        </w:rPr>
        <w:t>基于多模态光谱融合的海南柑橘品质智能检测与产地溯源系统</w:t>
      </w:r>
    </w:p>
    <w:p>
      <w:pPr>
        <w:spacing w:after="120"/>
        <w:jc w:val="center"/>
      </w:pPr>
      <w:r>
        <w:rPr>
          <w:color w:val="FFFFFF"/>
          <w:sz w:val="21"/>
        </w:rPr>
        <w:t>作品编号：____________________</w:t>
      </w:r>
    </w:p>
    <w:p>
      <w:pPr>
        <w:jc w:val="center"/>
      </w:pPr>
      <w:r>
        <w:rPr>
          <w:color w:val="FFFFFF"/>
          <w:sz w:val="21"/>
        </w:rPr>
        <w:t>填写日期：2026年4月10日</w:t>
      </w:r>
    </w:p>
    <w:p>
      <w:pPr>
        <w:sectPr>
          <w:type w:val="nextPage"/>
          <w:pgSz w:w="11906" w:h="16838"/>
          <w:pgMar w:top="0" w:right="0" w:bottom="0" w:left="0" w:header="0" w:footer="0"/>
        </w:sectPr>
      </w:pPr>
    </w:p>
    <w:p>
      <w:pPr>
        <w:pStyle w:val="Heading1"/>
      </w:pPr>
      <w:bookmarkStart w:name="_Toc000" w:id="0"/>
      <w:r>
        <w:t>目录</w:t>
      </w:r>
      <w:bookmarkEnd w:id="0"/>
    </w:p>
    <w:p>
      <w:pPr>
        <w:spacing w:after="300"/>
      </w:pPr>
      <w:r>
        <w:rPr>
          <w:color w:val="718096"/>
          <w:sz w:val="18"/>
        </w:rPr>
        <w:t>（提示：首次打开请右键点击目录，选择“更新域”刷新页码）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第一章 项目概述</w:t>
      </w:r>
      <w:r>
        <w:tab/>
      </w:r>
      <w:r>
        <w:t>1</w:t>
      </w:r>
    </w:p>
    <w:p>
      <w:pPr>
        <w:pStyle w:val="TOC2"/>
      </w:pPr>
      <w:r>
        <w:t>1.1 项目背景与意义</w:t>
      </w:r>
      <w:r>
        <w:tab/>
      </w:r>
      <w:r>
        <w:t>1</w:t>
      </w:r>
    </w:p>
    <w:p>
      <w:pPr>
        <w:pStyle w:val="TOC2"/>
      </w:pPr>
      <w:r>
        <w:t>1.2 面向对象与应用价值</w:t>
      </w:r>
      <w:r>
        <w:tab/>
      </w:r>
      <w:r>
        <w:t>2</w:t>
      </w:r>
    </w:p>
    <w:p>
      <w:pPr>
        <w:pStyle w:val="TOC2"/>
      </w:pPr>
      <w:r>
        <w:t>1.3 项目组成与主要功能</w:t>
      </w:r>
      <w:r>
        <w:tab/>
      </w:r>
      <w:r>
        <w:t>3</w:t>
      </w:r>
    </w:p>
    <w:p>
      <w:pPr>
        <w:pStyle w:val="TOC1"/>
      </w:pPr>
      <w:r>
        <w:t>第二章 问题分析</w:t>
      </w:r>
      <w:r>
        <w:tab/>
      </w:r>
      <w:r>
        <w:t>5</w:t>
      </w:r>
    </w:p>
    <w:p>
      <w:pPr>
        <w:pStyle w:val="TOC2"/>
      </w:pPr>
      <w:r>
        <w:t>2.1 行业现状与问题来源</w:t>
      </w:r>
      <w:r>
        <w:tab/>
      </w:r>
      <w:r>
        <w:t>5</w:t>
      </w:r>
    </w:p>
    <w:p>
      <w:pPr>
        <w:pStyle w:val="TOC2"/>
      </w:pPr>
      <w:r>
        <w:t>2.2 现有解决方案对比</w:t>
      </w:r>
      <w:r>
        <w:tab/>
      </w:r>
      <w:r>
        <w:t>6</w:t>
      </w:r>
    </w:p>
    <w:p>
      <w:pPr>
        <w:pStyle w:val="TOC2"/>
      </w:pPr>
      <w:r>
        <w:t>2.3 核心痛点问题</w:t>
      </w:r>
      <w:r>
        <w:tab/>
      </w:r>
      <w:r>
        <w:t>7</w:t>
      </w:r>
    </w:p>
    <w:p>
      <w:pPr>
        <w:pStyle w:val="TOC1"/>
      </w:pPr>
      <w:r>
        <w:t>第三章 技术方案</w:t>
      </w:r>
      <w:r>
        <w:tab/>
      </w:r>
      <w:r>
        <w:t>9</w:t>
      </w:r>
    </w:p>
    <w:p>
      <w:pPr>
        <w:pStyle w:val="TOC2"/>
      </w:pPr>
      <w:r>
        <w:t>3.1 总体技术路线</w:t>
      </w:r>
      <w:r>
        <w:tab/>
      </w:r>
      <w:r>
        <w:t>9</w:t>
      </w:r>
    </w:p>
    <w:p>
      <w:pPr>
        <w:pStyle w:val="TOC2"/>
      </w:pPr>
      <w:r>
        <w:t>3.2 数据治理方案</w:t>
      </w:r>
      <w:r>
        <w:tab/>
      </w:r>
      <w:r>
        <w:t>10</w:t>
      </w:r>
    </w:p>
    <w:p>
      <w:pPr>
        <w:pStyle w:val="TOC2"/>
      </w:pPr>
      <w:r>
        <w:t>3.3 模型与关键方法</w:t>
      </w:r>
      <w:r>
        <w:tab/>
      </w:r>
      <w:r>
        <w:t>11</w:t>
      </w:r>
    </w:p>
    <w:p>
      <w:pPr>
        <w:pStyle w:val="TOC1"/>
      </w:pPr>
      <w:r>
        <w:t>第四章 系统实现</w:t>
      </w:r>
      <w:r>
        <w:tab/>
      </w:r>
      <w:r>
        <w:t>13</w:t>
      </w:r>
    </w:p>
    <w:p>
      <w:pPr>
        <w:pStyle w:val="TOC2"/>
      </w:pPr>
      <w:r>
        <w:t>4.1 系统架构设计</w:t>
      </w:r>
      <w:r>
        <w:tab/>
      </w:r>
      <w:r>
        <w:t>13</w:t>
      </w:r>
    </w:p>
    <w:p>
      <w:pPr>
        <w:pStyle w:val="TOC2"/>
      </w:pPr>
      <w:r>
        <w:t>4.2 关键难点与解决方案</w:t>
      </w:r>
      <w:r>
        <w:tab/>
      </w:r>
      <w:r>
        <w:t>14</w:t>
      </w:r>
    </w:p>
    <w:p>
      <w:pPr>
        <w:pStyle w:val="TOC1"/>
      </w:pPr>
      <w:r>
        <w:t>第五章 测试分析</w:t>
      </w:r>
      <w:r>
        <w:tab/>
      </w:r>
      <w:r>
        <w:t>16</w:t>
      </w:r>
    </w:p>
    <w:p>
      <w:pPr>
        <w:pStyle w:val="TOC2"/>
      </w:pPr>
      <w:r>
        <w:t>5.1 测试环境与设置</w:t>
      </w:r>
      <w:r>
        <w:tab/>
      </w:r>
      <w:r>
        <w:t>16</w:t>
      </w:r>
    </w:p>
    <w:p>
      <w:pPr>
        <w:pStyle w:val="TOC2"/>
      </w:pPr>
      <w:r>
        <w:t>5.2 实验结果与分析</w:t>
      </w:r>
      <w:r>
        <w:tab/>
      </w:r>
      <w:r>
        <w:t>17</w:t>
      </w:r>
    </w:p>
    <w:p>
      <w:pPr>
        <w:pStyle w:val="TOC1"/>
      </w:pPr>
      <w:r>
        <w:t>第六章 项目总结</w:t>
      </w:r>
      <w:r>
        <w:tab/>
      </w:r>
      <w:r>
        <w:t>20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bookmarkStart w:name="_Toc001" w:id="001"/>
      <w:r>
        <w:t>第一章 项目概述</w:t>
      </w:r>
      <w:bookmarkEnd w:id="001"/>
    </w:p>
    <w:p>
      <w:pPr>
        <w:pStyle w:val="Heading2"/>
      </w:pPr>
      <w:r>
        <w:t>1.1 项目背景与意义</w:t>
      </w:r>
    </w:p>
    <w:p>
      <w:r>
        <w:t>柑橘是我国重要的经济作物，2024年中国柑橘总产量达6433.8万吨，占全球总产量的32.5%，市场规模预计达2530亿元。在海南，澄迈福橙和琼中绿橙作为地理标志产品，分别于2012年和2006年获得国家地理标志证明商标，2021年澄迈福橙品牌价值达1.53亿元。然而，随着柑橘产业进入品牌化和区域化发展阶段，传统依赖经验判断的品质检测与产地辨识方式已难以满足现代流通、展示和验货环节的需求。</w:t>
      </w:r>
    </w:p>
    <w:p>
      <w:r>
        <w:t>近红外光谱技术作为一种快速、无损、高效的分析技术，已被广泛应用于农产品品质检测领域。研究表明，结合深度学习算法的可见/近红外光谱设备在水果品质评估中表现出色，可实现糖度、酸度、维生素C等内部品质的精准预测，以及产地溯源的高精度识别。本项目正是基于这一技术背景，围绕海南特色柑橘开展多模态光谱融合的智能检测与产地溯源研究。</w:t>
      </w:r>
    </w:p>
    <w:p>
      <w:pPr/>
      <w:r>
        <w:rPr/>
        <w:t>从实际应用环节看，海南特色柑橘在品牌展示、批次流通、产地说明和品质验货时，往往面临“样本有记录、检测有结果、说明不统一”的问题。果园端、实验端和展示端关注的重点并不相同，导致同一批样本在不同环节里被拆成了几份互不连通的材料。对于比赛项目而言，真正有说服力的不只是模型跑出了分数，更重要的是这些分数能否回到样本本身，形成一条可讲清、可展示、可留档的完整链路。</w:t>
      </w:r>
    </w:p>
    <w:p>
      <w:pPr/>
      <w:r>
        <w:rPr/>
        <w:t>本项目选择澄迈福橙和琼中绿橙作为对象，也正是因为这两类样本兼具地域品牌特征与可量化差异。一方面，两地样本具备较强辨识度，适合开展产地判别；另一方面，糖度、糖酸比、VC 以及部分液质成分又能支撑品质评价和内部成分分析，因此非常适合承载一个同时面向数据实践和场景应用的综合项目。</w:t>
      </w:r>
    </w:p>
    <w:p>
      <w:pPr>
        <w:pStyle w:val="Heading2"/>
      </w:pPr>
      <w:r>
        <w:t>1.2 面向对象与应用价值</w:t>
      </w:r>
    </w:p>
    <w:p>
      <w:r>
        <w:t>本项目主要面向果园与合作社、产地质检与分选环节、品牌展示与渠道验货场景，以及教学与科研演示场景。具体应用价值如下表所示：</w:t>
      </w:r>
    </w:p>
    <w:p>
      <w:pPr/>
      <w:r>
        <w:rPr/>
        <w:t>在果园与合作社场景中，项目强调样本录入、批次区分和初步分级，让同一批样本从采集阶段就形成可追踪记录；在质检与分选场景中，项目强调产地核验、糖度判断和重点成分说明，使检测结果能够直接服务于验货与分选判断；在品牌展示与渠道环节中，项目重点解决“怎么把结果说清楚”的问题，让产地说明、品质说明和正式报告可以围绕同一份样本记录展开。</w:t>
      </w:r>
    </w:p>
    <w:p>
      <w:pPr/>
      <w:r>
        <w:rPr/>
        <w:t>对于教学与科研场景，项目的价值不仅在于给出最终结果，也在于完整保留了样本治理、多任务分析和结果表达的过程。评审或使用者既可以看到最终页面和报告，也可以追溯数据从清洗、对齐、划分到测试的完整路径，这使项目在应用展示之外，还具备较好的教学示范意义。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2200"/>
        <w:gridCol w:w="3200"/>
        <w:gridCol w:w="3600"/>
      </w:tblGrid>
      <w:tr>
        <w:trPr>
          <w:tblHeader/>
          <w:trHeight w:val="400" w:hRule="atLeast"/>
        </w:trPr>
        <w:tc>
          <w:tcPr>
            <w:tcW w:w="22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应用场景</w:t>
            </w:r>
          </w:p>
        </w:tc>
        <w:tc>
          <w:tcPr>
            <w:tcW w:w="32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关注内容</w:t>
            </w:r>
          </w:p>
        </w:tc>
        <w:tc>
          <w:tcPr>
            <w:tcW w:w="36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项目输出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果园与合作社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批次登记、初步分级、样本留档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样本信息、品质结果、历史记录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质检与分选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产地核验、糖度判断、成分说明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分析结果页、对比结果、批次报告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品牌展示与验货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产地说明、品质说明、结果留存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正式中文报告、可回看记录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教学与科研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数据治理、任务对比、结果展示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多任务实验结果与系统演示</w:t>
            </w:r>
          </w:p>
        </w:tc>
      </w:tr>
    </w:tbl>
    <w:p>
      <w:pPr>
        <w:pStyle w:val="Caption"/>
      </w:pPr>
      <w:r>
        <w:t>表1-1 项目主要服务场景与应用价值</w:t>
      </w:r>
    </w:p>
    <w:p>
      <w:pPr>
        <w:pStyle w:val="Heading2"/>
      </w:pPr>
      <w:r>
        <w:t>1.3 项目组成与主要功能</w:t>
      </w:r>
    </w:p>
    <w:p>
      <w:r>
        <w:t>本项目由网页端、移动端、分析支撑层和结果输出模块四部分组成，形成覆盖样本录入、分析处理、结果展示、报告输出的完整链路。截至2026年4月，项目已完成9个网页主要页面、11个移动端功能页面，并形成20项核心能力。</w:t>
      </w:r>
    </w:p>
    <w:p>
      <w:pPr/>
      <w:r>
        <w:rPr/>
        <w:t>网页端主要承担集中展示职能，用于呈现项目概况、样本规模、分析结果和历史记录，适合比赛答辩和现场演示；移动端则更加贴近实际使用场景，适合完成样本录入、结果查询和报告查看等轻量操作。两端围绕同一套样本编号和结果结构组织页面，不同入口看到的是同一组数据，而不是各自独立的页面内容。</w:t>
      </w:r>
    </w:p>
    <w:p>
      <w:pPr/>
      <w:r>
        <w:rPr/>
        <w:t>分析支撑层和结果输出模块是项目完成度的重要部分。前者负责样本、文件、分析任务和结果回写的组织，后者负责把产地、品质和重点成分整理成正式中文文本。正因为这两部分同时存在，项目最终呈现出来的不是单纯的实验截图，而是一套真正围绕样本运转的系统成果。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2000"/>
        <w:gridCol w:w="4000"/>
        <w:gridCol w:w="3000"/>
      </w:tblGrid>
      <w:tr>
        <w:trPr>
          <w:tblHeader/>
          <w:trHeight w:val="400" w:hRule="atLeast"/>
        </w:trPr>
        <w:tc>
          <w:tcPr>
            <w:tcW w:w="2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模块</w:t>
            </w:r>
          </w:p>
        </w:tc>
        <w:tc>
          <w:tcPr>
            <w:tcW w:w="4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主要内容</w:t>
            </w:r>
          </w:p>
        </w:tc>
        <w:tc>
          <w:tcPr>
            <w:tcW w:w="3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完成情况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网页端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首页、分析页、数据总览、历史页等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已完成9个主要页面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移动端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上传、查询、分析、报告查看等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已完成11个功能页面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分析支撑层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样本、文件、分析、结果等流程组织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已形成20项核心能力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结果输出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历史归档、正式报告、中文结果整理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已支持结构化结果输出</w:t>
            </w:r>
          </w:p>
        </w:tc>
      </w:tr>
    </w:tbl>
    <w:p>
      <w:pPr>
        <w:pStyle w:val="Caption"/>
      </w:pPr>
      <w:r>
        <w:t>表1-2 项目组成与完成情况</w:t>
      </w:r>
    </w:p>
    <w:p>
      <w:r>
        <w:br w:type="page"/>
      </w:r>
    </w:p>
    <w:p>
      <w:pPr>
        <w:pStyle w:val="Heading1"/>
      </w:pPr>
      <w:bookmarkStart w:name="_Toc002" w:id="002"/>
      <w:r>
        <w:t>第二章 问题分析</w:t>
      </w:r>
      <w:bookmarkEnd w:id="002"/>
    </w:p>
    <w:p>
      <w:pPr>
        <w:pStyle w:val="Heading2"/>
      </w:pPr>
      <w:r>
        <w:t>2.1 行业现状与问题来源</w:t>
      </w:r>
    </w:p>
    <w:p>
      <w:r>
        <w:t>海南柑橘产业在品牌建设方面取得了显著成就，但在品质检测与产地溯源环节仍面临诸多挑战。传统做法将样本登记、理化检测、光谱分析和报告整理分散在不同环节和人员手中，导致信息难以统一对齐，检测结果难以转化为稳定的使用价值。</w:t>
      </w:r>
    </w:p>
    <w:p>
      <w:r>
        <w:t>澄迈福橙和琼中绿橙作为海南柑橘的代表性品种，具有较强的地域品牌属性和可量化的理化成分差异，适合作为数据实践项目的研究对象。围绕这两类柑橘，本项目需要解决从样本整理、数据建模、结果比较到报告输出的整条链路问题。</w:t>
      </w:r>
    </w:p>
    <w:p>
      <w:pPr/>
      <w:r>
        <w:rPr/>
        <w:t>行业中的困难往往并不只出现在检测本身，而是出现在检测结果进入流通场景之后。样本编号、产地信息、理化指标和展示说明若不能保持统一，就会出现“实验室知道、现场说不清”的情况。尤其在品牌果和礼盒果场景中，评审、采购方和渠道方更关注的是结果是否可靠、能否回查、是否有统一口径，而这些恰恰是传统分散流程最薄弱的地方。</w:t>
      </w:r>
    </w:p>
    <w:p>
      <w:pPr/>
      <w:r>
        <w:rPr/>
        <w:t>因此，本项目并没有把目标限定为单一高分模型，而是把重点放在“如何把检测、识别、比较和说明放到同一条线上”。只有当样本信息、分析结果和正式文本围绕同一对象持续对应时，项目才真正具备落地展示和推广使用的价值。</w:t>
      </w:r>
    </w:p>
    <w:p>
      <w:pPr>
        <w:pStyle w:val="Heading2"/>
      </w:pPr>
      <w:r>
        <w:t>2.2 现有解决方案对比</w:t>
      </w:r>
    </w:p>
    <w:p>
      <w:r>
        <w:t>围绕果品产地识别和品质检测，现有技术路线主要分为三类：人工经验与理化检测、单一光谱建模研究、以及展示或管理系统。各类方案的对比分析如下：</w:t>
      </w:r>
    </w:p>
    <w:p>
      <w:pPr/>
      <w:r>
        <w:rPr/>
        <w:t>人工经验与理化检测在小规模判断中仍然有效，但检测周期较长，结果往往停留在纸面或离散表格中；单一光谱建模研究在某一项指标上常能取得较好成绩，却较少同时讨论产地、品质和成分三条线索；展示或管理系统虽然具备界面形态，但若缺少真实实验结果支撑，很难在比赛答辩中形成足够有力的论证。正是在这三类方案之间的空缺处，本项目找到了自己的切入位置。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2000"/>
        <w:gridCol w:w="2200"/>
        <w:gridCol w:w="2200"/>
        <w:gridCol w:w="2600"/>
      </w:tblGrid>
      <w:tr>
        <w:trPr>
          <w:tblHeader/>
          <w:trHeight w:val="400" w:hRule="atLeast"/>
        </w:trPr>
        <w:tc>
          <w:tcPr>
            <w:tcW w:w="2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解决路线</w:t>
            </w:r>
          </w:p>
        </w:tc>
        <w:tc>
          <w:tcPr>
            <w:tcW w:w="22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优势</w:t>
            </w:r>
          </w:p>
        </w:tc>
        <w:tc>
          <w:tcPr>
            <w:tcW w:w="22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局限</w:t>
            </w:r>
          </w:p>
        </w:tc>
        <w:tc>
          <w:tcPr>
            <w:tcW w:w="26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本项目对应处理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人工经验与理化检测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指标直观，便于小规模判断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周期长，信息分散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保留理化标签，引入统一管理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单一光谱建模研究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单项任务有效，方法成熟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任务分离，结果难统一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围绕同一主表组织多任务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展示或管理系统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页面完整，适合演示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与实验数据联系不紧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将实验、展示、报告统一</w:t>
            </w:r>
          </w:p>
        </w:tc>
      </w:tr>
    </w:tbl>
    <w:p>
      <w:pPr>
        <w:pStyle w:val="Caption"/>
      </w:pPr>
      <w:r>
        <w:t>表2-1 现有解决方案对比分析</w:t>
      </w:r>
    </w:p>
    <w:p>
      <w:pPr>
        <w:pStyle w:val="Heading2"/>
      </w:pPr>
      <w:r>
        <w:t>2.3 核心痛点问题</w:t>
      </w:r>
    </w:p>
    <w:p>
      <w:r>
        <w:t>基于前述分析，本项目聚焦以下四个核心痛点问题：</w:t>
      </w:r>
    </w:p>
    <w:p>
      <w:pPr/>
      <w:r>
        <w:rPr/>
        <w:t>这四类痛点并不是彼此割裂的。数据底座不统一，会直接影响结果解释；异常模态若不先排除，会动摇实验可信度；多任务结果若各自陈列，则很难体现项目的整体价值；结果表达不足，则会让比赛展示停留在“报分数”的层面。项目后续的技术路线、系统实现和测试分析，实际上都是围绕这四个问题逐层展开的。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2200"/>
        <w:gridCol w:w="3800"/>
        <w:gridCol w:w="3000"/>
      </w:tblGrid>
      <w:tr>
        <w:trPr>
          <w:tblHeader/>
          <w:trHeight w:val="400" w:hRule="atLeast"/>
        </w:trPr>
        <w:tc>
          <w:tcPr>
            <w:tcW w:w="22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痛点</w:t>
            </w:r>
          </w:p>
        </w:tc>
        <w:tc>
          <w:tcPr>
            <w:tcW w:w="38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具体表现</w:t>
            </w:r>
          </w:p>
        </w:tc>
        <w:tc>
          <w:tcPr>
            <w:tcW w:w="3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比赛展示影响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数据底座不统一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样本、标签、光谱分散在不同文件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结果难以统一叙事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异常模态干扰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HSI存在跨产地同编号完全重复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影响建模可信度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多任务结果割裂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产地、品质、成分结论分开陈列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难以体现整体价值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结果表达不足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缺少面向展示和归档的正式文本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演示停留在数值层面</w:t>
            </w:r>
          </w:p>
        </w:tc>
      </w:tr>
    </w:tbl>
    <w:p>
      <w:pPr>
        <w:pStyle w:val="Caption"/>
      </w:pPr>
      <w:r>
        <w:t>表2-2 本项目聚焦的核心痛点</w:t>
      </w:r>
    </w:p>
    <w:p>
      <w:r>
        <w:br w:type="page"/>
      </w:r>
    </w:p>
    <w:p>
      <w:pPr>
        <w:pStyle w:val="Heading1"/>
      </w:pPr>
      <w:bookmarkStart w:name="_Toc003" w:id="003"/>
      <w:r>
        <w:t>第三章 技术方案</w:t>
      </w:r>
      <w:bookmarkEnd w:id="003"/>
    </w:p>
    <w:p>
      <w:pPr>
        <w:pStyle w:val="Heading2"/>
      </w:pPr>
      <w:r>
        <w:t>3.1 总体技术路线</w:t>
      </w:r>
    </w:p>
    <w:p>
      <w:r>
        <w:t>本项目的技术路线按照“样本治理—任务建模—结果组织—系统呈现”四个阶段推进。首先完成数据清洗、异常排查和主表重建，再组织产地溯源、品质预测和液质成分预测三类实验，随后将结果回连到样本编号，最后在网页端、移动端和正式报告中统一呈现。</w:t>
      </w:r>
    </w:p>
    <w:p>
      <w:pPr/>
      <w:r>
        <w:rPr/>
        <w:t>这一技术路线强调先把实验口径统一，再讨论任务结果。项目没有把样本清洗、模型比较和系统展示拆成彼此独立的工作，而是要求三部分始终围绕同一主表推进。这样一来，后续无论是产地判别的分类结果，还是糖度与液质成分的回归结果，都能够在同一条样本主线上被重新组织和解释。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2000"/>
        <w:gridCol w:w="4000"/>
        <w:gridCol w:w="3000"/>
      </w:tblGrid>
      <w:tr>
        <w:trPr>
          <w:tblHeader/>
          <w:trHeight w:val="400" w:hRule="atLeast"/>
        </w:trPr>
        <w:tc>
          <w:tcPr>
            <w:tcW w:w="2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阶段</w:t>
            </w:r>
          </w:p>
        </w:tc>
        <w:tc>
          <w:tcPr>
            <w:tcW w:w="4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核心工作</w:t>
            </w:r>
          </w:p>
        </w:tc>
        <w:tc>
          <w:tcPr>
            <w:tcW w:w="3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产出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阶段一：样本治理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清洗原始数据、排查异常模态、完成对齐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安全主表与统一样本体系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阶段二：任务建模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组织产地、品质、液质成分三类实验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多任务测试结果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阶段三：结果组织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把结果回连到样本编号和批次信息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结构化结果说明与历史记录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阶段四：系统呈现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在网页端与移动端完成展示和查询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比赛可演示的项目形态</w:t>
            </w:r>
          </w:p>
        </w:tc>
      </w:tr>
    </w:tbl>
    <w:p>
      <w:pPr>
        <w:pStyle w:val="Caption"/>
      </w:pPr>
      <w:r>
        <w:t>表3-1 总体技术路线</w:t>
      </w:r>
    </w:p>
    <w:p>
      <w:pPr>
        <w:pStyle w:val="Heading2"/>
      </w:pPr>
      <w:r>
        <w:t>3.2 数据治理方案</w:t>
      </w:r>
    </w:p>
    <w:p>
      <w:r>
        <w:t>项目原始数据由滴定法指标、液质成分和多模态光谱三部分组成。在数据治理过程中，发现HSI数据中存在199对跨产地同编号完全重复样本，无法作为正式跨产地实验依据；S960两地产地原始波段数量不同，琼中样本较澄迈多出50个尾部波段。项目据此剔除HSI，保留R210与S960双光谱作为正式建模基础，并重建安全主表。</w:t>
      </w:r>
    </w:p>
    <w:p>
      <w:pPr/>
      <w:r>
        <w:rPr/>
        <w:t>正式实验最终建立在399个安全样本上，其中澄迈福橙199个、琼中绿橙200个；R210保留228维特征，S960保留1402个共同波段，双光谱合计1630维特征。围绕这一数据底座，项目继续组织4项滴定法指标预测与36项液质成分预测，使正式实验既保留样本规模，也保留任务广度。</w:t>
      </w:r>
    </w:p>
    <w:p>
      <w:pPr/>
      <w:r>
        <w:rPr/>
        <w:t>统一样本划分采用固定随机种子，训练集、验证集、测试集规模分别为279、60、60，验证集和测试集中的两地产地样本均保持30:30分布。这一设置使分类与回归任务能够在同一框架下比较，也让后续结果能够用同一组测试样本展开叙述。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2400"/>
        <w:gridCol w:w="3200"/>
        <w:gridCol w:w="3400"/>
      </w:tblGrid>
      <w:tr>
        <w:trPr>
          <w:tblHeader/>
          <w:trHeight w:val="400" w:hRule="atLeast"/>
        </w:trPr>
        <w:tc>
          <w:tcPr>
            <w:tcW w:w="24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治理项</w:t>
            </w:r>
          </w:p>
        </w:tc>
        <w:tc>
          <w:tcPr>
            <w:tcW w:w="32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结果</w:t>
            </w:r>
          </w:p>
        </w:tc>
        <w:tc>
          <w:tcPr>
            <w:tcW w:w="34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作用</w:t>
            </w:r>
          </w:p>
        </w:tc>
      </w:tr>
      <w:tr>
        <w:trPr>
          <w:trHeight w:val="36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HSI异常排查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识别199对跨产地完全重复样本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排除异常模态对正式实验的干扰</w:t>
            </w:r>
          </w:p>
        </w:tc>
      </w:tr>
      <w:tr>
        <w:trPr>
          <w:trHeight w:val="36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正式建模主表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399个安全样本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作为三类任务的唯一正式主表</w:t>
            </w:r>
          </w:p>
        </w:tc>
      </w:tr>
      <w:tr>
        <w:trPr>
          <w:trHeight w:val="36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S960波段对齐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1402个共同波段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保证两地产地数据可直接比较</w:t>
            </w:r>
          </w:p>
        </w:tc>
      </w:tr>
      <w:tr>
        <w:trPr>
          <w:trHeight w:val="36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统一样本划分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279/60/60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保证多任务结果可在同一框架下解释</w:t>
            </w:r>
          </w:p>
        </w:tc>
      </w:tr>
    </w:tbl>
    <w:p>
      <w:pPr>
        <w:pStyle w:val="Caption"/>
      </w:pPr>
      <w:r>
        <w:t>表3-2 数据治理要点</w:t>
      </w:r>
    </w:p>
    <w:p>
      <w:pPr>
        <w:pStyle w:val="Heading2"/>
      </w:pPr>
      <w:r>
        <w:t>3.3 模型与关键方法</w:t>
      </w:r>
    </w:p>
    <w:p>
      <w:r>
        <w:t>三类任务采用统一主表、分任务建模的方式推进。产地溯源任务以分类模型为主，重点比较单光谱与双光谱方案的区分效果；品质预测任务以回归模型为主，围绕糖度、糖酸比、VC等指标展开；液质成分预测任务引入SNV预处理、PCA降维和参数搜索以提升整体表现。</w:t>
      </w:r>
    </w:p>
    <w:p>
      <w:pPr/>
      <w:r>
        <w:rPr/>
        <w:t>在模型安排上，项目保留了较强的对比意识。产地溯源任务优先比较不同模态对分类边界的表达能力，品质预测任务重点考察不同指标对双光谱和单光谱的响应差异，液质成分任务则进一步考察预处理和降维是否能带来稳定增益。这使得技术方案部分不仅说明“用了什么方法”，也能说明“为什么这样安排”。</w:t>
      </w:r>
    </w:p>
    <w:p>
      <w:pPr/>
      <w:r>
        <w:rPr/>
        <w:t>项目没有把所有任务机械地推向同一种最优方案，而是根据目标性质保留差异化选择。例如，产地溯源上S960单光谱已经能给出极稳定结果；糖度预测上双光谱优势更明显；VC与糖酸比则体现出单光谱也具备一定参考价值。这样的任务分工让全文逻辑更自然，也让测试结论更贴近真实结果。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1800"/>
        <w:gridCol w:w="2600"/>
        <w:gridCol w:w="2600"/>
        <w:gridCol w:w="2000"/>
      </w:tblGrid>
      <w:tr>
        <w:trPr>
          <w:tblHeader/>
          <w:trHeight w:val="400" w:hRule="atLeast"/>
        </w:trPr>
        <w:tc>
          <w:tcPr>
            <w:tcW w:w="18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任务</w:t>
            </w:r>
          </w:p>
        </w:tc>
        <w:tc>
          <w:tcPr>
            <w:tcW w:w="26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输入与标签</w:t>
            </w:r>
          </w:p>
        </w:tc>
        <w:tc>
          <w:tcPr>
            <w:tcW w:w="26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主要方法</w:t>
            </w:r>
          </w:p>
        </w:tc>
        <w:tc>
          <w:tcPr>
            <w:tcW w:w="2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关注重点</w:t>
            </w:r>
          </w:p>
        </w:tc>
      </w:tr>
      <w:tr>
        <w:trPr>
          <w:trHeight w:val="36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产地溯源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双光谱特征+origin标签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逻辑回归、线性SVM、集成模型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单光谱与双光谱区分效果</w:t>
            </w:r>
          </w:p>
        </w:tc>
      </w:tr>
      <w:tr>
        <w:trPr>
          <w:trHeight w:val="36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品质预测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双光谱特征+糖度/糖酸比/VC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岭回归、PLS回归等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最具代表性的品质指标</w:t>
            </w:r>
          </w:p>
        </w:tc>
      </w:tr>
      <w:tr>
        <w:trPr>
          <w:trHeight w:val="36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液质成分预测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双光谱特征+36项液质标签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基线回归+SNV+PCA+参数搜索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多目标任务整体平均表现</w:t>
            </w:r>
          </w:p>
        </w:tc>
      </w:tr>
    </w:tbl>
    <w:p>
      <w:pPr>
        <w:pStyle w:val="Caption"/>
      </w:pPr>
      <w:r>
        <w:t>表3-3 三类任务技术安排</w:t>
      </w:r>
    </w:p>
    <w:p>
      <w:r>
        <w:br w:type="page"/>
      </w:r>
    </w:p>
    <w:p>
      <w:pPr>
        <w:pStyle w:val="Heading1"/>
      </w:pPr>
      <w:bookmarkStart w:name="_Toc004" w:id="004"/>
      <w:r>
        <w:t>第四章 系统实现</w:t>
      </w:r>
      <w:bookmarkEnd w:id="004"/>
    </w:p>
    <w:p>
      <w:pPr>
        <w:pStyle w:val="Heading2"/>
      </w:pPr>
      <w:r>
        <w:t>4.1 系统架构设计</w:t>
      </w:r>
    </w:p>
    <w:p>
      <w:r>
        <w:t>展示端分为网页端和移动端两部分。网页端放置首页、数据总览、分析页、历史页等主要页面，用于集中展示样本规模、实验结果和项目成果；移动端放置上传、分析、查询、报告查看等页面，用于样本录入和结果回看。两端围绕同一套样本与结果组织，入口不同，结果口径一致。</w:t>
      </w:r>
    </w:p>
    <w:p>
      <w:r>
        <w:t>系统流程按照样本录入、文件接收、任务处理、结果整理、历史归档五个环节展开。样本进入系统后先绑定编号和批次信息，再进入分析流程；分析完成后，结果围绕该样本编号回写到结果页和历史页；报告模块从结构化结果中抽取产地、品质和重点成分信息，生成正式文本。</w:t>
      </w:r>
    </w:p>
    <w:p>
      <w:pPr/>
      <w:r>
        <w:rPr/>
        <w:t>在工程实现层面，项目最关键的做法是始终让“样本编号”充当主线。样本从进入系统开始，就不再被拆散成彼此独立的图片、表格或实验记录，而是围绕同一编号持续沉淀。这样一来，无论是在网页端进行结果对比，还是在移动端查看单个样本，使用者看到的都是同一份样本对应的连续信息。</w:t>
      </w:r>
    </w:p>
    <w:p>
      <w:pPr/>
      <w:r>
        <w:rPr/>
        <w:t>结果输出模块进一步把结构化数据转换为正式文本，使产地结论、糖度结果、重点成分和批次信息能够被统一整理进报告中。这一步对比赛稿同样重要，因为它让项目的最终成果不只是模型结果表，而是可以直接呈现给评审的正式内容。</w:t>
      </w:r>
    </w:p>
    <w:p>
      <w:pPr>
        <w:pStyle w:val="Heading2"/>
      </w:pPr>
      <w:r>
        <w:t>4.2 关键难点与解决方案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2200"/>
        <w:gridCol w:w="3400"/>
        <w:gridCol w:w="3400"/>
      </w:tblGrid>
      <w:tr>
        <w:trPr>
          <w:tblHeader/>
          <w:trHeight w:val="400" w:hRule="atLeast"/>
        </w:trPr>
        <w:tc>
          <w:tcPr>
            <w:tcW w:w="22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难点</w:t>
            </w:r>
          </w:p>
        </w:tc>
        <w:tc>
          <w:tcPr>
            <w:tcW w:w="34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具体表现</w:t>
            </w:r>
          </w:p>
        </w:tc>
        <w:tc>
          <w:tcPr>
            <w:tcW w:w="34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解决方法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异常模态干扰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HSI出现跨产地同编号完全重复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剔除HSI，重建双光谱安全主表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波段口径不统一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S960两地产地原始波段数量不同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统一裁剪为共同波段对齐表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多任务结果分散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分类、回归、成分结果来源不同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围绕样本编号统一页面和报告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历史回查困难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结果难形成正式留档材料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建立历史记录与中文报告链路</w:t>
            </w:r>
          </w:p>
        </w:tc>
      </w:tr>
    </w:tbl>
    <w:p>
      <w:pPr>
        <w:pStyle w:val="Caption"/>
      </w:pPr>
      <w:r>
        <w:t>表4-1 关键难点与解决方案</w:t>
      </w:r>
    </w:p>
    <w:p>
      <w:r>
        <w:br w:type="page"/>
      </w:r>
    </w:p>
    <w:p>
      <w:pPr>
        <w:pStyle w:val="Heading1"/>
      </w:pPr>
      <w:bookmarkStart w:name="_Toc005" w:id="005"/>
      <w:r>
        <w:t>第五章 测试分析</w:t>
      </w:r>
      <w:bookmarkEnd w:id="005"/>
    </w:p>
    <w:p>
      <w:pPr>
        <w:pStyle w:val="Heading2"/>
      </w:pPr>
      <w:r>
        <w:t>5.1 测试环境与设置</w:t>
      </w:r>
    </w:p>
    <w:p>
      <w:pPr/>
      <w:r>
        <w:rPr/>
        <w:t>测试部分围绕统一安全主表展开，重点保证三类任务在相同样本条件下可比。分类任务主要考察准确率、平衡准确率和F1指标，回归任务主要考察R²和RMSE指标，液质成分部分还特别关注平均R²的变化，以便判断预处理和参数搜索是否带来了稳定提升。这样的测试设置使后续结论不依赖单一幸运结果，而是建立在统一评价口径之上。</w:t>
      </w:r>
    </w:p>
    <w:p>
      <w:r>
        <w:t>测试全部建立在统一安全主表之上，正式实验样本数为399，训练集、验证集、测试集规模分别为279、60、60。澄迈福橙与琼中绿橙在验证集和测试集中均保持30:30的平衡分布，保证分类与回归任务处在一致的评估条件下。所有结论均以正式实验结果为依据，不使用临时口径和零散结果替代正式测试。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2600"/>
        <w:gridCol w:w="2400"/>
        <w:gridCol w:w="4000"/>
      </w:tblGrid>
      <w:tr>
        <w:trPr>
          <w:tblHeader/>
          <w:trHeight w:val="400" w:hRule="atLeast"/>
        </w:trPr>
        <w:tc>
          <w:tcPr>
            <w:tcW w:w="26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测试项</w:t>
            </w:r>
          </w:p>
        </w:tc>
        <w:tc>
          <w:tcPr>
            <w:tcW w:w="24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设置</w:t>
            </w:r>
          </w:p>
        </w:tc>
        <w:tc>
          <w:tcPr>
            <w:tcW w:w="4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说明</w:t>
            </w:r>
          </w:p>
        </w:tc>
      </w:tr>
      <w:tr>
        <w:trPr>
          <w:trHeight w:val="360" w:hRule="atLeast"/>
        </w:trPr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正式样本数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399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统一安全主表</w:t>
            </w:r>
          </w:p>
        </w:tc>
      </w:tr>
      <w:tr>
        <w:trPr>
          <w:trHeight w:val="360" w:hRule="atLeast"/>
        </w:trPr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数据划分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279/60/60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训练集/验证集/测试集</w:t>
            </w:r>
          </w:p>
        </w:tc>
      </w:tr>
      <w:tr>
        <w:trPr>
          <w:trHeight w:val="360" w:hRule="atLeast"/>
        </w:trPr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分类评估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准确率、平衡准确率、F1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用于产地溯源任务</w:t>
            </w:r>
          </w:p>
        </w:tc>
      </w:tr>
      <w:tr>
        <w:trPr>
          <w:trHeight w:val="360" w:hRule="atLeast"/>
        </w:trPr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回归评估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R²、RMSE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用于品质和液质成分预测任务</w:t>
            </w:r>
          </w:p>
        </w:tc>
      </w:tr>
    </w:tbl>
    <w:p>
      <w:pPr>
        <w:pStyle w:val="Caption"/>
      </w:pPr>
      <w:r>
        <w:t>表5-1 测试设置概况</w:t>
      </w:r>
    </w:p>
    <w:p>
      <w:pPr>
        <w:pStyle w:val="Heading2"/>
      </w:pPr>
      <w:r>
        <w:t>5.2 实验结果与分析</w:t>
      </w:r>
    </w:p>
    <w:p>
      <w:pPr>
        <w:pStyle w:val="Heading3"/>
      </w:pPr>
      <w:r>
        <w:t>5.2.1 产地溯源结果</w:t>
      </w:r>
    </w:p>
    <w:p>
      <w:r>
        <w:t>产地溯源是本项目表现最稳定的任务。以S960单光谱为输入时，逻辑回归在验证集和测试集上的准确率、平衡准确率和F1_macro均达到1.0000，具备很强的说服力。</w:t>
      </w:r>
    </w:p>
    <w:p>
      <w:pPr/>
      <w:r>
        <w:rPr/>
        <w:t>这一结果的意义在于，产地判别不需要依赖特别复杂的模型，也能在正式测试中给出稳定结论。测试集中60个样本全部被正确识别，说明两地产地样本在当前光谱空间中的区分边界已经足够清晰。对于比赛展示来说，这一部分最适合承担“项目先把什么问题解决得很扎实”的作用。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2000"/>
        <w:gridCol w:w="2000"/>
        <w:gridCol w:w="1800"/>
        <w:gridCol w:w="1800"/>
        <w:gridCol w:w="2000"/>
      </w:tblGrid>
      <w:tr>
        <w:trPr>
          <w:tblHeader/>
          <w:trHeight w:val="400" w:hRule="atLeast"/>
        </w:trPr>
        <w:tc>
          <w:tcPr>
            <w:tcW w:w="2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特征方案</w:t>
            </w:r>
          </w:p>
        </w:tc>
        <w:tc>
          <w:tcPr>
            <w:tcW w:w="2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模型</w:t>
            </w:r>
          </w:p>
        </w:tc>
        <w:tc>
          <w:tcPr>
            <w:tcW w:w="18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验证集准确率</w:t>
            </w:r>
          </w:p>
        </w:tc>
        <w:tc>
          <w:tcPr>
            <w:tcW w:w="18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测试集准确率</w:t>
            </w:r>
          </w:p>
        </w:tc>
        <w:tc>
          <w:tcPr>
            <w:tcW w:w="2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测试集F1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S960单光谱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逻辑回归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1.0000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1.0000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1.0000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S960单光谱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线性SVM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1.0000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1.0000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1.0000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R210+S960双光谱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LightGBM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0.9833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1.0000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1.0000</w:t>
            </w:r>
          </w:p>
        </w:tc>
      </w:tr>
    </w:tbl>
    <w:p>
      <w:pPr>
        <w:pStyle w:val="Caption"/>
      </w:pPr>
      <w:r>
        <w:t>表5-2 产地溯源代表性结果</w:t>
      </w:r>
    </w:p>
    <w:p>
      <w:pPr>
        <w:pStyle w:val="Heading3"/>
      </w:pPr>
      <w:r>
        <w:t>5.2.2 品质预测结果</w:t>
      </w:r>
    </w:p>
    <w:p>
      <w:r>
        <w:t>品质预测任务中，糖度是最具代表性的指标。R210+S960双光谱条件下的岭回归在测试集上取得R²=0.7051、RMSE=0.8071，说明双光谱方案对糖度变化具有较好的响应能力。</w:t>
      </w:r>
    </w:p>
    <w:p>
      <w:pPr/>
      <w:r>
        <w:rPr/>
        <w:t>与样本统计结果结合来看，琼中绿橙平均糖度为10.79、平均糖酸比为18.11，澄迈福橙平均VC为40.80，这些差异与项目在页面展示和文字说明中的主要结论能够相互印证。也就是说，品质预测部分并不是孤立的模型分数，而是能够与样本层面的真实差异对应起来。</w:t>
      </w:r>
    </w:p>
    <w:p>
      <w:pPr/>
      <w:r>
        <w:rPr/>
        <w:t>在品质任务中，糖度最适合承担核心展示指标的角色。它既直接关联果品分级和消费者感知，也在本项目当前结果中表现最突出。VC与糖酸比虽然分数没有糖度高，但作为辅助指标能够进一步补足样本画像，使品质分析部分不只停留在单一数值上。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1600"/>
        <w:gridCol w:w="2000"/>
        <w:gridCol w:w="2000"/>
        <w:gridCol w:w="2000"/>
        <w:gridCol w:w="2000"/>
      </w:tblGrid>
      <w:tr>
        <w:trPr>
          <w:tblHeader/>
          <w:trHeight w:val="400" w:hRule="atLeast"/>
        </w:trPr>
        <w:tc>
          <w:tcPr>
            <w:tcW w:w="16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指标</w:t>
            </w:r>
          </w:p>
        </w:tc>
        <w:tc>
          <w:tcPr>
            <w:tcW w:w="2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最佳模型</w:t>
            </w:r>
          </w:p>
        </w:tc>
        <w:tc>
          <w:tcPr>
            <w:tcW w:w="2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特征方案</w:t>
            </w:r>
          </w:p>
        </w:tc>
        <w:tc>
          <w:tcPr>
            <w:tcW w:w="2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测试集R²</w:t>
            </w:r>
          </w:p>
        </w:tc>
        <w:tc>
          <w:tcPr>
            <w:tcW w:w="2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测试集RMSE</w:t>
            </w:r>
          </w:p>
        </w:tc>
      </w:tr>
      <w:tr>
        <w:trPr>
          <w:trHeight w:val="360" w:hRule="atLeast"/>
        </w:trP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糖度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岭回归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R210+S960双光谱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0.7051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0.8071</w:t>
            </w:r>
          </w:p>
        </w:tc>
      </w:tr>
      <w:tr>
        <w:trPr>
          <w:trHeight w:val="360" w:hRule="atLeast"/>
        </w:trP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VC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PLS回归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R210单光谱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0.3778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5.7642</w:t>
            </w:r>
          </w:p>
        </w:tc>
      </w:tr>
      <w:tr>
        <w:trPr>
          <w:trHeight w:val="360" w:hRule="atLeast"/>
        </w:trP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糖酸比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PLS回归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R210单光谱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0.3654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2.9632</w:t>
            </w:r>
          </w:p>
        </w:tc>
      </w:tr>
    </w:tbl>
    <w:p>
      <w:pPr>
        <w:pStyle w:val="Caption"/>
      </w:pPr>
      <w:r>
        <w:t>表5-3 品质预测代表性结果</w:t>
      </w:r>
    </w:p>
    <w:p>
      <w:pPr>
        <w:pStyle w:val="Heading3"/>
      </w:pPr>
      <w:r>
        <w:t>5.2.3 液质成分预测结果</w:t>
      </w:r>
    </w:p>
    <w:p>
      <w:r>
        <w:t>液质成分预测是本项目最能体现多模态分析价值的部分。基线实验中，R210+S960双光谱+岭回归已取得验证集平均R²=0.6811、测试集平均R²=0.6620。引入SNV预处理、PCA降维和参数搜索后，验证集平均R²提升到0.7104，测试集平均R²提升到0.6975。</w:t>
      </w:r>
    </w:p>
    <w:p>
      <w:pPr/>
      <w:r>
        <w:rPr/>
        <w:t>这一部分最能体现项目在“从宏观品质到内部成分”上的延伸能力。基线结果已经证明双光谱对液质成分整体具有较好响应，后续优化则进一步把平均水平推高，使模型不只在单个目标上有效，而是在整体任务上都更稳定。</w:t>
      </w:r>
    </w:p>
    <w:p>
      <w:pPr/>
      <w:r>
        <w:rPr/>
        <w:t>代表性目标中，异柠檬酸、莽草酸、蔗糖等结果表现较为突出，其中异柠檬酸测试集R²达到0.8225，莽草酸达到0.8024。这样一来，项目不只是回答“来自哪里”“糖度怎样”，还能够把内部成分差异纳入同一套分析框架，这也是全文后半部分最值得展开的内容。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2600"/>
        <w:gridCol w:w="2400"/>
        <w:gridCol w:w="2400"/>
        <w:gridCol w:w="2000"/>
      </w:tblGrid>
      <w:tr>
        <w:trPr>
          <w:tblHeader/>
          <w:trHeight w:val="400" w:hRule="atLeast"/>
        </w:trPr>
        <w:tc>
          <w:tcPr>
            <w:tcW w:w="26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阶段</w:t>
            </w:r>
          </w:p>
        </w:tc>
        <w:tc>
          <w:tcPr>
            <w:tcW w:w="24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验证集平均R²</w:t>
            </w:r>
          </w:p>
        </w:tc>
        <w:tc>
          <w:tcPr>
            <w:tcW w:w="24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测试集平均R²</w:t>
            </w:r>
          </w:p>
        </w:tc>
        <w:tc>
          <w:tcPr>
            <w:tcW w:w="2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说明</w:t>
            </w:r>
          </w:p>
        </w:tc>
      </w:tr>
      <w:tr>
        <w:trPr>
          <w:trHeight w:val="360" w:hRule="atLeast"/>
        </w:trPr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基线实验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0.6811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0.6620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R210+S960双光谱+岭回归</w:t>
            </w:r>
          </w:p>
        </w:tc>
      </w:tr>
      <w:tr>
        <w:trPr>
          <w:trHeight w:val="360" w:hRule="atLeast"/>
        </w:trPr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优化后最优验证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0.7104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0.6803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SNV+PCA+Ridge搜索</w:t>
            </w:r>
          </w:p>
        </w:tc>
      </w:tr>
      <w:tr>
        <w:trPr>
          <w:trHeight w:val="360" w:hRule="atLeast"/>
        </w:trPr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优化后最优测试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0.7048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0.6975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SNV+PCA+Ridge搜索</w:t>
            </w:r>
          </w:p>
        </w:tc>
      </w:tr>
    </w:tbl>
    <w:p>
      <w:pPr>
        <w:pStyle w:val="Caption"/>
      </w:pPr>
      <w:r>
        <w:t>表5-4 液质成分任务整体增益</w:t>
      </w:r>
    </w:p>
    <w:p>
      <w:r>
        <w:br w:type="page"/>
      </w:r>
    </w:p>
    <w:p>
      <w:pPr>
        <w:pStyle w:val="Heading1"/>
      </w:pPr>
      <w:bookmarkStart w:name="_Toc006" w:id="006"/>
      <w:r>
        <w:t>第六章 项目总结</w:t>
      </w:r>
      <w:bookmarkEnd w:id="006"/>
    </w:p>
    <w:p>
      <w:pPr>
        <w:pStyle w:val="Heading2"/>
      </w:pPr>
      <w:r>
        <w:t>6.1 项目特色与创新点</w:t>
      </w:r>
    </w:p>
    <w:p>
      <w:r>
        <w:t>本项目具有以下四个方面的特色与创新：</w:t>
      </w:r>
    </w:p>
    <w:p>
      <w:pPr/>
      <w:r>
        <w:rPr/>
        <w:t>这四个方面并不是简单并列关系，而是前后衔接的。数据治理决定正式实验能否站住，多任务协同决定项目是否具有整体性，结果组织决定材料是否适合展示，场景贯通则决定项目能否从比赛文本延伸到真实应用。正因为四者同时成立，项目的创新点才不只是概念，而是具体落实到数据、实验和系统中的实际做法。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2400"/>
        <w:gridCol w:w="6600"/>
      </w:tblGrid>
      <w:tr>
        <w:trPr>
          <w:tblHeader/>
          <w:trHeight w:val="400" w:hRule="atLeast"/>
        </w:trPr>
        <w:tc>
          <w:tcPr>
            <w:tcW w:w="24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创新点</w:t>
            </w:r>
          </w:p>
        </w:tc>
        <w:tc>
          <w:tcPr>
            <w:tcW w:w="66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具体体现</w:t>
            </w:r>
          </w:p>
        </w:tc>
      </w:tr>
      <w:tr>
        <w:trPr>
          <w:trHeight w:val="36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数据治理创新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识别HSI跨产地完全重复问题，剔除异常模态并重建安全主表</w:t>
            </w:r>
          </w:p>
        </w:tc>
      </w:tr>
      <w:tr>
        <w:trPr>
          <w:trHeight w:val="36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多任务协同创新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产地、品质、液质成分三类任务共用统一样本体系和统一划分方案</w:t>
            </w:r>
          </w:p>
        </w:tc>
      </w:tr>
      <w:tr>
        <w:trPr>
          <w:trHeight w:val="36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结果组织创新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分析结果围绕样本编号组织为页面展示、历史记录和正式报告</w:t>
            </w:r>
          </w:p>
        </w:tc>
      </w:tr>
      <w:tr>
        <w:trPr>
          <w:trHeight w:val="36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场景贯通创新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把样本录入、分析处理、结果说明和留档放到同一条项目链路中</w:t>
            </w:r>
          </w:p>
        </w:tc>
      </w:tr>
    </w:tbl>
    <w:p>
      <w:pPr>
        <w:pStyle w:val="Caption"/>
      </w:pPr>
      <w:r>
        <w:t>表6-1 项目特色与创新点</w:t>
      </w:r>
    </w:p>
    <w:p>
      <w:pPr>
        <w:pStyle w:val="Heading2"/>
      </w:pPr>
      <w:r>
        <w:t>6.2 应用推广前景</w:t>
      </w:r>
    </w:p>
    <w:p>
      <w:r>
        <w:t>本项目最适合首先落在海南特色柑橘的品质检测与产地说明场景。随着样本规模扩大和品类继续接入，推广对象不局限于两类柑橘样本。以当前的数据治理方法、多任务分析流程和结果组织方式为基础，项目可继续扩展到更多柑橘品种及其他特色农产品场景，在区域农业数字化、标准化和品牌化建设中形成可复用的方法模板。</w:t>
      </w:r>
    </w:p>
    <w:p>
      <w:pPr/>
      <w:r>
        <w:rPr/>
        <w:t>从推广路径看，项目完全可以先从区域示范和赛事展示切入，再向合作社试用、品牌展示、教学演示等方向逐步展开。前期依托现有样本和页面即可完成演示验证，中期可通过持续扩充批次样本增强稳定性，后期则可把当前方法迁移到更多柑橘品种甚至其他特色果品中，形成更大范围的应用价值。</w:t>
      </w:r>
    </w:p>
    <w:p>
      <w:pPr>
        <w:pStyle w:val="Heading2"/>
      </w:pPr>
      <w:r>
        <w:t>6.3 未来展望</w:t>
      </w:r>
    </w:p>
    <w:p>
      <w:r>
        <w:t>下一阶段，项目将继续围绕样本扩充、品类扩展和结果表达深化三条线推进。样本侧将引入更多批次和季节数据，增强模型对实际生产场景的覆盖；任务侧将把现有双光谱分析方法推广到更多柑橘与特色农产品；表达侧将继续丰富图表展示、报告模板和场景化说明，使项目在比赛展示之外，也能更好服务于区域品牌建设和农业数字化应用。</w:t>
      </w:r>
    </w:p>
    <w:p>
      <w:pPr/>
      <w:r>
        <w:rPr/>
        <w:t>总体来看，本项目已经完成了从数据治理、正式实验到系统展示的主体工作，后续提升的重点不再是从零搭建，而是继续把样本规模做厚、把任务范围做宽、把结果表达做细。这样推进下去，项目既能保持比赛稿的完整性，也更有机会在真实场景中逐步形成持续使用价值。</w:t>
      </w:r>
    </w:p>
    <w:p>
      <w:r>
        <w:br w:type="page"/>
      </w:r>
    </w:p>
    <w:p>
      <w:pPr>
        <w:pStyle w:val="Heading1"/>
      </w:pPr>
      <w:bookmarkStart w:name="_Toc007" w:id="007"/>
      <w:r>
        <w:t>参考文献</w:t>
      </w:r>
      <w:bookmarkEnd w:id="007"/>
    </w:p>
    <w:p>
      <w:pPr>
        <w:spacing w:after="120"/>
        <w:ind w:left="420" w:hanging="420" w:firstLine="0"/>
      </w:pPr>
      <w:r>
        <w:rPr>
          <w:sz w:val="20"/>
        </w:rPr>
        <w:t>[1] 谭正林, 吴谋成, 傅廷栋. 近红外光谱技术在农产品品质检测中的应用[J]. 中国油料作物学报, 2012, 34(4): 455-460.</w:t>
      </w:r>
    </w:p>
    <w:p>
      <w:pPr>
        <w:spacing w:after="120"/>
        <w:ind w:left="420" w:hanging="420" w:firstLine="0"/>
      </w:pPr>
      <w:r>
        <w:rPr>
          <w:sz w:val="20"/>
        </w:rPr>
        <w:t>[2] 江南大学姚卫蓉教授团队. 深度学习驱动的可见/近红外光谱设备在水果品质评估中的应用[J]. Trends in Food Science &amp; Technology, 2025.</w:t>
      </w:r>
    </w:p>
    <w:p>
      <w:pPr>
        <w:spacing w:after="120"/>
        <w:ind w:left="420" w:hanging="420" w:firstLine="0"/>
      </w:pPr>
      <w:r>
        <w:rPr>
          <w:sz w:val="20"/>
        </w:rPr>
        <w:t>[3] 农业农村部. 2024年全国农业统计公报[R]. 2024.</w:t>
      </w:r>
    </w:p>
    <w:p>
      <w:pPr>
        <w:spacing w:after="120"/>
        <w:ind w:left="420" w:hanging="420" w:firstLine="0"/>
      </w:pPr>
      <w:r>
        <w:rPr>
          <w:sz w:val="20"/>
        </w:rPr>
        <w:t>[4] 共研网. 2025-2031年中国柑橘市场深度调查报告[R]. 2025.</w:t>
      </w:r>
    </w:p>
    <w:p>
      <w:pPr>
        <w:spacing w:after="120"/>
        <w:ind w:left="420" w:hanging="420" w:firstLine="0"/>
      </w:pPr>
      <w:r>
        <w:rPr>
          <w:sz w:val="20"/>
        </w:rPr>
        <w:t>[5] Lu Z, Jia K, Zhang H, et al. Geographical Origin Identification of Citrus Fruits Based on Near-Infrared Spectroscopy Combined with Convolutional Neural Network and Data Augmentation[J]. Agriculture, 2025, 15(22): 2350.</w:t>
      </w:r>
    </w:p>
    <w:p>
      <w:pPr>
        <w:spacing w:after="120"/>
        <w:ind w:left="420" w:hanging="420" w:firstLine="0"/>
      </w:pPr>
      <w:r>
        <w:rPr>
          <w:sz w:val="20"/>
        </w:rPr>
        <w:t>[6] Wu D, Sun D W. Advanced applications of hyperspectral imaging technology for food quality and safety analysis and assessment: A review[J]. Innovative Food Science &amp; Emerging Technologies, 2013, 19: 1-14.</w:t>
      </w:r>
    </w:p>
    <w:p>
      <w:pPr>
        <w:spacing w:after="120"/>
        <w:ind w:left="420" w:hanging="420" w:firstLine="0"/>
      </w:pPr>
      <w:r>
        <w:rPr>
          <w:sz w:val="20"/>
        </w:rPr>
        <w:t>[7] Liu Y, Sun X, Ouyang A. Nondestructive measurement of soluble solid content of navel orange fruit by visible-NIR spectrometric technique with PLSR and PCA-BPNN[J]. LWT - Food Science and Technology, 2010, 43(4): 602-607.</w:t>
      </w:r>
    </w:p>
    <w:p>
      <w:pPr>
        <w:spacing w:after="120"/>
        <w:ind w:left="420" w:hanging="420" w:firstLine="0"/>
      </w:pPr>
      <w:r>
        <w:rPr>
          <w:sz w:val="20"/>
        </w:rPr>
        <w:t>[8] Liu Y, Chen S, Zhang F, et al. Simultaneous detection of citrus internal quality attributes based on near-infrared spectroscopy and hyperspectral imaging with multi-task deep learning and instrumental transfer learning[J]. Food Chemistry, 2025, 472: 144337.</w:t>
      </w:r>
    </w:p>
    <w:p>
      <w:pPr>
        <w:sectPr>
          <w:headerReference w:type="default" r:id="R7ab6dd7af2594990"/>
          <w:footerReference w:type="default" r:id="Rf628ff61631f47db"/>
          <w:type w:val="nextPage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coverBackground.png"/>
                    <pic:cNvPicPr/>
                  </pic:nvPicPr>
                  <pic:blipFill>
                    <a:blip r:embed="Rb4e2e446d535445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000"/>
      </w:pPr>
      <w:r/>
    </w:p>
    <w:p>
      <w:pPr>
        <w:spacing w:after="400"/>
        <w:jc w:val="center"/>
      </w:pPr>
      <w:r>
        <w:rPr>
          <w:rFonts w:eastAsia="SimHei"/>
          <w:color w:val="FFFFFF"/>
          <w:sz w:val="36"/>
        </w:rPr>
        <w:t>橙源智鉴</w:t>
      </w:r>
    </w:p>
    <w:p>
      <w:pPr>
        <w:spacing w:after="200"/>
        <w:jc w:val="center"/>
      </w:pPr>
      <w:r>
        <w:rPr>
          <w:color w:val="BEE3F8"/>
          <w:sz w:val="21"/>
        </w:rPr>
        <w:t>基于多模态光谱融合的海南柑橘品质智能检测与产地溯源系统</w:t>
      </w:r>
    </w:p>
    <w:p>
      <w:pPr>
        <w:jc w:val="center"/>
      </w:pPr>
      <w:r>
        <w:rPr>
          <w:color w:val="BEE3F8"/>
          <w:sz w:val="18"/>
        </w:rPr>
        <w:t>2025年（第18届）中国大学生计算机设计大赛  大数据实践赛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18096"/>
        <w:sz w:val="18"/>
      </w:rPr>
      <w:fldChar w:fldCharType="begin"/>
      <w:instrText> PAGE </w:instrText>
      <w:fldChar w:fldCharType="separate"/>
      <w:t>1</w:t>
      <w:fldChar w:fldCharType="end"/>
    </w:r>
    <w:r>
      <w:t xml:space="preserve"> / </w:t>
    </w:r>
    <w:r>
      <w:rPr>
        <w:color w:val="718096"/>
        <w:sz w:val="18"/>
      </w:rPr>
      <w:fldChar w:fldCharType="begin"/>
      <w:instrText> NUMPAGES </w:instrText>
      <w:fldChar w:fldCharType="separate"/>
      <w:t>1</w:t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ackgrou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ackground.png"/>
                  <pic:cNvPicPr/>
                </pic:nvPicPr>
                <pic:blipFill>
                  <a:blip r:embed="R8aec5b54aaa643b5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color w:val="718096"/>
        <w:sz w:val="18"/>
      </w:rPr>
      <w:t>橙源智鉴——海南柑橘品质智能检测与产地溯源系统</w:t>
    </w:r>
    <w:r>
      <w:rPr>
        <w:color w:val="2C5282"/>
        <w:sz w:val="18"/>
      </w:rPr>
      <w:t xml:space="preserve">  |  </w:t>
    </w:r>
    <w:r>
      <w:rPr>
        <w:color w:val="718096"/>
        <w:sz w:val="18"/>
      </w:rPr>
      <w:t>中国大学生计算机设计大赛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60" w:lineRule="auto"/>
      <w:ind w:firstLine="420"/>
    </w:pPr>
    <w:rPr>
      <w:rFonts w:ascii="Calibri" w:hAnsi="Calibri" w:eastAsia="Microsoft YaHei"/>
      <w:color w:val="1A365D"/>
      <w:sz w:val="21"/>
    </w:rPr>
  </w:style>
  <w:style w:type="paragraph" w:styleId="Heading1">
    <w:name w:val="heading 1"/>
    <w:basedOn w:val="Normal"/>
    <w:pPr>
      <w:keepNext/>
      <w:keepLines/>
      <w:spacing w:before="600" w:after="300" w:line="240" w:lineRule="auto"/>
      <w:ind w:firstLine="0"/>
      <w:outlineLvl w:val="0"/>
    </w:pPr>
    <w:rPr>
      <w:rFonts w:eastAsia="SimHei"/>
      <w:b/>
      <w:color w:val="2C5282"/>
      <w:sz w:val="32"/>
    </w:rPr>
  </w:style>
  <w:style w:type="paragraph" w:styleId="Heading2">
    <w:name w:val="heading 2"/>
    <w:basedOn w:val="Normal"/>
    <w:pPr>
      <w:keepNext/>
      <w:keepLines/>
      <w:spacing w:before="400" w:after="200"/>
      <w:ind w:firstLine="0"/>
      <w:outlineLvl w:val="1"/>
    </w:pPr>
    <w:rPr>
      <w:rFonts w:eastAsia="SimHei"/>
      <w:b/>
      <w:color w:val="1A365D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b/>
      <w:color w:val="4A5568"/>
      <w:sz w:val="24"/>
    </w:rPr>
  </w:style>
  <w:style w:type="paragraph" w:styleId="Caption">
    <w:name w:val="Caption"/>
    <w:basedOn w:val="Normal"/>
    <w:pPr>
      <w:keepLines/>
      <w:spacing w:before="60" w:after="400"/>
      <w:ind w:firstLine="0"/>
      <w:jc w:val="center"/>
    </w:pPr>
    <w:rPr>
      <w:color w:val="4A5568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firstLine="0"/>
    </w:pPr>
    <w:rPr>
      <w:b/>
      <w:color w:val="1A365D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420" w:firstLine="0"/>
    </w:pPr>
    <w:rPr>
      <w:color w:val="4A5568"/>
    </w:rPr>
  </w:style>
</w:styles>
</file>

<file path=word/_rels/document.xml.rels><?xml version='1.0' encoding='UTF-8' standalone='yes'?>
<Relationships xmlns="http://schemas.openxmlformats.org/package/2006/relationships"><Relationship Id="R1c5643cc29744ccf" Type="http://schemas.openxmlformats.org/officeDocument/2006/relationships/styles" Target="styles.xml"/><Relationship Id="Rdd34b5841973475c" Type="http://schemas.openxmlformats.org/officeDocument/2006/relationships/numbering" Target="numbering.xml"/><Relationship Id="Rd559b5c469e9404d" Type="http://schemas.openxmlformats.org/officeDocument/2006/relationships/image" Target="../media/image.png"/><Relationship Id="Rb4e2e446d5354457" Type="http://schemas.openxmlformats.org/officeDocument/2006/relationships/image" Target="../media/image2.png"/><Relationship Id="R7ab6dd7af2594990" Type="http://schemas.openxmlformats.org/officeDocument/2006/relationships/header" Target="header1.xml"/><Relationship Id="Rf628ff61631f47db" Type="http://schemas.openxmlformats.org/officeDocument/2006/relationships/footer" Target="footer1.xml"/><Relationship Id="Rd84cfa38ab9b424f" Type="http://schemas.openxmlformats.org/officeDocument/2006/relationships/settings" Target="settings.xml"/></Relationships>
</file>

<file path=word/_rels/header1.xml.rels><?xml version='1.0' encoding='UTF-8' standalone='yes'?>
<Relationships xmlns="http://schemas.openxmlformats.org/package/2006/relationships"><Relationship Id="R8aec5b54aaa643b5" Type="http://schemas.openxmlformats.org/officeDocument/2006/relationships/image" Target="../media/image3.png"/></Relationships>
</file>