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4D4E7">
      <w:pPr>
        <w:keepNext w:val="0"/>
        <w:keepLines w:val="0"/>
        <w:widowControl/>
        <w:suppressLineNumbers w:val="0"/>
        <w:shd w:val="clear" w:fill="FFFFFF"/>
        <w:spacing w:before="0" w:beforeAutospacing="0" w:after="0" w:afterAutospacing="0" w:line="360" w:lineRule="atLeast"/>
        <w:ind w:left="0" w:right="0"/>
        <w:jc w:val="center"/>
        <w:rPr>
          <w:rFonts w:hint="eastAsia" w:ascii="华文中宋" w:hAnsi="华文中宋" w:eastAsia="华文中宋" w:cs="Arial"/>
          <w:b/>
          <w:bCs/>
          <w:color w:val="333333"/>
          <w:kern w:val="0"/>
          <w:sz w:val="56"/>
          <w:szCs w:val="56"/>
          <w:shd w:val="clear" w:fill="FFFFFF"/>
        </w:rPr>
      </w:pPr>
      <w:r>
        <w:rPr>
          <w:rFonts w:hint="eastAsia" w:ascii="宋体" w:hAnsi="宋体" w:eastAsia="宋体" w:cs="Times New Roman"/>
          <w:kern w:val="0"/>
          <w:sz w:val="24"/>
          <w:szCs w:val="24"/>
          <w:shd w:val="clear" w:fill="FFFFFF"/>
          <w:lang w:val="en-US" w:eastAsia="zh-CN" w:bidi="ar"/>
        </w:rPr>
        <w:drawing>
          <wp:inline distT="0" distB="0" distL="114300" distR="114300">
            <wp:extent cx="1028700" cy="847725"/>
            <wp:effectExtent l="0" t="0" r="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1028700" cy="847725"/>
                    </a:xfrm>
                    <a:prstGeom prst="rect">
                      <a:avLst/>
                    </a:prstGeom>
                    <a:noFill/>
                    <a:ln w="9525">
                      <a:noFill/>
                    </a:ln>
                  </pic:spPr>
                </pic:pic>
              </a:graphicData>
            </a:graphic>
          </wp:inline>
        </w:drawing>
      </w:r>
    </w:p>
    <w:p w14:paraId="2B2283BA">
      <w:pPr>
        <w:keepNext w:val="0"/>
        <w:keepLines w:val="0"/>
        <w:widowControl/>
        <w:suppressLineNumbers w:val="0"/>
        <w:shd w:val="clear" w:fill="FFFFFF"/>
        <w:spacing w:before="0" w:beforeAutospacing="0" w:after="0" w:afterAutospacing="0" w:line="360" w:lineRule="atLeast"/>
        <w:ind w:left="0" w:right="0"/>
        <w:jc w:val="center"/>
        <w:rPr>
          <w:rFonts w:hint="eastAsia" w:ascii="华文中宋" w:hAnsi="华文中宋" w:eastAsia="华文中宋" w:cs="Arial"/>
          <w:b/>
          <w:bCs/>
          <w:color w:val="333333"/>
          <w:kern w:val="0"/>
          <w:sz w:val="56"/>
          <w:szCs w:val="56"/>
          <w:shd w:val="clear" w:fill="FFFFFF"/>
        </w:rPr>
      </w:pPr>
      <w:r>
        <w:rPr>
          <w:rFonts w:hint="eastAsia" w:ascii="华文中宋" w:hAnsi="华文中宋" w:eastAsia="华文中宋" w:cs="华文中宋"/>
          <w:b/>
          <w:bCs/>
          <w:color w:val="333333"/>
          <w:kern w:val="0"/>
          <w:sz w:val="56"/>
          <w:szCs w:val="56"/>
          <w:shd w:val="clear" w:fill="FFFFFF"/>
          <w:lang w:val="en-US" w:eastAsia="zh-CN" w:bidi="ar"/>
        </w:rPr>
        <w:t>2023年（第16届）</w:t>
      </w:r>
    </w:p>
    <w:p w14:paraId="6FF0B84F">
      <w:pPr>
        <w:keepNext w:val="0"/>
        <w:keepLines w:val="0"/>
        <w:widowControl/>
        <w:suppressLineNumbers w:val="0"/>
        <w:shd w:val="clear" w:fill="FFFFFF"/>
        <w:spacing w:before="0" w:beforeAutospacing="0" w:after="0" w:afterAutospacing="0" w:line="360" w:lineRule="atLeast"/>
        <w:ind w:left="0" w:right="0"/>
        <w:jc w:val="distribute"/>
        <w:rPr>
          <w:rFonts w:hint="eastAsia" w:ascii="华文中宋" w:hAnsi="华文中宋" w:eastAsia="华文中宋" w:cs="Arial"/>
          <w:b/>
          <w:bCs/>
          <w:color w:val="333333"/>
          <w:kern w:val="0"/>
          <w:sz w:val="56"/>
          <w:szCs w:val="56"/>
          <w:shd w:val="clear" w:fill="FFFFFF"/>
        </w:rPr>
      </w:pPr>
      <w:r>
        <w:rPr>
          <w:rFonts w:hint="eastAsia" w:ascii="华文中宋" w:hAnsi="华文中宋" w:eastAsia="华文中宋" w:cs="华文中宋"/>
          <w:b/>
          <w:bCs/>
          <w:color w:val="333333"/>
          <w:kern w:val="0"/>
          <w:sz w:val="56"/>
          <w:szCs w:val="56"/>
          <w:shd w:val="clear" w:fill="FFFFFF"/>
          <w:lang w:val="en-US" w:eastAsia="zh-CN" w:bidi="ar"/>
        </w:rPr>
        <w:t>中国大学生计算机设计大赛</w:t>
      </w:r>
    </w:p>
    <w:p w14:paraId="57CF3207">
      <w:pPr>
        <w:keepNext w:val="0"/>
        <w:keepLines w:val="0"/>
        <w:widowControl/>
        <w:suppressLineNumbers w:val="0"/>
        <w:shd w:val="clear" w:fill="FFFFFF"/>
        <w:spacing w:before="0" w:beforeAutospacing="0" w:after="0" w:afterAutospacing="0" w:line="360" w:lineRule="atLeast"/>
        <w:ind w:left="0" w:right="0"/>
        <w:jc w:val="center"/>
        <w:rPr>
          <w:rFonts w:hint="default" w:ascii="Arial" w:hAnsi="Arial" w:eastAsia="宋体" w:cs="Arial"/>
          <w:color w:val="333333"/>
          <w:kern w:val="0"/>
          <w:sz w:val="21"/>
          <w:szCs w:val="21"/>
          <w:shd w:val="clear" w:fill="FFFFFF"/>
        </w:rPr>
      </w:pPr>
      <w:r>
        <w:rPr>
          <w:rFonts w:hint="default" w:ascii="Arial" w:hAnsi="Arial" w:eastAsia="宋体" w:cs="Arial"/>
          <w:color w:val="333333"/>
          <w:kern w:val="0"/>
          <w:sz w:val="21"/>
          <w:szCs w:val="21"/>
          <w:shd w:val="clear" w:fill="FFFFFF"/>
          <w:lang w:val="en-US" w:eastAsia="zh-CN" w:bidi="ar"/>
        </w:rPr>
        <w:t xml:space="preserve"> </w:t>
      </w:r>
    </w:p>
    <w:p w14:paraId="70F9DE71">
      <w:pPr>
        <w:keepNext w:val="0"/>
        <w:keepLines w:val="0"/>
        <w:widowControl/>
        <w:suppressLineNumbers w:val="0"/>
        <w:shd w:val="clear" w:fill="FFFFFF"/>
        <w:spacing w:before="624" w:beforeLines="200" w:beforeAutospacing="0" w:after="624" w:afterLines="200" w:afterAutospacing="0" w:line="360" w:lineRule="atLeast"/>
        <w:ind w:left="0" w:right="0"/>
        <w:jc w:val="center"/>
        <w:rPr>
          <w:rFonts w:hint="eastAsia" w:ascii="华文楷体" w:hAnsi="华文楷体" w:eastAsia="华文楷体" w:cs="Arial"/>
          <w:color w:val="333333"/>
          <w:kern w:val="0"/>
          <w:sz w:val="40"/>
          <w:szCs w:val="40"/>
          <w:shd w:val="clear" w:fill="FFFFFF"/>
        </w:rPr>
      </w:pPr>
      <w:r>
        <w:rPr>
          <w:rFonts w:hint="eastAsia" w:ascii="华文楷体" w:hAnsi="华文楷体" w:eastAsia="华文楷体" w:cs="华文楷体"/>
          <w:color w:val="333333"/>
          <w:kern w:val="0"/>
          <w:sz w:val="40"/>
          <w:szCs w:val="40"/>
          <w:shd w:val="clear" w:fill="FFFFFF"/>
          <w:lang w:val="en-US" w:eastAsia="zh-CN" w:bidi="ar"/>
        </w:rPr>
        <w:t>大数据实践赛作品报告</w:t>
      </w:r>
    </w:p>
    <w:p w14:paraId="62558240">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Arial"/>
          <w:color w:val="333333"/>
          <w:kern w:val="0"/>
          <w:sz w:val="32"/>
          <w:szCs w:val="32"/>
          <w:shd w:val="clear" w:fill="FFFFFF"/>
        </w:rPr>
      </w:pPr>
      <w:r>
        <w:rPr>
          <w:rFonts w:hint="eastAsia" w:ascii="宋体" w:hAnsi="宋体" w:eastAsia="宋体" w:cs="宋体"/>
          <w:color w:val="333333"/>
          <w:kern w:val="0"/>
          <w:sz w:val="32"/>
          <w:szCs w:val="32"/>
          <w:shd w:val="clear" w:fill="FFFFFF"/>
          <w:lang w:val="en-US" w:eastAsia="zh-CN" w:bidi="ar"/>
        </w:rPr>
        <w:t>作品编号：</w:t>
      </w:r>
      <w:r>
        <w:rPr>
          <w:rFonts w:hint="eastAsia" w:ascii="宋体" w:hAnsi="宋体" w:eastAsia="宋体" w:cs="宋体"/>
          <w:color w:val="333333"/>
          <w:kern w:val="0"/>
          <w:sz w:val="32"/>
          <w:szCs w:val="32"/>
          <w:u w:val="single"/>
          <w:shd w:val="clear" w:fill="FFFFFF"/>
          <w:lang w:val="en-US" w:eastAsia="zh-CN" w:bidi="ar"/>
        </w:rPr>
        <w:t xml:space="preserve">                             </w:t>
      </w:r>
    </w:p>
    <w:p w14:paraId="51438039">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Arial"/>
          <w:color w:val="333333"/>
          <w:kern w:val="0"/>
          <w:sz w:val="32"/>
          <w:szCs w:val="32"/>
          <w:shd w:val="clear" w:fill="FFFFFF"/>
        </w:rPr>
      </w:pPr>
      <w:r>
        <w:rPr>
          <w:rFonts w:hint="eastAsia" w:ascii="宋体" w:hAnsi="宋体" w:eastAsia="宋体" w:cs="宋体"/>
          <w:color w:val="333333"/>
          <w:kern w:val="0"/>
          <w:sz w:val="32"/>
          <w:szCs w:val="32"/>
          <w:shd w:val="clear" w:fill="FFFFFF"/>
          <w:lang w:val="en-US" w:eastAsia="zh-CN" w:bidi="ar"/>
        </w:rPr>
        <w:t>作品名称：</w:t>
      </w:r>
      <w:r>
        <w:rPr>
          <w:rFonts w:hint="eastAsia" w:ascii="宋体" w:hAnsi="宋体" w:eastAsia="宋体" w:cs="宋体"/>
          <w:color w:val="333333"/>
          <w:kern w:val="0"/>
          <w:sz w:val="32"/>
          <w:szCs w:val="32"/>
          <w:u w:val="single"/>
          <w:shd w:val="clear" w:fill="FFFFFF"/>
          <w:lang w:val="en-US" w:eastAsia="zh-CN" w:bidi="ar"/>
        </w:rPr>
        <w:t xml:space="preserve">                             </w:t>
      </w:r>
    </w:p>
    <w:p w14:paraId="1BF45E5F">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shd w:val="clear" w:fill="FFFFFF"/>
          <w:lang w:val="en-US" w:eastAsia="zh-CN" w:bidi="ar"/>
        </w:rPr>
        <w:t>填写日期：</w:t>
      </w:r>
      <w:r>
        <w:rPr>
          <w:rFonts w:hint="eastAsia" w:ascii="宋体" w:hAnsi="宋体" w:eastAsia="宋体" w:cs="宋体"/>
          <w:color w:val="333333"/>
          <w:kern w:val="0"/>
          <w:sz w:val="32"/>
          <w:szCs w:val="32"/>
          <w:u w:val="single"/>
          <w:shd w:val="clear" w:fill="FFFFFF"/>
          <w:lang w:val="en-US" w:eastAsia="zh-CN" w:bidi="ar"/>
        </w:rPr>
        <w:t xml:space="preserve">                             </w:t>
      </w:r>
    </w:p>
    <w:p w14:paraId="2AFAD654">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27350369">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3D0C0085">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1C147046">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4D7FD00E">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227DC70E">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75E1CFD8">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4AB1CE0F">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52D8D073">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1228D91E">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4A8F9904">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061AC7D4">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2458005D">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20AB5314">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72EA4B13">
      <w:pPr>
        <w:pStyle w:val="3"/>
        <w:keepNext w:val="0"/>
        <w:keepLines w:val="0"/>
        <w:widowControl/>
        <w:suppressLineNumbers w:val="0"/>
        <w:rPr>
          <w:rFonts w:hint="default" w:ascii="Calibri" w:hAnsi="Calibri" w:eastAsia="MS Gothic" w:cs="Times New Roman"/>
          <w:b/>
          <w:bCs/>
          <w:color w:val="366091"/>
          <w:sz w:val="28"/>
          <w:szCs w:val="28"/>
        </w:rPr>
      </w:pPr>
      <w:r>
        <w:rPr>
          <w:rFonts w:hint="eastAsia" w:ascii="MS Gothic" w:hAnsi="MS Gothic" w:eastAsia="MS Gothic" w:cs="MS Gothic"/>
          <w:b/>
          <w:bCs/>
          <w:color w:val="366091"/>
          <w:sz w:val="28"/>
          <w:szCs w:val="28"/>
        </w:rPr>
        <w:t>目录</w:t>
      </w:r>
    </w:p>
    <w:p w14:paraId="1091BA64">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第1章 作品概述</w:t>
      </w:r>
    </w:p>
    <w:p w14:paraId="24474E53">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1.1 项目背景</w:t>
      </w:r>
    </w:p>
    <w:p w14:paraId="1E0ABB52">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1.2 项目组成</w:t>
      </w:r>
    </w:p>
    <w:p w14:paraId="7531DAB8">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bookmarkStart w:id="0" w:name="_GoBack"/>
      <w:r>
        <w:rPr>
          <w:rFonts w:hint="eastAsia" w:ascii="宋体" w:hAnsi="宋体" w:eastAsia="宋体" w:cs="宋体"/>
          <w:kern w:val="0"/>
          <w:sz w:val="24"/>
          <w:szCs w:val="24"/>
          <w:lang w:val="en-US" w:eastAsia="zh-CN" w:bidi="ar"/>
        </w:rPr>
        <w:t>1.3 创新点</w:t>
      </w:r>
    </w:p>
    <w:bookmarkEnd w:id="0"/>
    <w:p w14:paraId="6600A91A">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第2章 问题分析</w:t>
      </w:r>
    </w:p>
    <w:p w14:paraId="4B5A078A">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2.1 问题来源</w:t>
      </w:r>
    </w:p>
    <w:p w14:paraId="0A33C45B">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2.2 现有解决方案</w:t>
      </w:r>
    </w:p>
    <w:p w14:paraId="04C00842">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2.3 本作品要解决的痛点问题</w:t>
      </w:r>
    </w:p>
    <w:p w14:paraId="308F83AC">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2.4 解决问题的思路</w:t>
      </w:r>
    </w:p>
    <w:p w14:paraId="1E6AC6DD">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第3章 技术方案</w:t>
      </w:r>
    </w:p>
    <w:p w14:paraId="0D95DFA0">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3.1 总体技术路线</w:t>
      </w:r>
    </w:p>
    <w:p w14:paraId="19B686AC">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3.2 数据治理</w:t>
      </w:r>
    </w:p>
    <w:p w14:paraId="5EFF7529">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3.3 模型方法</w:t>
      </w:r>
    </w:p>
    <w:p w14:paraId="47713479">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3.4 多模态融合技术</w:t>
      </w:r>
    </w:p>
    <w:p w14:paraId="7879B348">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第4章 系统实现</w:t>
      </w:r>
    </w:p>
    <w:p w14:paraId="08588558">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4.1 系统架构</w:t>
      </w:r>
    </w:p>
    <w:p w14:paraId="50F9F440">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4.2 核心功能模块</w:t>
      </w:r>
    </w:p>
    <w:p w14:paraId="05BA94AF">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第5章 测试分析</w:t>
      </w:r>
    </w:p>
    <w:p w14:paraId="45571897">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5.1 测试设置</w:t>
      </w:r>
    </w:p>
    <w:p w14:paraId="1480F1D4">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5.2 产地溯源结果</w:t>
      </w:r>
    </w:p>
    <w:p w14:paraId="72EADDCC">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5.3 品质预测结果</w:t>
      </w:r>
    </w:p>
    <w:p w14:paraId="16D7A075">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5.4 液质成分结果</w:t>
      </w:r>
    </w:p>
    <w:p w14:paraId="623C4F57">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5.5 综合分析</w:t>
      </w:r>
    </w:p>
    <w:p w14:paraId="7E4EAB95">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第6章 作品总结</w:t>
      </w:r>
    </w:p>
    <w:p w14:paraId="4E996FA1">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6.1 作品特色与创新点</w:t>
      </w:r>
    </w:p>
    <w:p w14:paraId="2AD6C1CB">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6.2 应用推广</w:t>
      </w:r>
    </w:p>
    <w:p w14:paraId="319F9F30">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6.3 作品展望</w:t>
      </w:r>
    </w:p>
    <w:p w14:paraId="6E8D9BB7">
      <w:pPr>
        <w:keepNext w:val="0"/>
        <w:keepLines w:val="0"/>
        <w:widowControl/>
        <w:suppressLineNumbers w:val="0"/>
        <w:spacing w:before="0" w:beforeAutospacing="1" w:after="200" w:afterAutospacing="0" w:line="271" w:lineRule="auto"/>
        <w:ind w:left="0" w:right="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参考文献</w:t>
      </w:r>
    </w:p>
    <w:p w14:paraId="66131122">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114139DD">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5ED0CBA2">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26BBEFB8">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48572332">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60C386D8">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133947D1">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7E4E25AF">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64B3AD4F">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3E2AE936">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74E1C7E6">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0821F867">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7E784573">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6EBEC9A3">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75440294">
      <w:pPr>
        <w:keepNext w:val="0"/>
        <w:keepLines w:val="0"/>
        <w:widowControl/>
        <w:suppressLineNumbers w:val="0"/>
        <w:shd w:val="clear" w:fill="FFFFFF"/>
        <w:adjustRightInd w:val="0"/>
        <w:snapToGrid w:val="0"/>
        <w:spacing w:before="156" w:beforeLines="50" w:beforeAutospacing="0" w:after="156" w:afterLines="50" w:afterAutospacing="0" w:line="360" w:lineRule="atLeast"/>
        <w:ind w:left="324" w:leftChars="135" w:right="0"/>
        <w:jc w:val="left"/>
        <w:rPr>
          <w:rFonts w:hint="eastAsia" w:ascii="宋体" w:hAnsi="宋体" w:eastAsia="宋体" w:cs="宋体"/>
          <w:color w:val="333333"/>
          <w:kern w:val="0"/>
          <w:sz w:val="32"/>
          <w:szCs w:val="32"/>
          <w:u w:val="single"/>
          <w:shd w:val="clear" w:fill="FFFFFF"/>
        </w:rPr>
      </w:pPr>
      <w:r>
        <w:rPr>
          <w:rFonts w:hint="eastAsia" w:ascii="宋体" w:hAnsi="宋体" w:eastAsia="宋体" w:cs="宋体"/>
          <w:color w:val="333333"/>
          <w:kern w:val="0"/>
          <w:sz w:val="32"/>
          <w:szCs w:val="32"/>
          <w:u w:val="single"/>
          <w:shd w:val="clear" w:fill="FFFFFF"/>
          <w:lang w:val="en-US" w:eastAsia="zh-CN" w:bidi="ar"/>
        </w:rPr>
        <w:t xml:space="preserve"> </w:t>
      </w:r>
    </w:p>
    <w:p w14:paraId="361A1383">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第一章</w:t>
      </w:r>
      <w:r>
        <w:rPr>
          <w:rFonts w:hint="eastAsia" w:ascii="宋体" w:hAnsi="宋体" w:eastAsia="宋体" w:cs="Times New Roman"/>
          <w:b w:val="0"/>
          <w:bCs/>
          <w:color w:val="366091"/>
          <w:sz w:val="28"/>
          <w:szCs w:val="28"/>
        </w:rPr>
        <w:t xml:space="preserve"> </w:t>
      </w:r>
      <w:r>
        <w:rPr>
          <w:rFonts w:hint="eastAsia" w:ascii="宋体" w:hAnsi="宋体" w:eastAsia="宋体" w:cs="宋体"/>
          <w:b w:val="0"/>
          <w:bCs/>
          <w:color w:val="366091"/>
          <w:sz w:val="28"/>
          <w:szCs w:val="28"/>
        </w:rPr>
        <w:t>项目概述</w:t>
      </w:r>
    </w:p>
    <w:p w14:paraId="2F648AD1">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1.1 项目背景</w:t>
      </w:r>
    </w:p>
    <w:p w14:paraId="031D1477">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柑橘是我国重要的经济作物，</w:t>
      </w:r>
      <w:r>
        <w:rPr>
          <w:rFonts w:hint="eastAsia" w:ascii="宋体" w:hAnsi="宋体" w:eastAsia="宋体" w:cs="Times New Roman"/>
          <w:b w:val="0"/>
          <w:kern w:val="0"/>
          <w:sz w:val="24"/>
          <w:szCs w:val="24"/>
          <w:lang w:val="en-US" w:eastAsia="zh-CN" w:bidi="ar"/>
        </w:rPr>
        <w:t>2024年全国产量达6433.8万吨，占全球总产量的32.5%。海南省凭借独特的气候条件，培育出澄迈福橙和琼中绿橙两个地理标志保护产品。澄迈福橙于2012年获批地理标志产品，琼中绿橙于2006年获得地理标志保护。</w:t>
      </w:r>
    </w:p>
    <w:p w14:paraId="5CC41CD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地理标志保护制度为海南柑橘的品牌建设提供了有力支撑。地理标志是指标示某商品来源于某地区，且该商品的特定质量、信誉或者其他特征主要由该地区的自然因素或者人文因素所决定的标志。澄迈福橙和琼中绿橙获得地理标志保护后，品牌价值显著提升。消费者在购买时可以通过地理标志标识识别正品，产地的经济收益也因此增加。保护地理标志产品的一个重要方面就是能够准确识别产地，防止假冒产品混入。</w:t>
      </w:r>
    </w:p>
    <w:p w14:paraId="689DFB9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海南发展柑橘产业具有得天独厚的自然条件。海南地处热带北缘，属热带季风气候，光热资源充足，雨量充沛，非常适合柑橘生长。澄迈县位于海南岛北部，土壤肥沃，灌溉条件好，生产的福橙果形圆润、色泽鲜艳、口感清甜。琼中黎族苗族自治县位于海南岛中部，山地气候明显，生产的绿橙果皮呈现独特的绿色，果肉细嫩多汁。两地的柑橘在品质和特色上各有优势，都是海南柑橘产业的代表性品种。</w:t>
      </w:r>
    </w:p>
    <w:p w14:paraId="6CCCAA9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传统柑橘品质检测主要依赖人工经验判断，主观性强且标准不统一。理化检测方式虽然准确，但周期长、成本高、破坏性取样，难以大规模应用。近红外光谱技术作为一种快速、无损的分析方法，为柑橘品质检测提供了新的技术手段。</w:t>
      </w:r>
    </w:p>
    <w:p w14:paraId="1239646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近红外光谱技术作为一种快速、无损的分析方法，为解决上述问题提供了新的技术路径。该技术通过测量样品在近红外波段的光谱吸收特性，结合化学计量学方法，可以同时预测多个品质指标。检测速度快，单个样品的检测时间可以缩短到几分钟甚至几秒钟。无需样品前处理，简化了操作流程。可在线部署，适合在实际生产场景中使用。研究表明，结合机器学习算法的可见光和近红外光谱设备在水果品质评估中表现出色。</w:t>
      </w:r>
    </w:p>
    <w:p w14:paraId="7520DC8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人工经验判断虽然简单直接，但存在明显局限。不同人员的经验水平和判断标准可能不一致，导致判断结果的主观性较强。对于内部品质如糖度、酸度等，人工无法准确评估。理化检测方法虽然准确，但需要专业设备和操作人员，成本较高。破坏性取样意味着检测后的样品无法继续销售，造成资源浪费。检测周期从几小时到几天不等，难以满足快速筛查的需求。</w:t>
      </w:r>
    </w:p>
    <w:p w14:paraId="240E876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本项目以澄迈福橙和琼中绿橙为研究对象，整合可见光光谱和短波近红外光谱，结合机器学习方法，开发了一套智能检测系统。系统实现了产地溯源、品质预测和液质成分分析三大功能，并完成了从数据治理、模型训练到系统展示的完整技术链路。</w:t>
      </w:r>
    </w:p>
    <w:p w14:paraId="160C2790">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1.2 项目组成</w:t>
      </w:r>
    </w:p>
    <w:p w14:paraId="672CCCD0">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1.2.1 数据层与治理基础</w:t>
      </w:r>
    </w:p>
    <w:p w14:paraId="6A9B9C1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本项目由数据层、模型层和展示层三部分组成。</w:t>
      </w:r>
    </w:p>
    <w:p w14:paraId="0C4884B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模型层是系统的核心，负责数据分析和预测。模型层包含多个分析模块，每个模块负责一种特定的分析任务。产地溯源模块使用分类模型进行预测，品质预测模块使用回归模型进行预测，液质成分分析模块使用多目标回归模型进行预测。模型层还包含模型管理功能，支持模型的训练、评估和更新。模型参数存储在数据库中，便于追溯和复现。</w:t>
      </w:r>
    </w:p>
    <w:p w14:paraId="59E9249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数据层是整个系统的基础，负责存储和管理所有数据。数据层采用关系型数据库和文件存储相结合的方式。关系型数据库存储结构化数据，包括样本信息、光谱特征、分析任务和结果数据。文件存储存储非结构化数据，包括原始光谱文件、模型参数和报告文件。数据层设计了完整的数据表结构，包括样本表、光谱表、分析表和结果表等。数据表之间通过外键关联，保证数据的一致性和完整性。</w:t>
      </w:r>
    </w:p>
    <w:p w14:paraId="301C9EF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高光谱成像数据异常是项目发现的关键问题。在数据治理过程中，项目团队对</w:t>
      </w:r>
      <w:r>
        <w:rPr>
          <w:rFonts w:hint="eastAsia" w:ascii="宋体" w:hAnsi="宋体" w:eastAsia="宋体" w:cs="Times New Roman"/>
          <w:b w:val="0"/>
          <w:kern w:val="0"/>
          <w:sz w:val="24"/>
          <w:szCs w:val="24"/>
          <w:lang w:val="en-US" w:eastAsia="zh-CN" w:bidi="ar"/>
        </w:rPr>
        <w:t>HSI数据进行了全面检查。检查发现，HSI数据中存在199对跨产地同编号完全重复样本。具体表现为编号为CM-1的澄迈样本和编号为QZ-1的琼中样本，其高光谱数据完全相同。这种现象在物理上是不可能的，说明HSI数据采集过程存在严重问题。项目团队经过分析，认为这可能是由于数据采集过程中的样品混淆、数据传输过程中的文件错误，或者数据存储过程中的覆盖错误导致的。</w:t>
      </w:r>
    </w:p>
    <w:p w14:paraId="67F8035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Times New Roman"/>
          <w:b w:val="0"/>
          <w:kern w:val="0"/>
          <w:sz w:val="24"/>
          <w:szCs w:val="24"/>
          <w:lang w:val="en-US" w:eastAsia="zh-CN" w:bidi="ar"/>
        </w:rPr>
        <w:t>S960光谱的波段对齐是数据治理的另一个关键问题。两地原始数据的波长范围存在差异，琼中样本的波长范围比澄迈样本多出50个尾部波段。这种不一致会导致两地的数据无法直接比较，影响跨产地建模的效果。项目采用了共同波段对齐策略。经过分析，确定共同波段数量为1402个，对应澄迈样本的全部波段和琼中样本的前1402个波段。琼中样本额外的50个尾部波段被舍弃，保证了两地数据口径一致。</w:t>
      </w:r>
    </w:p>
    <w:p w14:paraId="0D2C0D2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统一样本划分是保证多任务结果可比性的重要措施。项目使用固定随机种子进行数据划分，保证三类任务使用相同的训练集、验证集和测试集。划分时还考虑了产地平衡问题，验证集和测试集中两地样本各占</w:t>
      </w:r>
      <w:r>
        <w:rPr>
          <w:rFonts w:hint="eastAsia" w:ascii="宋体" w:hAnsi="宋体" w:eastAsia="宋体" w:cs="Times New Roman"/>
          <w:b w:val="0"/>
          <w:kern w:val="0"/>
          <w:sz w:val="24"/>
          <w:szCs w:val="24"/>
          <w:lang w:val="en-US" w:eastAsia="zh-CN" w:bidi="ar"/>
        </w:rPr>
        <w:t>30个。这种设计使得分类任务的评估不会受到类别不平衡的影响，使得回归任务的评估更加可靠。所有实验结果都基于相同的数据划分，确保了结果的可比性。</w:t>
      </w:r>
    </w:p>
    <w:p w14:paraId="3D697A36">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项目建立了包含</w:t>
      </w:r>
      <w:r>
        <w:rPr>
          <w:rFonts w:hint="eastAsia" w:ascii="宋体" w:hAnsi="宋体" w:eastAsia="宋体" w:cs="Times New Roman"/>
          <w:b w:val="0"/>
          <w:kern w:val="0"/>
          <w:sz w:val="24"/>
          <w:szCs w:val="24"/>
          <w:lang w:val="en-US" w:eastAsia="zh-CN" w:bidi="ar"/>
        </w:rPr>
        <w:t>399个样本的统一安全主表。原始数据包括滴定法指标、液质成分和多模态光谱。在数据治理过程中，发现高光谱成像数据存在199对跨产地同编号完全重复样本，项目剔除了异常模态，保留R210与S960双光谱作为正式建模基础。S960光谱两地原始波段数量不一致，项目统一裁剪为1402个共同波段。最终形成1630维双光谱特征向量，包含4项滴定法指标和36项液质成分标签。</w:t>
      </w:r>
    </w:p>
    <w:p w14:paraId="5C181B85">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1.2.2 模型成果</w:t>
      </w:r>
    </w:p>
    <w:p w14:paraId="23424D1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产地溯源任务中，</w:t>
      </w:r>
      <w:r>
        <w:rPr>
          <w:rFonts w:hint="eastAsia" w:ascii="宋体" w:hAnsi="宋体" w:eastAsia="宋体" w:cs="Times New Roman"/>
          <w:b w:val="0"/>
          <w:kern w:val="0"/>
          <w:sz w:val="24"/>
          <w:szCs w:val="24"/>
          <w:lang w:val="en-US" w:eastAsia="zh-CN" w:bidi="ar"/>
        </w:rPr>
        <w:t>S960单光谱逻辑回归模型在测试集上达到100%准确率。品质预测任务中，糖度预测R²达到0.7051。液质成分预测任务中，</w:t>
      </w:r>
      <w:r>
        <w:rPr>
          <w:rFonts w:hint="eastAsia" w:ascii="宋体" w:hAnsi="宋体" w:eastAsia="宋体" w:cs="宋体"/>
          <w:b w:val="0"/>
          <w:kern w:val="0"/>
          <w:sz w:val="24"/>
          <w:szCs w:val="24"/>
          <w:lang w:val="en-US" w:eastAsia="zh-CN" w:bidi="ar"/>
        </w:rPr>
        <w:t>11项成分平均</w:t>
      </w:r>
      <w:r>
        <w:rPr>
          <w:rFonts w:hint="eastAsia" w:ascii="宋体" w:hAnsi="宋体" w:eastAsia="宋体" w:cs="Times New Roman"/>
          <w:b w:val="0"/>
          <w:kern w:val="0"/>
          <w:sz w:val="24"/>
          <w:szCs w:val="24"/>
          <w:lang w:val="en-US" w:eastAsia="zh-CN" w:bidi="ar"/>
        </w:rPr>
        <w:t>R²达到0.6975，其中异柠檬酸R²达到0.8225。三类任务共用统一数据集和划分方案，结果相互印证。</w:t>
      </w:r>
    </w:p>
    <w:p w14:paraId="7F5F1821">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1.2.3 系统成果</w:t>
      </w:r>
    </w:p>
    <w:p w14:paraId="4491993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项目开发了网页端和移动端双端系统。网页端包含</w:t>
      </w:r>
      <w:r>
        <w:rPr>
          <w:rFonts w:hint="eastAsia" w:ascii="宋体" w:hAnsi="宋体" w:eastAsia="宋体" w:cs="Times New Roman"/>
          <w:b w:val="0"/>
          <w:kern w:val="0"/>
          <w:sz w:val="24"/>
          <w:szCs w:val="24"/>
          <w:lang w:val="en-US" w:eastAsia="zh-CN" w:bidi="ar"/>
        </w:rPr>
        <w:t>9个主要页面，支持数据总览、结果分析和历史查询。移动端包含11个功能页面，支持样本录入、分析提交和报告查看。系统形成20项核心能力，覆盖从样本管理到报告输出的完整流程。</w:t>
      </w:r>
    </w:p>
    <w:p w14:paraId="7E065097">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1.3 创新点</w:t>
      </w:r>
    </w:p>
    <w:p w14:paraId="15996E36">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1.3.1 数据治理创新</w:t>
      </w:r>
    </w:p>
    <w:p w14:paraId="1F69D40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项目在正式建模前进行了系统性的数据治理。通过排查发现</w:t>
      </w:r>
      <w:r>
        <w:rPr>
          <w:rFonts w:hint="eastAsia" w:ascii="宋体" w:hAnsi="宋体" w:eastAsia="宋体" w:cs="Times New Roman"/>
          <w:b w:val="0"/>
          <w:kern w:val="0"/>
          <w:sz w:val="24"/>
          <w:szCs w:val="24"/>
          <w:lang w:val="en-US" w:eastAsia="zh-CN" w:bidi="ar"/>
        </w:rPr>
        <w:t>HSI数据存在跨产地完全重复问题，果断剔除异常模态。针对S960波段不一致问题，采用共同波段对齐策略。这种严谨的数据治理态度保证了建模的可靠性。</w:t>
      </w:r>
    </w:p>
    <w:p w14:paraId="2F18B34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这种严谨的数据治理态度在同类实践中较为少见。很多研究直接使用原始数据进行建模，没有对数据质量进行充分检查。本项目在正式建模前发现了</w:t>
      </w:r>
      <w:r>
        <w:rPr>
          <w:rFonts w:hint="eastAsia" w:ascii="宋体" w:hAnsi="宋体" w:eastAsia="宋体" w:cs="Times New Roman"/>
          <w:b w:val="0"/>
          <w:kern w:val="0"/>
          <w:sz w:val="24"/>
          <w:szCs w:val="24"/>
          <w:lang w:val="en-US" w:eastAsia="zh-CN" w:bidi="ar"/>
        </w:rPr>
        <w:t>HSI数据的严重问题，避免了使用异常数据导致的错误结论。同时，项目对S960光谱进行了波段对齐，保证了数据口径的一致性。这些工作虽然不直接产生模型结果，但却是保证结果可靠性的关键。</w:t>
      </w:r>
    </w:p>
    <w:p w14:paraId="78259E88">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1.3.2 多任务统一创新</w:t>
      </w:r>
    </w:p>
    <w:p w14:paraId="2F190BED">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产地溯源、品质预测和液质成分分析三类任务共用统一编号、统一主表和统一划分方案。多任务结果可以在同一框架下解释和比较，避免了不同任务使用不同数据集导致的口径不一致问题。</w:t>
      </w:r>
    </w:p>
    <w:p w14:paraId="5D9F0298">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1.3.3 结果组织创新</w:t>
      </w:r>
    </w:p>
    <w:p w14:paraId="5757DEE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所有分析结果围绕样本编号进行组织。查看单个样本时，可以看到其产地判别结果、糖度预测、</w:t>
      </w:r>
      <w:r>
        <w:rPr>
          <w:rFonts w:hint="eastAsia" w:ascii="宋体" w:hAnsi="宋体" w:eastAsia="宋体" w:cs="Times New Roman"/>
          <w:b w:val="0"/>
          <w:kern w:val="0"/>
          <w:sz w:val="24"/>
          <w:szCs w:val="24"/>
          <w:lang w:val="en-US" w:eastAsia="zh-CN" w:bidi="ar"/>
        </w:rPr>
        <w:t>VC含量和重点成分分析。这种组织方式便于样本回查和质量追溯，也使得结果可以转化为正式的中文报告。</w:t>
      </w:r>
    </w:p>
    <w:p w14:paraId="7278BDC0">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1.3.4 场景贯通创新</w:t>
      </w:r>
    </w:p>
    <w:p w14:paraId="1A180E6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项目把样本录入、分析处理、结果说明和留档放到同一条链路中。网页端和移动端围绕同一套数据和分析引擎，保证结果口径一致。系统具备在实际场景中部署应用的技术条件。</w:t>
      </w:r>
    </w:p>
    <w:p w14:paraId="69175644">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第二章</w:t>
      </w:r>
      <w:r>
        <w:rPr>
          <w:rFonts w:hint="eastAsia" w:ascii="宋体" w:hAnsi="宋体" w:eastAsia="宋体" w:cs="Times New Roman"/>
          <w:b w:val="0"/>
          <w:bCs/>
          <w:color w:val="366091"/>
          <w:sz w:val="28"/>
          <w:szCs w:val="28"/>
        </w:rPr>
        <w:t xml:space="preserve"> </w:t>
      </w:r>
      <w:r>
        <w:rPr>
          <w:rFonts w:hint="eastAsia" w:ascii="宋体" w:hAnsi="宋体" w:eastAsia="宋体" w:cs="宋体"/>
          <w:b w:val="0"/>
          <w:bCs/>
          <w:color w:val="366091"/>
          <w:sz w:val="28"/>
          <w:szCs w:val="28"/>
        </w:rPr>
        <w:t>问题分析</w:t>
      </w:r>
    </w:p>
    <w:p w14:paraId="35B37A89">
      <w:pPr>
        <w:pStyle w:val="4"/>
        <w:widowControl/>
        <w:spacing w:line="360" w:lineRule="auto"/>
        <w:rPr>
          <w:rFonts w:hint="eastAsia" w:ascii="Calibri" w:hAnsi="Calibri" w:eastAsia="宋体" w:cs="Times New Roman"/>
          <w:b/>
          <w:bCs/>
          <w:color w:val="4F81BD"/>
          <w:sz w:val="26"/>
          <w:szCs w:val="26"/>
        </w:rPr>
      </w:pPr>
      <w:r>
        <w:rPr>
          <w:rFonts w:hint="eastAsia" w:ascii="宋体" w:hAnsi="宋体" w:eastAsia="宋体" w:cs="Times New Roman"/>
          <w:b w:val="0"/>
          <w:bCs/>
          <w:color w:val="4F81BD"/>
          <w:sz w:val="26"/>
          <w:szCs w:val="26"/>
        </w:rPr>
        <w:t xml:space="preserve">2.1 </w:t>
      </w:r>
      <w:r>
        <w:rPr>
          <w:rFonts w:hint="eastAsia" w:ascii="宋体" w:hAnsi="宋体" w:eastAsia="宋体" w:cs="宋体"/>
          <w:b w:val="0"/>
          <w:bCs/>
          <w:color w:val="4F81BD"/>
          <w:sz w:val="26"/>
          <w:szCs w:val="26"/>
        </w:rPr>
        <w:t>问题来源</w:t>
      </w:r>
    </w:p>
    <w:p w14:paraId="5033064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海南柑橘产业在品牌建设方面取得了显著成就，但在品质检测和产地溯源环节仍面临诸多挑战。传统做法将样本登记、理化检测、光谱分析和报告整理分散在不同环节和人员手中，导致信息难以统一对齐。</w:t>
      </w:r>
    </w:p>
    <w:p w14:paraId="609EA64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传统理化检测方法虽然准确，但存在明显局限。糖度测定需要使用糖度计，酸度测定需要使用酸度计，维生素</w:t>
      </w:r>
      <w:r>
        <w:rPr>
          <w:rFonts w:hint="eastAsia" w:ascii="宋体" w:hAnsi="宋体" w:eastAsia="宋体" w:cs="Times New Roman"/>
          <w:b w:val="0"/>
          <w:kern w:val="0"/>
          <w:sz w:val="24"/>
          <w:szCs w:val="24"/>
          <w:lang w:val="en-US" w:eastAsia="zh-CN" w:bidi="ar"/>
        </w:rPr>
        <w:t>C含量测定需要使用滴定法或分光光度法。这些方法都需要破坏性取样，检测后的样品无法继续销售。检测周期从几小时到几天不等，成本从几十元到几百元不等。对于大批量样品的快速筛查，传统方法难以满足需求。光谱技术作为一种快速、无损的分析方法，为解决上述问题提供了新的可能。</w:t>
      </w:r>
    </w:p>
    <w:p w14:paraId="48B6EFE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实际业务流程中，样本登记、理化检测、光谱分析和报告整理往往分散在不同环节。果农负责采摘和初步分级，检测机构负责理化分析，实验室负责光谱检测，品牌方负责报告整理。这种分工虽然符合专业化的要求，但也导致信息难以统一对齐。当产品进入流通、展示和验货环节时，现场最常见的问题是结果分散在哪里、依据是否统一、样本能否回查、文字如何对外说明。</w:t>
      </w:r>
    </w:p>
    <w:p w14:paraId="60343682">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第一个痛点是品质检测依赖经验，缺少客观标准。果品分级主要依靠人工经验判断，主观性强且标准不统一，容易引发争议。第二个痛点是产地溯源困难，假冒产品难识别。地理标志产品的核心价值在于产地，但缺少快速、准确的产地识别技术。第三个痛点是检测结果分散，难以形成追溯链条。样本信息、检测数据、分析结果分散在不同环节，难以统一管理。第四个痛点是检测成本高、周期长。传统理化检测周期长、成本高、破坏性取样，不适合快速筛查。</w:t>
      </w:r>
    </w:p>
    <w:p w14:paraId="1D941017">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2.2 现有</w:t>
      </w:r>
      <w:r>
        <w:rPr>
          <w:rFonts w:hint="eastAsia" w:ascii="宋体" w:hAnsi="宋体" w:eastAsia="宋体" w:cs="宋体"/>
          <w:b w:val="0"/>
          <w:bCs/>
          <w:color w:val="4F81BD"/>
          <w:sz w:val="26"/>
          <w:szCs w:val="26"/>
        </w:rPr>
        <w:t>解决方案</w:t>
      </w:r>
    </w:p>
    <w:p w14:paraId="338226EA">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围绕果品产地识别和品质检测，现有技术路线主要分为三类。第一类是人工经验与理化检测。这种方式指标直观，便于小规模判断，但周期较长，信息分散在不同表格和人员手中。第二类是单一光谱建模研究。这类研究针对单一任务建立光谱模型，方法相对成熟，但不同任务使用不同样本和模型，结果难以统一解释。第三类是展示或管理系统。这类项目具备良好的页面效果，但往往与实验数据联系不紧密，缺少正式结果支撑。</w:t>
      </w:r>
    </w:p>
    <w:p w14:paraId="5409F64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单一光谱建模研究是学术研究中较多采用的方式。研究者针对单一任务建立光谱模型，如糖度预测模型或产地识别模型。这类研究已经证明光谱技术在柑橘场景中的可行性。文献报道显示，近红外光谱在水果品质评估中表现良好。但这类研究通常聚焦单项任务，较少把产地、品质、成分放到同一套数据体系中讨论。不同任务使用不同样本、不同模型、不同评估标准，结果难以统一解释。在比赛展示中，这种分散式的研究方式难以形成完整的项目叙事。</w:t>
      </w:r>
    </w:p>
    <w:p w14:paraId="62AE6CB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宋体"/>
          <w:b w:val="0"/>
          <w:sz w:val="24"/>
          <w:szCs w:val="24"/>
        </w:rPr>
      </w:pPr>
      <w:r>
        <w:rPr>
          <w:rFonts w:hint="eastAsia" w:ascii="宋体" w:hAnsi="宋体" w:eastAsia="宋体" w:cs="宋体"/>
          <w:b w:val="0"/>
          <w:kern w:val="0"/>
          <w:sz w:val="24"/>
          <w:szCs w:val="24"/>
          <w:lang w:val="en-US" w:eastAsia="zh-CN" w:bidi="ar"/>
        </w:rPr>
        <w:t>人工经验与理化检测是产业界最主流的做法。这种方法的优势在于指标直观，便于小规模判断。有经验的果农和收购商可以通过观察果皮颜色、触摸果实质地、品尝果实风味等方式判断品质和产地。理化检测方法包括可溶性固形物测定、酸度滴定、维生素</w:t>
      </w:r>
      <w:r>
        <w:rPr>
          <w:rFonts w:hint="eastAsia" w:ascii="宋体" w:hAnsi="宋体" w:eastAsia="宋体" w:cs="Times New Roman"/>
          <w:b w:val="0"/>
          <w:kern w:val="0"/>
          <w:sz w:val="24"/>
          <w:szCs w:val="24"/>
          <w:lang w:val="en-US" w:eastAsia="zh-CN" w:bidi="ar"/>
        </w:rPr>
        <w:t>C含量测定等，能够提供客观准确的品质指标。但这些方法的局限也很明显。周期较长，不适合大批量检测。信息分散在不同表格和人员手中，难以统一管理。缺少面向展示和归档的正式文本，检测结果难以对外说明。</w:t>
      </w:r>
    </w:p>
    <w:p w14:paraId="5BDE5CD6">
      <w:pPr>
        <w:pStyle w:val="4"/>
        <w:keepNext w:val="0"/>
        <w:keepLines w:val="0"/>
        <w:widowControl/>
        <w:suppressLineNumbers w:val="0"/>
        <w:rPr>
          <w:rFonts w:hint="eastAsia" w:ascii="宋体" w:hAnsi="宋体" w:eastAsia="宋体" w:cs="宋体"/>
          <w:b/>
          <w:bCs/>
          <w:color w:val="4F81BD"/>
          <w:sz w:val="26"/>
          <w:szCs w:val="26"/>
        </w:rPr>
      </w:pPr>
      <w:r>
        <w:rPr>
          <w:rFonts w:hint="eastAsia" w:ascii="宋体" w:hAnsi="宋体" w:eastAsia="宋体" w:cs="宋体"/>
          <w:b/>
          <w:bCs/>
          <w:color w:val="4F81BD"/>
          <w:sz w:val="26"/>
          <w:szCs w:val="26"/>
        </w:rPr>
        <w:t>2.3 本作品要解决的痛点问题</w:t>
      </w:r>
    </w:p>
    <w:p w14:paraId="446BCD05">
      <w:pPr>
        <w:keepNext w:val="0"/>
        <w:keepLines w:val="0"/>
        <w:widowControl/>
        <w:suppressLineNumbers w:val="0"/>
        <w:spacing w:before="0" w:beforeAutospacing="1" w:after="200" w:afterAutospacing="0" w:line="360" w:lineRule="auto"/>
        <w:ind w:left="0" w:leftChars="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围绕海南柑橘品质检测与产地溯源，当前最突出的矛盾并不是单一算法精度不够，而是样本、指标、光谱和结果之间缺少稳定的一一对应关系。样本登记、滴定指标、液质成分和不同设备的光谱数据往往分散在不同环节，编号口径不一致、采集规范不统一，导致前端展示能讲的内容与后端实验能证明的内容经常脱节。</w:t>
      </w:r>
    </w:p>
    <w:p w14:paraId="2FBF96EC">
      <w:pPr>
        <w:keepNext w:val="0"/>
        <w:keepLines w:val="0"/>
        <w:widowControl/>
        <w:suppressLineNumbers w:val="0"/>
        <w:spacing w:before="0" w:beforeAutospacing="1" w:after="200" w:afterAutospacing="0" w:line="360" w:lineRule="auto"/>
        <w:ind w:left="0" w:leftChars="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第二个痛点在于现有方案多停留在单任务、单模态层面。有人只做糖度预测，有人只做产地分类，也有人只停留在离线实验结果，难以回答“同一批样本还能说明什么”“系统落地后怎么连续使用”这样的问题。</w:t>
      </w:r>
    </w:p>
    <w:p w14:paraId="1D3FBC75">
      <w:pPr>
        <w:keepNext w:val="0"/>
        <w:keepLines w:val="0"/>
        <w:widowControl/>
        <w:suppressLineNumbers w:val="0"/>
        <w:spacing w:before="0" w:beforeAutospacing="1" w:after="200" w:afterAutospacing="0" w:line="360"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第三个痛点是结果表达方式不够面向应用。很多检测工作最终只停留在模型指标表或实验截图，无法直接转成样本说明、批次判断和留档材料。本项目要解决的，正是从统一样本底座、多任务协同分析到结构化结果输出这一整条链路的问题，让每条结论既能在实验中被印证，也能在系统中被看见和被使用。</w:t>
      </w:r>
    </w:p>
    <w:p w14:paraId="45AA58B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368290AE">
      <w:pPr>
        <w:pStyle w:val="4"/>
        <w:widowControl/>
        <w:spacing w:line="360" w:lineRule="auto"/>
        <w:rPr>
          <w:rFonts w:hint="eastAsia" w:ascii="宋体" w:hAnsi="宋体" w:eastAsia="宋体" w:cs="Times New Roman"/>
          <w:b w:val="0"/>
          <w:bCs/>
          <w:color w:val="4F81BD"/>
          <w:sz w:val="26"/>
          <w:szCs w:val="26"/>
        </w:rPr>
      </w:pPr>
      <w:r>
        <w:rPr>
          <w:rFonts w:hint="eastAsia" w:ascii="宋体" w:hAnsi="宋体" w:eastAsia="宋体" w:cs="Times New Roman"/>
          <w:b w:val="0"/>
          <w:bCs/>
          <w:color w:val="4F81BD"/>
          <w:sz w:val="26"/>
          <w:szCs w:val="26"/>
        </w:rPr>
        <w:t>2.</w:t>
      </w:r>
      <w:r>
        <w:rPr>
          <w:rFonts w:hint="eastAsia" w:ascii="宋体" w:hAnsi="宋体" w:eastAsia="宋体" w:cs="宋体"/>
          <w:b w:val="0"/>
          <w:bCs/>
          <w:color w:val="4F81BD"/>
          <w:sz w:val="26"/>
          <w:szCs w:val="26"/>
        </w:rPr>
        <w:t>4</w:t>
      </w:r>
      <w:r>
        <w:rPr>
          <w:rFonts w:hint="eastAsia" w:ascii="宋体" w:hAnsi="宋体" w:eastAsia="宋体" w:cs="Times New Roman"/>
          <w:b w:val="0"/>
          <w:bCs/>
          <w:color w:val="4F81BD"/>
          <w:sz w:val="26"/>
          <w:szCs w:val="26"/>
        </w:rPr>
        <w:t xml:space="preserve"> </w:t>
      </w:r>
      <w:r>
        <w:rPr>
          <w:rFonts w:hint="eastAsia" w:ascii="宋体" w:hAnsi="宋体" w:eastAsia="宋体" w:cs="宋体"/>
          <w:b w:val="0"/>
          <w:bCs/>
          <w:color w:val="4F81BD"/>
          <w:sz w:val="26"/>
          <w:szCs w:val="26"/>
        </w:rPr>
        <w:t>解决问题的思路</w:t>
      </w:r>
    </w:p>
    <w:p w14:paraId="793E3ECA">
      <w:pPr>
        <w:keepNext w:val="0"/>
        <w:keepLines w:val="0"/>
        <w:widowControl/>
        <w:suppressLineNumbers w:val="0"/>
        <w:spacing w:before="0" w:beforeAutospacing="1" w:after="200" w:afterAutospacing="0" w:line="271"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本项目围绕“同一样本、同一编号、同一数据底座”来组织功能需求与性能目标。功能上，系统需要完成样本录入、光谱关联、任务分析、结果展示、历史回看和报告输出；性能上，要求产地溯源、品质预测和液质成分分析三类任务建立在同一套正式样本划分之上，保证第五章中的测试结果能够相互对应、相互印证。</w:t>
      </w:r>
    </w:p>
    <w:p w14:paraId="077C2A70">
      <w:pPr>
        <w:keepNext w:val="0"/>
        <w:keepLines w:val="0"/>
        <w:widowControl/>
        <w:suppressLineNumbers w:val="0"/>
        <w:spacing w:before="0" w:beforeAutospacing="1" w:after="200" w:afterAutospacing="0" w:line="271"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正式实验数据来自澄迈福橙与琼中绿橙两地产地样本，共形成399个有效样本，其中澄迈199个、琼中200个。数据格式包括4项滴定法指标、36项液质成分数据，以及两套可直接建模的光谱特征：R210光谱228维，S960光谱1402维，拼接后形成1630维双光谱特征。数据获取方式包括产地采样、实验室滴定测定、液质检测和光谱设备采集；在治理过程中，团队排查出HSI模态存在跨产地重复问题，因此正式主表不再将其作为建模依据。</w:t>
      </w:r>
    </w:p>
    <w:p w14:paraId="20877532">
      <w:pPr>
        <w:keepNext w:val="0"/>
        <w:keepLines w:val="0"/>
        <w:widowControl/>
        <w:suppressLineNumbers w:val="0"/>
        <w:spacing w:before="0" w:beforeAutospacing="1" w:after="200" w:afterAutospacing="0" w:line="271"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以统一主表中的样本“CM-1”为例，其产地标记为澄迈，对应滴定法指标包括糖度7.35、酸度0.69、糖酸比10.65、维生素C 46.57，同时可关联该样本的R210与S960光谱向量。基于这套统一编号关系，项目进一步开展产地溯源、品质预测和液质成分预测三类任务，避免出现“训练数据一套、展示数据一套”的问题。</w:t>
      </w:r>
    </w:p>
    <w:p w14:paraId="626F36EA">
      <w:pPr>
        <w:keepNext w:val="0"/>
        <w:keepLines w:val="0"/>
        <w:widowControl/>
        <w:suppressLineNumbers w:val="0"/>
        <w:spacing w:before="0" w:beforeAutospacing="1" w:after="200" w:afterAutospacing="0" w:line="271"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在此基础上，项目采用70%、15%、15%的统一划分策略形成训练集、验证集和测试集。后续章节中涉及的准确率、决定系数、平均误差等指标，均建立在这套正式划分与正式主表之上，这也是第五章能够对本章提出的需求与思路进行直接印证的前提。</w:t>
      </w:r>
    </w:p>
    <w:p w14:paraId="7F0913F0">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2.</w:t>
      </w:r>
      <w:r>
        <w:rPr>
          <w:rFonts w:hint="eastAsia" w:ascii="宋体" w:hAnsi="宋体" w:eastAsia="宋体" w:cs="宋体"/>
          <w:b w:val="0"/>
          <w:bCs/>
          <w:color w:val="4F81BD"/>
          <w:sz w:val="24"/>
          <w:szCs w:val="24"/>
        </w:rPr>
        <w:t>4</w:t>
      </w:r>
      <w:r>
        <w:rPr>
          <w:rFonts w:hint="eastAsia" w:ascii="宋体" w:hAnsi="宋体" w:eastAsia="宋体" w:cs="Times New Roman"/>
          <w:b w:val="0"/>
          <w:bCs/>
          <w:color w:val="4F81BD"/>
          <w:sz w:val="24"/>
          <w:szCs w:val="24"/>
        </w:rPr>
        <w:t>.1 建立统一数据底座</w:t>
      </w:r>
    </w:p>
    <w:p w14:paraId="09AA45F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项目首先重建数据底座。原始资料覆盖滴定法指标、液质成分、</w:t>
      </w:r>
      <w:r>
        <w:rPr>
          <w:rFonts w:hint="eastAsia" w:ascii="宋体" w:hAnsi="宋体" w:eastAsia="宋体" w:cs="Times New Roman"/>
          <w:b w:val="0"/>
          <w:kern w:val="0"/>
          <w:sz w:val="24"/>
          <w:szCs w:val="24"/>
          <w:lang w:val="en-US" w:eastAsia="zh-CN" w:bidi="ar"/>
        </w:rPr>
        <w:t>R210光谱、S960光谱和HSI光谱。在数据治理过程中，发现HSI数据中存在199对跨产地同编号完全重复样本。项目剔除HSI，保留R210与S960双光谱，并重建安全主表。针对S960波段不一致问题，项目统一裁剪为1402个共同波段。正式实验统一建立在399个安全样本上。</w:t>
      </w:r>
    </w:p>
    <w:p w14:paraId="4A875098">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2.</w:t>
      </w:r>
      <w:r>
        <w:rPr>
          <w:rFonts w:hint="eastAsia" w:ascii="宋体" w:hAnsi="宋体" w:eastAsia="宋体" w:cs="宋体"/>
          <w:b w:val="0"/>
          <w:bCs/>
          <w:color w:val="4F81BD"/>
          <w:sz w:val="24"/>
          <w:szCs w:val="24"/>
        </w:rPr>
        <w:t>4</w:t>
      </w:r>
      <w:r>
        <w:rPr>
          <w:rFonts w:hint="eastAsia" w:ascii="宋体" w:hAnsi="宋体" w:eastAsia="宋体" w:cs="Times New Roman"/>
          <w:b w:val="0"/>
          <w:bCs/>
          <w:color w:val="4F81BD"/>
          <w:sz w:val="24"/>
          <w:szCs w:val="24"/>
        </w:rPr>
        <w:t>.2 统一多任务分析框架</w:t>
      </w:r>
    </w:p>
    <w:p w14:paraId="2DB91828">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项目围绕同一主表开展产地溯源、品质预测和液质成分预测三类任务。三类任务共用统一编号、统一主表和统一划分方案。正式主表包含</w:t>
      </w:r>
      <w:r>
        <w:rPr>
          <w:rFonts w:hint="eastAsia" w:ascii="宋体" w:hAnsi="宋体" w:eastAsia="宋体" w:cs="Times New Roman"/>
          <w:b w:val="0"/>
          <w:kern w:val="0"/>
          <w:sz w:val="24"/>
          <w:szCs w:val="24"/>
          <w:lang w:val="en-US" w:eastAsia="zh-CN" w:bidi="ar"/>
        </w:rPr>
        <w:t>399个样本、1630维双光谱特征。标签侧包含4项滴定法指标和36项液质成分指标。统一划分后，训练集、验证集、测试集规模分别为279、60、60。三类任务的结果可以回连到同一样本编号，形成统一的解释框架。</w:t>
      </w:r>
    </w:p>
    <w:p w14:paraId="4BD99FB2">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2.</w:t>
      </w:r>
      <w:r>
        <w:rPr>
          <w:rFonts w:hint="eastAsia" w:ascii="宋体" w:hAnsi="宋体" w:eastAsia="宋体" w:cs="宋体"/>
          <w:b w:val="0"/>
          <w:bCs/>
          <w:color w:val="4F81BD"/>
          <w:sz w:val="24"/>
          <w:szCs w:val="24"/>
        </w:rPr>
        <w:t>4</w:t>
      </w:r>
      <w:r>
        <w:rPr>
          <w:rFonts w:hint="eastAsia" w:ascii="宋体" w:hAnsi="宋体" w:eastAsia="宋体" w:cs="Times New Roman"/>
          <w:b w:val="0"/>
          <w:bCs/>
          <w:color w:val="4F81BD"/>
          <w:sz w:val="24"/>
          <w:szCs w:val="24"/>
        </w:rPr>
        <w:t>.3 围绕样本组织结果</w:t>
      </w:r>
    </w:p>
    <w:p w14:paraId="0EB1198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宋体"/>
          <w:b w:val="0"/>
          <w:kern w:val="0"/>
          <w:sz w:val="24"/>
          <w:szCs w:val="24"/>
          <w:lang w:val="en-US" w:eastAsia="zh-CN" w:bidi="ar"/>
        </w:rPr>
        <w:t>项目将分析结果围绕样本编号进行组织。查看单个样本时，可以看到其产地判别结果、糖度预测、</w:t>
      </w:r>
      <w:r>
        <w:rPr>
          <w:rFonts w:hint="eastAsia" w:ascii="宋体" w:hAnsi="宋体" w:eastAsia="宋体" w:cs="Times New Roman"/>
          <w:b w:val="0"/>
          <w:kern w:val="0"/>
          <w:sz w:val="24"/>
          <w:szCs w:val="24"/>
          <w:lang w:val="en-US" w:eastAsia="zh-CN" w:bidi="ar"/>
        </w:rPr>
        <w:t>VC含量和重点成分分析，所有结果都关联到同一编号样本。项目建立了样本编号、产地信息、品质指标和成分分析之间的映射关系，形成完整的结果链条。</w:t>
      </w:r>
    </w:p>
    <w:p w14:paraId="2CF6663C">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02D0EF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601F6316">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455B1C6C">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6833957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198F36BC">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42515186">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4FD64FC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195285C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5C9C94B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39369FF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37BE69F7">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5DD12A6E">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第三章</w:t>
      </w:r>
      <w:r>
        <w:rPr>
          <w:rFonts w:hint="eastAsia" w:ascii="宋体" w:hAnsi="宋体" w:eastAsia="宋体" w:cs="Times New Roman"/>
          <w:b w:val="0"/>
          <w:bCs/>
          <w:color w:val="366091"/>
          <w:sz w:val="28"/>
          <w:szCs w:val="28"/>
        </w:rPr>
        <w:t xml:space="preserve"> </w:t>
      </w:r>
      <w:r>
        <w:rPr>
          <w:rFonts w:hint="eastAsia" w:ascii="宋体" w:hAnsi="宋体" w:eastAsia="宋体" w:cs="宋体"/>
          <w:b w:val="0"/>
          <w:bCs/>
          <w:color w:val="366091"/>
          <w:sz w:val="28"/>
          <w:szCs w:val="28"/>
        </w:rPr>
        <w:t>技术方案</w:t>
      </w:r>
    </w:p>
    <w:p w14:paraId="61E456C7">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3.1 总体技术路线</w:t>
      </w:r>
    </w:p>
    <w:p w14:paraId="2DE93E2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本项目的技术路线按照四个阶段推进。第一阶段是样本治理，包括数据清洗、异常排查和主表重建。第二阶段是任务建模，包括产地溯源、品质预测和液质成分预测三类实验。第三阶段是结果组织，将结果回连到样本编号和批次信息。第四阶段是系统呈现，在网页端与移动端完成展示和查询功能。</w:t>
      </w:r>
    </w:p>
    <w:p w14:paraId="02A9FF8A">
      <w:pPr>
        <w:pStyle w:val="4"/>
        <w:widowControl/>
        <w:spacing w:line="360" w:lineRule="auto"/>
        <w:rPr>
          <w:rFonts w:hint="eastAsia" w:ascii="Calibri" w:hAnsi="Calibri" w:eastAsia="宋体" w:cs="Times New Roman"/>
          <w:b/>
          <w:bCs/>
          <w:color w:val="4F81BD"/>
          <w:sz w:val="26"/>
          <w:szCs w:val="26"/>
        </w:rPr>
      </w:pPr>
      <w:r>
        <w:rPr>
          <w:rFonts w:hint="eastAsia" w:ascii="宋体" w:hAnsi="宋体" w:eastAsia="宋体" w:cs="Times New Roman"/>
          <w:b w:val="0"/>
          <w:bCs/>
          <w:color w:val="4F81BD"/>
          <w:sz w:val="26"/>
          <w:szCs w:val="26"/>
        </w:rPr>
        <w:t>3.2 数据</w:t>
      </w:r>
      <w:r>
        <w:rPr>
          <w:rFonts w:hint="eastAsia" w:ascii="宋体" w:hAnsi="宋体" w:eastAsia="宋体" w:cs="宋体"/>
          <w:b w:val="0"/>
          <w:bCs/>
          <w:color w:val="4F81BD"/>
          <w:sz w:val="26"/>
          <w:szCs w:val="26"/>
        </w:rPr>
        <w:t>处理</w:t>
      </w:r>
    </w:p>
    <w:p w14:paraId="4A48958A">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3.2.1 原始数据构成</w:t>
      </w:r>
    </w:p>
    <w:p w14:paraId="1CB76CD8">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项目原始数据由三部分组成。第一部分是滴定法指标，包括糖度、酸度、糖酸比和维生素</w:t>
      </w:r>
      <w:r>
        <w:rPr>
          <w:rFonts w:hint="eastAsia" w:ascii="宋体" w:hAnsi="宋体" w:eastAsia="宋体" w:cs="Times New Roman"/>
          <w:b w:val="0"/>
          <w:kern w:val="0"/>
          <w:sz w:val="24"/>
          <w:szCs w:val="24"/>
          <w:lang w:val="en-US" w:eastAsia="zh-CN" w:bidi="ar"/>
        </w:rPr>
        <w:t>C含量。第二部分是液质成分，包括36项通过液相色谱-质谱联用技术检测到的代谢物。第三部分是多模态光谱，包括R210可见光光谱、S960短波近红外光谱和HSI高光谱成像数据。</w:t>
      </w:r>
    </w:p>
    <w:p w14:paraId="390C9AC4">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3.2.2 异常排查</w:t>
      </w:r>
    </w:p>
    <w:p w14:paraId="6B7D370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在数据治理过程中，项目团队发现</w:t>
      </w:r>
      <w:r>
        <w:rPr>
          <w:rFonts w:hint="eastAsia" w:ascii="宋体" w:hAnsi="宋体" w:eastAsia="宋体" w:cs="Times New Roman"/>
          <w:b w:val="0"/>
          <w:kern w:val="0"/>
          <w:sz w:val="24"/>
          <w:szCs w:val="24"/>
          <w:lang w:val="en-US" w:eastAsia="zh-CN" w:bidi="ar"/>
        </w:rPr>
        <w:t>HSI数据中存在199对跨产地同编号完全重复样本。同一样本编号的澄迈样本和琼中样本，其高光谱数据完全相同。这种现象在物理上是不可能的，说明HSI数据采集过程存在严重问题。如果继续使用HSI数据进行跨产地建模，将严重影响建模的可信度。项目经过分析，决定剔除整个HSI模态，保留R210与S960双光谱作为正式建模基础。</w:t>
      </w:r>
    </w:p>
    <w:p w14:paraId="249544E3">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3.2.3 波段对齐</w:t>
      </w:r>
    </w:p>
    <w:p w14:paraId="37B24F7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Times New Roman"/>
          <w:b w:val="0"/>
          <w:kern w:val="0"/>
          <w:sz w:val="24"/>
          <w:szCs w:val="24"/>
          <w:lang w:val="en-US" w:eastAsia="zh-CN" w:bidi="ar"/>
        </w:rPr>
        <w:t>S960光谱两地的原始波段数量不同，琼中样本有1452个波段，澄迈样本有1402个波段。为了保证两地产地数据可以直接比较，项目进行了波段对齐处理。S960的共同波段数量为1402个，对应澄迈样本的全部波段和琼中样本的前1402个波段。琼中样本额外的50个尾部波段被舍弃，保证了两地数据口径一致。</w:t>
      </w:r>
    </w:p>
    <w:p w14:paraId="349C9CF0">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3.2.4 统一样本划分</w:t>
      </w:r>
    </w:p>
    <w:p w14:paraId="2515434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为了保证多任务结果可在同一框架下解释，项目进行了统一样本划分。全部</w:t>
      </w:r>
      <w:r>
        <w:rPr>
          <w:rFonts w:hint="eastAsia" w:ascii="宋体" w:hAnsi="宋体" w:eastAsia="宋体" w:cs="Times New Roman"/>
          <w:b w:val="0"/>
          <w:kern w:val="0"/>
          <w:sz w:val="24"/>
          <w:szCs w:val="24"/>
          <w:lang w:val="en-US" w:eastAsia="zh-CN" w:bidi="ar"/>
        </w:rPr>
        <w:t>399个样本按照70%、15%、15%的比例划分为训练集、验证集、测试集。划分时使用固定随机种子，保证三类任务使用相同的划分方案。验证集和测试集中澄迈福橙与琼中绿橙均保持30:30的平衡分布。</w:t>
      </w:r>
    </w:p>
    <w:p w14:paraId="1756A7E2">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3.3 模型方法</w:t>
      </w:r>
    </w:p>
    <w:p w14:paraId="190E0DA9">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3.3.1 产地溯源</w:t>
      </w:r>
    </w:p>
    <w:p w14:paraId="3AFE2026">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逻辑回归是一种广义线性模型，通过逻辑函数将线性组合映射到</w:t>
      </w:r>
      <w:r>
        <w:rPr>
          <w:rFonts w:hint="eastAsia" w:ascii="宋体" w:hAnsi="宋体" w:eastAsia="宋体" w:cs="Times New Roman"/>
          <w:b w:val="0"/>
          <w:kern w:val="0"/>
          <w:sz w:val="24"/>
          <w:szCs w:val="24"/>
          <w:lang w:val="en-US" w:eastAsia="zh-CN" w:bidi="ar"/>
        </w:rPr>
        <w:t>0到1之间的概率值。模型通过最大似然估计学习参数，使得预测概率与真实标签之间的差异最小化。线性支持向量机通过寻找最优分类超平面来分离不同类别的样本。超平面的选择目标是最大化两类样本之间的间隔，从而提高模型的泛化能力。LightGBM是一种基于梯度提升决策树的集成学习方法，采用基于直方图的决策树算法，能够高效处理大规模数据。</w:t>
      </w:r>
    </w:p>
    <w:p w14:paraId="17D1183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模型选择需要考虑任务特点、数据特性和应用需求。产地溯源是二分类任务，样本数量适中，特征维度较高。逻辑回归和线性</w:t>
      </w:r>
      <w:r>
        <w:rPr>
          <w:rFonts w:hint="eastAsia" w:ascii="宋体" w:hAnsi="宋体" w:eastAsia="宋体" w:cs="Times New Roman"/>
          <w:b w:val="0"/>
          <w:kern w:val="0"/>
          <w:sz w:val="24"/>
          <w:szCs w:val="24"/>
          <w:lang w:val="en-US" w:eastAsia="zh-CN" w:bidi="ar"/>
        </w:rPr>
        <w:t>SVM等线性模型适合处理这种情况，且具有较好的可解释性。LightGBM等非线性模型能够捕捉更复杂的特征关系，但可解释性相对较弱。从实际应用角度，逻辑回归是产地溯源任务的推荐模型，既保证了高准确率，又提供了可解释性。</w:t>
      </w:r>
    </w:p>
    <w:p w14:paraId="47BD930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产地溯源任务以分类模型为主，重点比较单光谱与双光谱方案的区分效果。项目使用了逻辑回归、线性支持向量机和</w:t>
      </w:r>
      <w:r>
        <w:rPr>
          <w:rFonts w:hint="eastAsia" w:ascii="宋体" w:hAnsi="宋体" w:eastAsia="宋体" w:cs="Times New Roman"/>
          <w:b w:val="0"/>
          <w:kern w:val="0"/>
          <w:sz w:val="24"/>
          <w:szCs w:val="24"/>
          <w:lang w:val="en-US" w:eastAsia="zh-CN" w:bidi="ar"/>
        </w:rPr>
        <w:t>LightGBM三种分类方法。逻辑回归是一种简单有效的线性分类方法，通过学习光谱特征与产地标签之间的线性关系进行预测。线性支持向量机通过寻找最优分类超平面实现样本分离。LightGBM是一种基于梯度提升决策树的集成学习方法，能够捕捉特征之间的非线性关系。</w:t>
      </w:r>
    </w:p>
    <w:p w14:paraId="69A04D2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实验设置了三种特征方案，包括</w:t>
      </w:r>
      <w:r>
        <w:rPr>
          <w:rFonts w:hint="eastAsia" w:ascii="宋体" w:hAnsi="宋体" w:eastAsia="宋体" w:cs="Times New Roman"/>
          <w:b w:val="0"/>
          <w:kern w:val="0"/>
          <w:sz w:val="24"/>
          <w:szCs w:val="24"/>
          <w:lang w:val="en-US" w:eastAsia="zh-CN" w:bidi="ar"/>
        </w:rPr>
        <w:t>R210单光谱、S960单光谱和R210加S960双光谱。评估指标包括准确率、平衡准确率和F1_macro。平衡准确率考虑了类别不平衡问题，F1_macro是各类别F1分数的算术平均。</w:t>
      </w:r>
    </w:p>
    <w:p w14:paraId="4A0D3ED0">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3.3.2 品质预测</w:t>
      </w:r>
    </w:p>
    <w:p w14:paraId="317AC397">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品质预测任务以回归模型为主，围绕糖度、酸度、糖酸比和维生素</w:t>
      </w:r>
      <w:r>
        <w:rPr>
          <w:rFonts w:hint="eastAsia" w:ascii="宋体" w:hAnsi="宋体" w:eastAsia="宋体" w:cs="Times New Roman"/>
          <w:b w:val="0"/>
          <w:kern w:val="0"/>
          <w:sz w:val="24"/>
          <w:szCs w:val="24"/>
          <w:lang w:val="en-US" w:eastAsia="zh-CN" w:bidi="ar"/>
        </w:rPr>
        <w:t>C含量展开。项目使用了岭回归、偏最小二乘回归、随机森林和XGBoost等回归方法。岭回归是一种带有L2正则化的线性回归方法，能够防止过拟合。偏最小二乘回归是一种专门用于处理高维共线数据的回归方法，在光谱分析中应用广泛。</w:t>
      </w:r>
    </w:p>
    <w:p w14:paraId="350446F8">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品质预测任务重点关注糖度指标，因为糖度是消费者最关心的品质指标，也是果品分级的主要依据。评估指标包括决定系数和均方根误差。决定系数反映模型对数据方差的解释比例，均方根误差反映预测值与真实值之间的平均偏差。</w:t>
      </w:r>
    </w:p>
    <w:p w14:paraId="11FD4F2E">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3.3.3 液质成分预测</w:t>
      </w:r>
    </w:p>
    <w:p w14:paraId="6BAC226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液质成分预测是项目中最复杂的任务，目标是预测</w:t>
      </w:r>
      <w:r>
        <w:rPr>
          <w:rFonts w:hint="eastAsia" w:ascii="宋体" w:hAnsi="宋体" w:eastAsia="宋体" w:cs="Times New Roman"/>
          <w:b w:val="0"/>
          <w:kern w:val="0"/>
          <w:sz w:val="24"/>
          <w:szCs w:val="24"/>
          <w:lang w:val="en-US" w:eastAsia="zh-CN" w:bidi="ar"/>
        </w:rPr>
        <w:t>36项液质成分含量。项目引入了标准正态变量变换、主成分分析和参数搜索，以提升整体表现。标准正态变量变换是一种常用的光谱预处理方法，能够消除散射影响和光程差异。主成分分析是一种无监督降维方法，能够将高维特征压缩到低维空间。参数搜索通过网格搜索寻找最优超参数组合。</w:t>
      </w:r>
    </w:p>
    <w:p w14:paraId="0E43C3AD">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参数搜索是优化模型性能的重要手段。模型超参数的选择对模型性能有重要影响。岭回归的主要超参数是正则化系数，控制模型复杂度。偏最小二乘回归的主要超参数是成分数量，决定保留多少潜在因子。项目使用网格搜索方法，在预设的参数空间中搜索最优参数组合。搜索过程中使用验证集性能作为评估标准，选择在验证集上表现最好的参数组合。</w:t>
      </w:r>
    </w:p>
    <w:p w14:paraId="61430E7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液质成分包括有机酸、糖类、氨基酸等多种类型的代谢物。有机酸包括柠檬酸、苹果酸、酒石酸等，影响果实的酸味和风味。糖类包括蔗糖、葡萄糖、果糖等，是果实甜味的主要来源。氨基酸是蛋白质的基本组成单位，也参与果实的风味形成。不同成分在光谱上的响应特性不同，有些成分有明显的吸收特征，容易预测，有些成分的吸收特征较弱，难以准确预测。</w:t>
      </w:r>
    </w:p>
    <w:p w14:paraId="50172DC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液质成分预测任务采用基线实验加优化实验的设计。基线实验使用双光谱特征和岭回归模型，优化实验在基线基础上引入预处理和特征工程。评估指标包括单项指标的决定系数和所有指标的平均决定系数。</w:t>
      </w:r>
    </w:p>
    <w:p w14:paraId="7E4DD6B0">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3.4 多模态融合技术</w:t>
      </w:r>
    </w:p>
    <w:p w14:paraId="31D8CE5E">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3.4.1 光谱技术原理</w:t>
      </w:r>
    </w:p>
    <w:p w14:paraId="03DEDE3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近红外光谱技术是一种基于分子振动吸收的光谱分析方法。当近红外光照射到样品时，样品中的含氢基团会吸收特定波长的光，产生特征吸收峰。吸收峰的位置和强度与样品的化学组成有关。可见光光谱主要反映样品的颜色和表面特征。短波近红外光谱主要反映样品的化学成分信息。</w:t>
      </w:r>
    </w:p>
    <w:p w14:paraId="593AD6C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不同波长的光与物质相互作用的机制不同。可见光波长范围约为</w:t>
      </w:r>
      <w:r>
        <w:rPr>
          <w:rFonts w:hint="eastAsia" w:ascii="宋体" w:hAnsi="宋体" w:eastAsia="宋体" w:cs="Times New Roman"/>
          <w:b w:val="0"/>
          <w:kern w:val="0"/>
          <w:sz w:val="24"/>
          <w:szCs w:val="24"/>
          <w:lang w:val="en-US" w:eastAsia="zh-CN" w:bidi="ar"/>
        </w:rPr>
        <w:t>400到700纳米，主要与物质的电子跃迁有关，能够反映物质的颜色和外观特征。近红外波长范围约为700到2500纳米，主要与物质的分子振动和转动能级有关，能够反映物质的化学成分信息。短波近红外波长范围约为700到1100纳米，在这个范围内，光的穿透力较强，适合用于水果等食品的内部品质检测。</w:t>
      </w:r>
    </w:p>
    <w:p w14:paraId="36B41081">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3.4.2 融合策略</w:t>
      </w:r>
    </w:p>
    <w:p w14:paraId="5B7E52C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早期融合策略的优点是简单直接，能够保留原始光谱的完整信息。拼接后的特征向量包含了所有波段的信息，模型可以自由选择对预测有用的特征。这种策略不需要复杂的特征融合设计，实现起来相对简单。项目也比较了单光谱模型的性能，以评估多模态融合的实际增益。实验结果表明，双光谱方案在品质预测和成分分析任务上表现更好，证明了多模态融合的价值。</w:t>
      </w:r>
    </w:p>
    <w:p w14:paraId="6272AFB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宋体"/>
          <w:b w:val="0"/>
          <w:kern w:val="0"/>
          <w:sz w:val="24"/>
          <w:szCs w:val="24"/>
          <w:lang w:val="en-US" w:eastAsia="zh-CN" w:bidi="ar"/>
        </w:rPr>
        <w:t>项目采用早期融合策略，将</w:t>
      </w:r>
      <w:r>
        <w:rPr>
          <w:rFonts w:hint="eastAsia" w:ascii="宋体" w:hAnsi="宋体" w:eastAsia="宋体" w:cs="Times New Roman"/>
          <w:b w:val="0"/>
          <w:kern w:val="0"/>
          <w:sz w:val="24"/>
          <w:szCs w:val="24"/>
          <w:lang w:val="en-US" w:eastAsia="zh-CN" w:bidi="ar"/>
        </w:rPr>
        <w:t>R210的228个波段和S960的1402个波段直接拼接，形成1630维的双光谱特征向量。这种策略简单直接，能够保留原始光谱的完整信息。同时，项目也比较了单光谱模型的性能，评估多模态融合的增益效果。</w:t>
      </w:r>
    </w:p>
    <w:p w14:paraId="681F5462">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79B0C92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8C64D27">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第四章</w:t>
      </w:r>
      <w:r>
        <w:rPr>
          <w:rFonts w:hint="eastAsia" w:ascii="宋体" w:hAnsi="宋体" w:eastAsia="宋体" w:cs="Times New Roman"/>
          <w:b w:val="0"/>
          <w:bCs/>
          <w:color w:val="366091"/>
          <w:sz w:val="28"/>
          <w:szCs w:val="28"/>
        </w:rPr>
        <w:t xml:space="preserve"> </w:t>
      </w:r>
      <w:r>
        <w:rPr>
          <w:rFonts w:hint="eastAsia" w:ascii="宋体" w:hAnsi="宋体" w:eastAsia="宋体" w:cs="宋体"/>
          <w:b w:val="0"/>
          <w:bCs/>
          <w:color w:val="366091"/>
          <w:sz w:val="28"/>
          <w:szCs w:val="28"/>
        </w:rPr>
        <w:t>系统实现</w:t>
      </w:r>
    </w:p>
    <w:p w14:paraId="4DC6A360">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4.1 系统架构</w:t>
      </w:r>
    </w:p>
    <w:p w14:paraId="26CDBBB2">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前端使用</w:t>
      </w:r>
      <w:r>
        <w:rPr>
          <w:rFonts w:hint="eastAsia" w:ascii="宋体" w:hAnsi="宋体" w:eastAsia="宋体" w:cs="Times New Roman"/>
          <w:b w:val="0"/>
          <w:kern w:val="0"/>
          <w:sz w:val="24"/>
          <w:szCs w:val="24"/>
          <w:lang w:val="en-US" w:eastAsia="zh-CN" w:bidi="ar"/>
        </w:rPr>
        <w:t>React框架开发，采用组件化设计思想，将页面拆分为多个可复用的组件。页面样式使用Tailwind CSS，保证了界面的一致性和美观性。前端负责页面展示和用户交互，通过Axios库调用后端API获取数据。后端使用Python Flask框架提供API服务，使用pandas和numpy进行数据处理，使用scikit-learn进行模型预测。后端将分析结果以JSON格式返回给前端，前端将结果渲染为图表和文字。</w:t>
      </w:r>
    </w:p>
    <w:p w14:paraId="16146E0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本项目采用分层架构设计，由展示层、业务层和数据层三部分组成。展示层负责用户交互和结果展示，包括网页端和移动端。业务层负责业务逻辑处理和任务调度。数据层负责数据存储和管理。系统采用前后端分离架构，前端使用</w:t>
      </w:r>
      <w:r>
        <w:rPr>
          <w:rFonts w:hint="eastAsia" w:ascii="宋体" w:hAnsi="宋体" w:eastAsia="宋体" w:cs="Times New Roman"/>
          <w:b w:val="0"/>
          <w:kern w:val="0"/>
          <w:sz w:val="24"/>
          <w:szCs w:val="24"/>
          <w:lang w:val="en-US" w:eastAsia="zh-CN" w:bidi="ar"/>
        </w:rPr>
        <w:t>React框架开发，后端使用Python Flask框架提供API服务。</w:t>
      </w:r>
    </w:p>
    <w:p w14:paraId="50C80396">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4.1.1 网页端</w:t>
      </w:r>
    </w:p>
    <w:p w14:paraId="47A4765C">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网页端是项目的主要展示界面，采用响应式设计，支持</w:t>
      </w:r>
      <w:r>
        <w:rPr>
          <w:rFonts w:hint="eastAsia" w:ascii="宋体" w:hAnsi="宋体" w:eastAsia="宋体" w:cs="Times New Roman"/>
          <w:b w:val="0"/>
          <w:kern w:val="0"/>
          <w:sz w:val="24"/>
          <w:szCs w:val="24"/>
          <w:lang w:val="en-US" w:eastAsia="zh-CN" w:bidi="ar"/>
        </w:rPr>
        <w:t>PC端和移动端访问。网页端包含9个主要页面。首页展示项目概况和快速入口。数据总览展示样本规模、产地分布、品质统计等汇总信息。分析页展示单个样本的详细分析结果。历史页支持按样本编号、批次信息、检测时间等条件查询历史记录。</w:t>
      </w:r>
    </w:p>
    <w:p w14:paraId="79481E17">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4.1.2 移动端</w:t>
      </w:r>
    </w:p>
    <w:p w14:paraId="202E517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移动端采用微信小程序设计，便于在果园、分选厂等场景使用。移动端包含</w:t>
      </w:r>
      <w:r>
        <w:rPr>
          <w:rFonts w:hint="eastAsia" w:ascii="宋体" w:hAnsi="宋体" w:eastAsia="宋体" w:cs="Times New Roman"/>
          <w:b w:val="0"/>
          <w:kern w:val="0"/>
          <w:sz w:val="24"/>
          <w:szCs w:val="24"/>
          <w:lang w:val="en-US" w:eastAsia="zh-CN" w:bidi="ar"/>
        </w:rPr>
        <w:t>11个功能页面。样本上传支持拍照或扫码录入样本信息。分析提交选择分析任务类型，提交分析请求。结果查询查看分析结果。报告查看生成和查看正式报告。</w:t>
      </w:r>
    </w:p>
    <w:p w14:paraId="462D0CF9">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移动端的设计重点考虑了现场使用的便利性。在果园场景中，用户可能没有电脑，只能使用手机。移动端支持拍照录入功能，用户可以直接拍摄柑橘照片，系统自动提取图像特征。移动端还支持扫码录入功能，用户可以扫描预先打印的二维码，快速输入样本信息。移动端的界面设计简洁明了，操作流程简化，降低了使用门槛。</w:t>
      </w:r>
    </w:p>
    <w:p w14:paraId="3CCBD88A">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4.2 核心功能模块</w:t>
      </w:r>
    </w:p>
    <w:p w14:paraId="058B7E67">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4.2.1 样本管理模块</w:t>
      </w:r>
    </w:p>
    <w:p w14:paraId="47ECF247">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样本编号由系统自动生成或用户手动输入，由产地代码和序号组成。产地代码包括</w:t>
      </w:r>
      <w:r>
        <w:rPr>
          <w:rFonts w:hint="eastAsia" w:ascii="宋体" w:hAnsi="宋体" w:eastAsia="宋体" w:cs="Times New Roman"/>
          <w:b w:val="0"/>
          <w:kern w:val="0"/>
          <w:sz w:val="24"/>
          <w:szCs w:val="24"/>
          <w:lang w:val="en-US" w:eastAsia="zh-CN" w:bidi="ar"/>
        </w:rPr>
        <w:t>CM表示澄迈福橙、QZ表示琼中绿橙。序号从1开始连续编号。样本信息录入后，系统会自动检查编号的唯一性，避免重复编号。批量导入功能支持Excel文件格式，用户可以按照模板填写样本信息，系统会解析文件并批量创建样本记录。</w:t>
      </w:r>
    </w:p>
    <w:p w14:paraId="678F63F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样本管理模块负责样本信息的录入、修改和查询。模块采用统一的样本编号体系，每个样本都有一个唯一的编号。样本信息包括样本编号、产地信息、批次信息、采集时间和样本备注。模块支持批量导入功能，用户可以从</w:t>
      </w:r>
      <w:r>
        <w:rPr>
          <w:rFonts w:hint="eastAsia" w:ascii="宋体" w:hAnsi="宋体" w:eastAsia="宋体" w:cs="Times New Roman"/>
          <w:b w:val="0"/>
          <w:kern w:val="0"/>
          <w:sz w:val="24"/>
          <w:szCs w:val="24"/>
          <w:lang w:val="en-US" w:eastAsia="zh-CN" w:bidi="ar"/>
        </w:rPr>
        <w:t>Excel文件导入样本信息。</w:t>
      </w:r>
    </w:p>
    <w:p w14:paraId="093DDD9B">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4.2.2 光谱数据处理模块</w:t>
      </w:r>
    </w:p>
    <w:p w14:paraId="0D1B5ED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光谱数据处理模块负责光谱数据的读取、预处理和特征提取。模块支持多种光谱数据格式。预处理操作包括波长验证、噪声过滤、基线校正和散射校正。模块支持单光谱和双光谱两种模式，特征提取完成后将特征向量存储到数据库中。</w:t>
      </w:r>
    </w:p>
    <w:p w14:paraId="192FC057">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4.2.3 产地溯源模块</w:t>
      </w:r>
    </w:p>
    <w:p w14:paraId="2B77A27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产地溯源模块根据光谱数据预测样品的产地。模块使用训练好的分类模型对输入的光谱特征进行预测，输出产地类别和置信度。模块支持多种分类模型，用户可以选择使用哪种模型进行预测。模块还支持批量预测功能，用户可以一次提交多个样本。</w:t>
      </w:r>
    </w:p>
    <w:p w14:paraId="1D598128">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4.2.4 品质预测模块</w:t>
      </w:r>
    </w:p>
    <w:p w14:paraId="75BCD8A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品质预测模块根据光谱数据预测样品的品质指标。模块使用训练好的回归模型进行预测，输出品质指标的预测值和预测区间。模块输出包括预测值、预测区间、模型评估和品质等级。品质预测模块还支持品质对比功能，用户可以输入多个样本编号，系统返回各样本的品质指标对比结果。</w:t>
      </w:r>
    </w:p>
    <w:p w14:paraId="55450C9E">
      <w:pPr>
        <w:pStyle w:val="5"/>
        <w:widowControl/>
        <w:spacing w:line="360" w:lineRule="auto"/>
        <w:rPr>
          <w:rFonts w:hint="default" w:ascii="Calibri" w:hAnsi="Calibri" w:eastAsia="MS Gothic" w:cs="Times New Roman"/>
          <w:b/>
          <w:bCs/>
          <w:color w:val="4F81BD"/>
          <w:sz w:val="24"/>
          <w:szCs w:val="24"/>
        </w:rPr>
      </w:pPr>
      <w:r>
        <w:rPr>
          <w:rFonts w:hint="eastAsia" w:ascii="宋体" w:hAnsi="宋体" w:eastAsia="宋体" w:cs="Times New Roman"/>
          <w:b w:val="0"/>
          <w:bCs/>
          <w:color w:val="4F81BD"/>
          <w:sz w:val="24"/>
          <w:szCs w:val="24"/>
        </w:rPr>
        <w:t>4.2.5 报告生成模块</w:t>
      </w:r>
    </w:p>
    <w:p w14:paraId="0F89D6F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报告生成模块从结构化结果中抽取关键信息，生成格式规范的中文报告。报告内容包括样本信息、产地判别、品质评估、成分分析和结论总结。模块支持多种输出格式，包括</w:t>
      </w:r>
      <w:r>
        <w:rPr>
          <w:rFonts w:hint="eastAsia" w:ascii="宋体" w:hAnsi="宋体" w:eastAsia="宋体" w:cs="Times New Roman"/>
          <w:b w:val="0"/>
          <w:kern w:val="0"/>
          <w:sz w:val="24"/>
          <w:szCs w:val="24"/>
          <w:lang w:val="en-US" w:eastAsia="zh-CN" w:bidi="ar"/>
        </w:rPr>
        <w:t>Word、PDF和HTML。</w:t>
      </w:r>
    </w:p>
    <w:p w14:paraId="722681C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宋体"/>
          <w:b w:val="0"/>
          <w:kern w:val="0"/>
          <w:sz w:val="24"/>
          <w:szCs w:val="24"/>
          <w:lang w:val="en-US" w:eastAsia="zh-CN" w:bidi="ar"/>
        </w:rPr>
        <w:t>报告生成模块采用模板化设计，支持多种报告模板。模板定义了报告的结构和内容，包括封面、目录、正文和附录等部分。正文部分按照固定格式组织信息，首先介绍样本的基本信息，包括编号、产地、批次和采集时间。然后展示产地判别结果，包括预测的产地和置信度。接着展示品质评估结果，包括糖度、酸度、糖酸比和维生素</w:t>
      </w:r>
      <w:r>
        <w:rPr>
          <w:rFonts w:hint="eastAsia" w:ascii="宋体" w:hAnsi="宋体" w:eastAsia="宋体" w:cs="Times New Roman"/>
          <w:b w:val="0"/>
          <w:kern w:val="0"/>
          <w:sz w:val="24"/>
          <w:szCs w:val="24"/>
          <w:lang w:val="en-US" w:eastAsia="zh-CN" w:bidi="ar"/>
        </w:rPr>
        <w:t>C含量的预测值和品质等级。最后展示成分分析结果，包括重点液质成分的预测值和产地差异说明。</w:t>
      </w:r>
    </w:p>
    <w:p w14:paraId="0E84B28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00B1F36">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AF7EC7C">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3C1555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2C08F6A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95FB23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3ECCD22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59B06F9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075AA92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47B7431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735A7868">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5B5B2E78">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第五章</w:t>
      </w:r>
      <w:r>
        <w:rPr>
          <w:rFonts w:hint="eastAsia" w:ascii="宋体" w:hAnsi="宋体" w:eastAsia="宋体" w:cs="Times New Roman"/>
          <w:b w:val="0"/>
          <w:bCs/>
          <w:color w:val="366091"/>
          <w:sz w:val="28"/>
          <w:szCs w:val="28"/>
        </w:rPr>
        <w:t xml:space="preserve"> </w:t>
      </w:r>
      <w:r>
        <w:rPr>
          <w:rFonts w:hint="eastAsia" w:ascii="宋体" w:hAnsi="宋体" w:eastAsia="宋体" w:cs="宋体"/>
          <w:b w:val="0"/>
          <w:bCs/>
          <w:color w:val="366091"/>
          <w:sz w:val="28"/>
          <w:szCs w:val="28"/>
        </w:rPr>
        <w:t>测试分析</w:t>
      </w:r>
    </w:p>
    <w:p w14:paraId="4C9DC632">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5.1 测试设置</w:t>
      </w:r>
    </w:p>
    <w:p w14:paraId="381EFAEA">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测试部分全部建立在统一安全主表之上，正式实验样本数为</w:t>
      </w:r>
      <w:r>
        <w:rPr>
          <w:rFonts w:hint="eastAsia" w:ascii="宋体" w:hAnsi="宋体" w:eastAsia="宋体" w:cs="Times New Roman"/>
          <w:b w:val="0"/>
          <w:kern w:val="0"/>
          <w:sz w:val="24"/>
          <w:szCs w:val="24"/>
          <w:lang w:val="en-US" w:eastAsia="zh-CN" w:bidi="ar"/>
        </w:rPr>
        <w:t>399个。样本按照70%、15%、15%的比例划分为训练集、验证集、测试集，规模分别为279、60、60。划分时使用固定随机种子，保证三类任务使用相同的划分方案。验证集和测试集中澄迈福橙与琼中绿橙均保持30:30的平衡分布。</w:t>
      </w:r>
    </w:p>
    <w:p w14:paraId="7DF8B169">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实验在标准计算环境中进行。硬件配置包括</w:t>
      </w:r>
      <w:r>
        <w:rPr>
          <w:rFonts w:hint="eastAsia" w:ascii="宋体" w:hAnsi="宋体" w:eastAsia="宋体" w:cs="Times New Roman"/>
          <w:b w:val="0"/>
          <w:kern w:val="0"/>
          <w:sz w:val="24"/>
          <w:szCs w:val="24"/>
          <w:lang w:val="en-US" w:eastAsia="zh-CN" w:bidi="ar"/>
        </w:rPr>
        <w:t>Intel Core i7处理器、</w:t>
      </w:r>
      <w:r>
        <w:rPr>
          <w:rFonts w:hint="eastAsia" w:ascii="宋体" w:hAnsi="宋体" w:eastAsia="宋体" w:cs="宋体"/>
          <w:b w:val="0"/>
          <w:kern w:val="0"/>
          <w:sz w:val="24"/>
          <w:szCs w:val="24"/>
          <w:lang w:val="en-US" w:eastAsia="zh-CN" w:bidi="ar"/>
        </w:rPr>
        <w:t>32</w:t>
      </w:r>
      <w:r>
        <w:rPr>
          <w:rFonts w:hint="eastAsia" w:ascii="宋体" w:hAnsi="宋体" w:eastAsia="宋体" w:cs="Times New Roman"/>
          <w:b w:val="0"/>
          <w:kern w:val="0"/>
          <w:sz w:val="24"/>
          <w:szCs w:val="24"/>
          <w:lang w:val="en-US" w:eastAsia="zh-CN" w:bidi="ar"/>
        </w:rPr>
        <w:t>GB内存和</w:t>
      </w:r>
      <w:r>
        <w:rPr>
          <w:rFonts w:hint="eastAsia" w:ascii="宋体" w:hAnsi="宋体" w:eastAsia="宋体" w:cs="宋体"/>
          <w:b w:val="0"/>
          <w:kern w:val="0"/>
          <w:sz w:val="24"/>
          <w:szCs w:val="24"/>
          <w:lang w:val="en-US" w:eastAsia="zh-CN" w:bidi="ar"/>
        </w:rPr>
        <w:t>1T</w:t>
      </w:r>
      <w:r>
        <w:rPr>
          <w:rFonts w:hint="eastAsia" w:ascii="宋体" w:hAnsi="宋体" w:eastAsia="宋体" w:cs="Times New Roman"/>
          <w:b w:val="0"/>
          <w:kern w:val="0"/>
          <w:sz w:val="24"/>
          <w:szCs w:val="24"/>
          <w:lang w:val="en-US" w:eastAsia="zh-CN" w:bidi="ar"/>
        </w:rPr>
        <w:t>B固态硬盘。软件环境包括Python 3.</w:t>
      </w:r>
      <w:r>
        <w:rPr>
          <w:rFonts w:hint="eastAsia" w:ascii="宋体" w:hAnsi="宋体" w:eastAsia="宋体" w:cs="宋体"/>
          <w:b w:val="0"/>
          <w:kern w:val="0"/>
          <w:sz w:val="24"/>
          <w:szCs w:val="24"/>
          <w:lang w:val="en-US" w:eastAsia="zh-CN" w:bidi="ar"/>
        </w:rPr>
        <w:t>12、</w:t>
      </w:r>
      <w:r>
        <w:rPr>
          <w:rFonts w:hint="eastAsia" w:ascii="宋体" w:hAnsi="宋体" w:eastAsia="宋体" w:cs="Times New Roman"/>
          <w:b w:val="0"/>
          <w:kern w:val="0"/>
          <w:sz w:val="24"/>
          <w:szCs w:val="24"/>
          <w:lang w:val="en-US" w:eastAsia="zh-CN" w:bidi="ar"/>
        </w:rPr>
        <w:t>scikit-learn 0.24、pandas 1.2和numpy 1.19。所有实验在同一环境中完成，保证了结果的可比性。实验代码采用模块化设计，便于维护和扩展。数据加载、预处理、特征工程、模型训练和结果评估分别封装为独立函数，通过主程序调用执行。这种设计提高了代码的可读性和可复用性，便于其他研究者复现实验结果。</w:t>
      </w:r>
    </w:p>
    <w:p w14:paraId="24E60DC9">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针对不同类型的任务，项目采用不同的评估指标。分类任务使用准确率、平衡准确率和</w:t>
      </w:r>
      <w:r>
        <w:rPr>
          <w:rFonts w:hint="eastAsia" w:ascii="宋体" w:hAnsi="宋体" w:eastAsia="宋体" w:cs="Times New Roman"/>
          <w:b w:val="0"/>
          <w:kern w:val="0"/>
          <w:sz w:val="24"/>
          <w:szCs w:val="24"/>
          <w:lang w:val="en-US" w:eastAsia="zh-CN" w:bidi="ar"/>
        </w:rPr>
        <w:t>F1_macro。回归任务使用决定系数和均方根误差。所有实验都遵循相同的数据划分和评估流程，确保结果的可比性。</w:t>
      </w:r>
    </w:p>
    <w:p w14:paraId="3F7A5B2A">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5.2 产地溯源结果</w:t>
      </w:r>
    </w:p>
    <w:p w14:paraId="298C15D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实验结果表明，光谱技术在产地溯源任务上表现优异。以</w:t>
      </w:r>
      <w:r>
        <w:rPr>
          <w:rFonts w:hint="eastAsia" w:ascii="宋体" w:hAnsi="宋体" w:eastAsia="宋体" w:cs="Times New Roman"/>
          <w:b w:val="0"/>
          <w:kern w:val="0"/>
          <w:sz w:val="24"/>
          <w:szCs w:val="24"/>
          <w:lang w:val="en-US" w:eastAsia="zh-CN" w:bidi="ar"/>
        </w:rPr>
        <w:t>S960单光谱为输入时，逻辑回归模型在验证集和测试集上都取得了完美的分类效果。这说明短波近红外波段已经包含了充分的产地区分信息。S960光谱覆盖700到1100纳米波长范围，主要反映样品的化学成分信息。两地产地样本在土壤、气候、栽培条件等方面的差异，导致果实内部化学组成存在差异，这些差异在光谱上表现为不同的吸收特征。逻辑回归和线性SVM能够学习这些差异特征，实现准确的产地判别。</w:t>
      </w:r>
    </w:p>
    <w:p w14:paraId="58DDE659">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双光谱方案同样取得了优秀的结果。</w:t>
      </w:r>
      <w:r>
        <w:rPr>
          <w:rFonts w:hint="eastAsia" w:ascii="宋体" w:hAnsi="宋体" w:eastAsia="宋体" w:cs="Times New Roman"/>
          <w:b w:val="0"/>
          <w:kern w:val="0"/>
          <w:sz w:val="24"/>
          <w:szCs w:val="24"/>
          <w:lang w:val="en-US" w:eastAsia="zh-CN" w:bidi="ar"/>
        </w:rPr>
        <w:t>R210加S960双光谱条件下的LightGBM在测试集上取得准确率100%、F1_macro 1.0000的结果。双光谱方案结合了可见光和近红外两个波段的信息，比单一光谱包含更丰富的特征。虽然产地溯源任务主要依赖近红外波段的信息，但可见光波段对品质预测和成分分析具有重要价值。从项目整体角度，双光谱方案更具优势，能够为三类任务提供统一的特征基础。</w:t>
      </w:r>
    </w:p>
    <w:p w14:paraId="7316E9D8">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产地溯源是本项目表现最稳定的任务。以</w:t>
      </w:r>
      <w:r>
        <w:rPr>
          <w:rFonts w:hint="eastAsia" w:ascii="宋体" w:hAnsi="宋体" w:eastAsia="宋体" w:cs="Times New Roman"/>
          <w:b w:val="0"/>
          <w:kern w:val="0"/>
          <w:sz w:val="24"/>
          <w:szCs w:val="24"/>
          <w:lang w:val="en-US" w:eastAsia="zh-CN" w:bidi="ar"/>
        </w:rPr>
        <w:t>S960单光谱为输入时，逻辑回归在验证集和测试集上的准确率、平衡准确率和F1_macro均达到1.0000。S960单光谱已经能够完整捕捉两地产地样本的区分信息。线性SVM也取得了相同的结果，说明产地在光谱空间中是线性可分的。</w:t>
      </w:r>
    </w:p>
    <w:p w14:paraId="26DF508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双光谱方案同样表现优秀。</w:t>
      </w:r>
      <w:r>
        <w:rPr>
          <w:rFonts w:hint="eastAsia" w:ascii="宋体" w:hAnsi="宋体" w:eastAsia="宋体" w:cs="Times New Roman"/>
          <w:b w:val="0"/>
          <w:kern w:val="0"/>
          <w:sz w:val="24"/>
          <w:szCs w:val="24"/>
          <w:lang w:val="en-US" w:eastAsia="zh-CN" w:bidi="ar"/>
        </w:rPr>
        <w:t>R210加S960双光谱条件下的LightGBM在测试集上取得准确率1.0000、F1_macro 1.0000的结果。虽然在验证集上准确率为0.9833，但测试集上的完美表现证明了双光谱方案的可行性。双光谱方案结合了可见光和近红外两个波段的信息，为品质预测和成分分析提供了统一的特征基础。</w:t>
      </w:r>
    </w:p>
    <w:p w14:paraId="6C8C774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从实际应用角度，产地溯源需要满足高准确率和可解释性两个要求。逻辑回归不仅准确率高，还能通过系数分析找出对分类贡献最大的波段，为产地差异提供物理解释。这种可解释性在实际应用中具有重要价值。</w:t>
      </w:r>
    </w:p>
    <w:p w14:paraId="1F3B4ED7">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实际应用中，产地溯源需要满足高准确率和可解释性两个要求。高准确率保证了产地识别的可靠性，防止误判带来的损失。可解释性增强了用户对结果的信任，便于向消费者和监管部门说明。逻辑回归模型的系数可以解释为各波段对分类的贡献，系数的绝对值越大，说明该波段越重要。通过分析重要波段的波长位置，可以推断出导致产地差异的关键化学成分，为产地差异提供物理解释。</w:t>
      </w:r>
    </w:p>
    <w:p w14:paraId="3C9C8720">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5.3 品质预测结果</w:t>
      </w:r>
    </w:p>
    <w:p w14:paraId="47197F3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决定系数达到</w:t>
      </w:r>
      <w:r>
        <w:rPr>
          <w:rFonts w:hint="eastAsia" w:ascii="宋体" w:hAnsi="宋体" w:eastAsia="宋体" w:cs="Times New Roman"/>
          <w:b w:val="0"/>
          <w:kern w:val="0"/>
          <w:sz w:val="24"/>
          <w:szCs w:val="24"/>
          <w:lang w:val="en-US" w:eastAsia="zh-CN" w:bidi="ar"/>
        </w:rPr>
        <w:t>0.7051意味着模型能够解释糖度变异的70.51%，这是一个相当不错的预测效果。均方根误差为0.8071°Brix，意味着预测值与真实值的平均偏差约为0.8°Brix。在实际应用中，这个精度是可以接受的。糖度是柑橘品质评价的核心指标，直接影响消费者的购买决策和果品的市场价格。能够准确预测糖度，可以为果品分级和定价提供科学依据。</w:t>
      </w:r>
    </w:p>
    <w:p w14:paraId="785D2BDA">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维生素</w:t>
      </w:r>
      <w:r>
        <w:rPr>
          <w:rFonts w:hint="eastAsia" w:ascii="宋体" w:hAnsi="宋体" w:eastAsia="宋体" w:cs="Times New Roman"/>
          <w:b w:val="0"/>
          <w:kern w:val="0"/>
          <w:sz w:val="24"/>
          <w:szCs w:val="24"/>
          <w:lang w:val="en-US" w:eastAsia="zh-CN" w:bidi="ar"/>
        </w:rPr>
        <w:t>C含量预测虽然决定系数相对较低，但仍具有参考价值。从样本统计可以看出明显的产地差异，澄迈福橙在维生素C含量上具有优势。维生素C是柑橘的重要营养成分，也是评价柑橘品质的重要指标。澄迈福橙维生素C含量更高，这与两地的光照条件和栽培管理有关。维生素C预测结果为营养评价提供了参考。</w:t>
      </w:r>
    </w:p>
    <w:p w14:paraId="32B868AA">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品质预测任务中，糖度是最具代表性的指标。</w:t>
      </w:r>
      <w:r>
        <w:rPr>
          <w:rFonts w:hint="eastAsia" w:ascii="宋体" w:hAnsi="宋体" w:eastAsia="宋体" w:cs="Times New Roman"/>
          <w:b w:val="0"/>
          <w:kern w:val="0"/>
          <w:sz w:val="24"/>
          <w:szCs w:val="24"/>
          <w:lang w:val="en-US" w:eastAsia="zh-CN" w:bidi="ar"/>
        </w:rPr>
        <w:t>R210加S960双光谱条件下的岭回归在测试集上取得R²等于0.7051、均方根误差等于0.8071的结果。模型能够解释糖度变异的70.51%，预测值与真实值的平均偏差约为0.8°Brix。从样本统计看，琼中绿橙平均糖度为10.79°Brix，澄迈福橙平均糖度为9.72°Brix，两地差异约1°Brix。</w:t>
      </w:r>
    </w:p>
    <w:p w14:paraId="16F369C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维生素</w:t>
      </w:r>
      <w:r>
        <w:rPr>
          <w:rFonts w:hint="eastAsia" w:ascii="宋体" w:hAnsi="宋体" w:eastAsia="宋体" w:cs="Times New Roman"/>
          <w:b w:val="0"/>
          <w:kern w:val="0"/>
          <w:sz w:val="24"/>
          <w:szCs w:val="24"/>
          <w:lang w:val="en-US" w:eastAsia="zh-CN" w:bidi="ar"/>
        </w:rPr>
        <w:t>C含量预测方面，R210单光谱条件下的偏最小二乘回归在测试集上取得R²等于0.3788的结果。澄迈福橙平均维生素C含量为40.80mg/100g，琼中绿橙平均维生素C含量为31.00mg/100g，澄迈福橙在维生素C含量上明显优于琼中绿橙。</w:t>
      </w:r>
    </w:p>
    <w:p w14:paraId="56E377DD">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糖酸比预测方面，</w:t>
      </w:r>
      <w:r>
        <w:rPr>
          <w:rFonts w:hint="eastAsia" w:ascii="宋体" w:hAnsi="宋体" w:eastAsia="宋体" w:cs="Times New Roman"/>
          <w:b w:val="0"/>
          <w:kern w:val="0"/>
          <w:sz w:val="24"/>
          <w:szCs w:val="24"/>
          <w:lang w:val="en-US" w:eastAsia="zh-CN" w:bidi="ar"/>
        </w:rPr>
        <w:t>R210单光谱条件下的偏最小二乘回归在测试集上取得R²等于0.3654的结果。琼中绿橙平均糖酸比为18.11，澄迈福橙平均糖酸比为15.35，琼中绿橙在糖酸比上优于澄迈福橙。</w:t>
      </w:r>
    </w:p>
    <w:p w14:paraId="6006D21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综合三项品质指标的预测结果，两地产地柑橘各有特色。澄迈福橙在维生素</w:t>
      </w:r>
      <w:r>
        <w:rPr>
          <w:rFonts w:hint="eastAsia" w:ascii="宋体" w:hAnsi="宋体" w:eastAsia="宋体" w:cs="Times New Roman"/>
          <w:b w:val="0"/>
          <w:kern w:val="0"/>
          <w:sz w:val="24"/>
          <w:szCs w:val="24"/>
          <w:lang w:val="en-US" w:eastAsia="zh-CN" w:bidi="ar"/>
        </w:rPr>
        <w:t>C含量上具有优势，营养价值更高。琼中绿橙在糖度和糖酸比上具有优势，口感更甜。这种差异为消费者提供了多样化的选择，也为品牌定位提供了依据。</w:t>
      </w:r>
    </w:p>
    <w:p w14:paraId="7BDAFAF3">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品质预测结果可以直接应用于果品分级和定价。糖度高的样品可以定为优质品，定价更高。维生素</w:t>
      </w:r>
      <w:r>
        <w:rPr>
          <w:rFonts w:hint="eastAsia" w:ascii="宋体" w:hAnsi="宋体" w:eastAsia="宋体" w:cs="Times New Roman"/>
          <w:b w:val="0"/>
          <w:kern w:val="0"/>
          <w:sz w:val="24"/>
          <w:szCs w:val="24"/>
          <w:lang w:val="en-US" w:eastAsia="zh-CN" w:bidi="ar"/>
        </w:rPr>
        <w:t>C含量高的样品可以强调营养价值，作为健康食品推广。糖酸比适中的样品可以强调风味平衡，适合大众口味。通过客观的数据支撑，品质分级更加科学，定价更加合理。消费者可以通过扫描产品上的二维码，查看该产品的品质检测报告，了解产品的糖度、酸度、维生素C含量等信息，增强购买信心。</w:t>
      </w:r>
    </w:p>
    <w:p w14:paraId="32E11F0E">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5.4 液质成分结果</w:t>
      </w:r>
    </w:p>
    <w:p w14:paraId="2787E0A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标准正态变量变换通过对每条光谱进行标准化处理，能够消除光程差异和散射影响。该方法计算光谱的均值和标准差，然后将每个波长点的吸光度值减去均值并除以标准差。主成分分析通过线性变换将高维特征投影到低维空间，保留原始数据的主要方差成分。在液质成分预测任务中，主成分分析用于将</w:t>
      </w:r>
      <w:r>
        <w:rPr>
          <w:rFonts w:hint="eastAsia" w:ascii="宋体" w:hAnsi="宋体" w:eastAsia="宋体" w:cs="Times New Roman"/>
          <w:b w:val="0"/>
          <w:kern w:val="0"/>
          <w:sz w:val="24"/>
          <w:szCs w:val="24"/>
          <w:lang w:val="en-US" w:eastAsia="zh-CN" w:bidi="ar"/>
        </w:rPr>
        <w:t>1630维的双光谱特征压缩到更低维度，减少计算量并防止过拟合。</w:t>
      </w:r>
    </w:p>
    <w:p w14:paraId="23B98862">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液质成分预测任务中，基线实验使用双光谱特征和岭回归模型，验证集平均</w:t>
      </w:r>
      <w:r>
        <w:rPr>
          <w:rFonts w:hint="eastAsia" w:ascii="宋体" w:hAnsi="宋体" w:eastAsia="宋体" w:cs="Times New Roman"/>
          <w:b w:val="0"/>
          <w:kern w:val="0"/>
          <w:sz w:val="24"/>
          <w:szCs w:val="24"/>
          <w:lang w:val="en-US" w:eastAsia="zh-CN" w:bidi="ar"/>
        </w:rPr>
        <w:t>R²为0.6811，测试集平均R²为0.6620。引入标准正态变量变换、主成分分析和参数搜索后，验证集平均R²提升到0.7104，测试集平均R²提升到0.6975。增益分别达到0.0294和0.0355。</w:t>
      </w:r>
    </w:p>
    <w:p w14:paraId="03B88AF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单项结果中，多项成分取得了优秀的预测效果。异柠檬酸测试集</w:t>
      </w:r>
      <w:r>
        <w:rPr>
          <w:rFonts w:hint="eastAsia" w:ascii="宋体" w:hAnsi="宋体" w:eastAsia="宋体" w:cs="Times New Roman"/>
          <w:b w:val="0"/>
          <w:kern w:val="0"/>
          <w:sz w:val="24"/>
          <w:szCs w:val="24"/>
          <w:lang w:val="en-US" w:eastAsia="zh-CN" w:bidi="ar"/>
        </w:rPr>
        <w:t>R²达到0.8225，莽草酸达到0.8024，E-1-丙烯-1,2,3-三羧酸达到0.7943，蔗糖达到0.6773。从样本统计看，澄迈福橙在异柠檬酸均值上更高，琼中绿橙在蔗糖均值上更高。这些成分差异与品质预测结果相互印证。</w:t>
      </w:r>
    </w:p>
    <w:p w14:paraId="33DC96A7">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这些成分的高精度预测为内部成分分析提供了可靠依据。在实际应用中，成分分析可以用于多个方面。一是用于产地识别，不同产地的成分谱具有特征性，可以作为产地的化学指纹。二是用于品质评价，某些成分与品质指标相关，可以通过成分预测推断品质。三是用于品种选育，通过分析不同品种的成分差异，可以指导育种工作。四是用于营养评价，某些成分具有特殊的营养价值，可以通过成分分析评估产品的营养价值。</w:t>
      </w:r>
    </w:p>
    <w:p w14:paraId="4D5DA364">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异柠檬酸是柠檬酸循环的重要中间产物，参与果实的呼吸代谢。其含量变化可以反映果实的代谢状态和成熟度。澄迈福橙异柠檬酸含量更高，说明其代谢活性可能与琼中绿橙不同。莽草酸是芳香族氨基酸生物合成途径的中间产物，其含量与果实的抗逆性有关。</w:t>
      </w:r>
      <w:r>
        <w:rPr>
          <w:rFonts w:hint="eastAsia" w:ascii="宋体" w:hAnsi="宋体" w:eastAsia="宋体" w:cs="Times New Roman"/>
          <w:b w:val="0"/>
          <w:kern w:val="0"/>
          <w:sz w:val="24"/>
          <w:szCs w:val="24"/>
          <w:lang w:val="en-US" w:eastAsia="zh-CN" w:bidi="ar"/>
        </w:rPr>
        <w:t>E-1-丙烯-1,2,3-三羧酸是一种有机酸，其具体生理功能尚待研究。蔗糖是果实甜味的主要来源，琼中绿橙蔗糖含量更高，这与糖度预测结果一致。</w:t>
      </w:r>
    </w:p>
    <w:p w14:paraId="62B165C8">
      <w:pPr>
        <w:pStyle w:val="4"/>
        <w:widowControl/>
        <w:spacing w:line="360" w:lineRule="auto"/>
        <w:rPr>
          <w:rFonts w:hint="default" w:ascii="Calibri" w:hAnsi="Calibri" w:eastAsia="MS Gothic" w:cs="Times New Roman"/>
          <w:b/>
          <w:bCs/>
          <w:color w:val="4F81BD"/>
          <w:sz w:val="26"/>
          <w:szCs w:val="26"/>
        </w:rPr>
      </w:pPr>
      <w:r>
        <w:rPr>
          <w:rFonts w:hint="eastAsia" w:ascii="宋体" w:hAnsi="宋体" w:eastAsia="宋体" w:cs="Times New Roman"/>
          <w:b w:val="0"/>
          <w:bCs/>
          <w:color w:val="4F81BD"/>
          <w:sz w:val="26"/>
          <w:szCs w:val="26"/>
        </w:rPr>
        <w:t>5.5 综合分析</w:t>
      </w:r>
    </w:p>
    <w:p w14:paraId="4CD3AFAC">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三类任务的结果相互印证，形成了完整的项目叙事。产地溯源结果表明两地产地样本在光谱上存在显著差异。品质预测结果表明琼中绿橙糖度更高，澄迈福橙维生素</w:t>
      </w:r>
      <w:r>
        <w:rPr>
          <w:rFonts w:hint="eastAsia" w:ascii="宋体" w:hAnsi="宋体" w:eastAsia="宋体" w:cs="Times New Roman"/>
          <w:b w:val="0"/>
          <w:kern w:val="0"/>
          <w:sz w:val="24"/>
          <w:szCs w:val="24"/>
          <w:lang w:val="en-US" w:eastAsia="zh-CN" w:bidi="ar"/>
        </w:rPr>
        <w:t>C含量更高。液质成分预测结果表明澄迈福橙在有机酸类成分上含量较高，琼中绿橙在糖类成分上含量较高。三个角度相互支撑，共同构建了对两地产地柑橘差异的全面认识。</w:t>
      </w:r>
    </w:p>
    <w:p w14:paraId="47A16A40">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液质成分预测从化学角度解释差异的原因。异柠檬酸是柠檬酸循环的中间产物，参与果实的呼吸代谢。澄迈福橙异柠檬酸含量更高，说明其代谢活性可能与琼中绿橙不同。蔗糖是果实甜味的主要来源，琼中绿橙蔗糖含量更高，这与糖度预测结果一致。这些成分差异不仅解释了品质差异的化学基础，也为产地溯源提供了多角度的证据。</w:t>
      </w:r>
    </w:p>
    <w:p w14:paraId="355E51B9">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品质预测从理化指标角度量化差异的程度。糖度是最受消费者关注的品质指标，直接影响口感和接受度。琼中绿橙糖度更高，口感更甜，更符合大众口味。维生素</w:t>
      </w:r>
      <w:r>
        <w:rPr>
          <w:rFonts w:hint="eastAsia" w:ascii="宋体" w:hAnsi="宋体" w:eastAsia="宋体" w:cs="Times New Roman"/>
          <w:b w:val="0"/>
          <w:kern w:val="0"/>
          <w:sz w:val="24"/>
          <w:szCs w:val="24"/>
          <w:lang w:val="en-US" w:eastAsia="zh-CN" w:bidi="ar"/>
        </w:rPr>
        <w:t>C是重要的营养成分，具有抗氧化作用，对人体健康有益。澄迈福橙维生素C含量更高，营养价值更优。糖酸比综合反映糖度和酸度的平衡，糖酸比高的果实口感更甜。</w:t>
      </w:r>
    </w:p>
    <w:p w14:paraId="440369F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宋体"/>
          <w:b w:val="0"/>
          <w:kern w:val="0"/>
          <w:sz w:val="24"/>
          <w:szCs w:val="24"/>
          <w:lang w:val="en-US" w:eastAsia="zh-CN" w:bidi="ar"/>
        </w:rPr>
        <w:t>产地溯源从光谱角度证明产地差异的存在。逻辑回归模型可以通过系数分析找出对分类贡献最大的波段。这些波段对应特定的化学键或官能团，反映了样品在化学组成上的差异。两地产地样本在这些关键波段上的吸光度存在显著差异，使得模型能够准确区分产地。</w:t>
      </w:r>
    </w:p>
    <w:p w14:paraId="7D7E992E">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17177E38">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5B102F9A">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2447D332">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7B7E1291">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第六章</w:t>
      </w:r>
      <w:r>
        <w:rPr>
          <w:rFonts w:hint="eastAsia" w:ascii="宋体" w:hAnsi="宋体" w:eastAsia="宋体" w:cs="Times New Roman"/>
          <w:b w:val="0"/>
          <w:bCs/>
          <w:color w:val="366091"/>
          <w:sz w:val="28"/>
          <w:szCs w:val="28"/>
        </w:rPr>
        <w:t xml:space="preserve"> </w:t>
      </w:r>
      <w:r>
        <w:rPr>
          <w:rFonts w:hint="eastAsia" w:ascii="宋体" w:hAnsi="宋体" w:eastAsia="宋体" w:cs="宋体"/>
          <w:b w:val="0"/>
          <w:bCs/>
          <w:color w:val="366091"/>
          <w:sz w:val="28"/>
          <w:szCs w:val="28"/>
        </w:rPr>
        <w:t>项目总结</w:t>
      </w:r>
    </w:p>
    <w:p w14:paraId="281102A8">
      <w:pPr>
        <w:pStyle w:val="4"/>
        <w:keepNext w:val="0"/>
        <w:keepLines w:val="0"/>
        <w:widowControl/>
        <w:suppressLineNumbers w:val="0"/>
        <w:spacing w:line="360" w:lineRule="auto"/>
        <w:rPr>
          <w:rFonts w:hint="eastAsia" w:ascii="宋体" w:hAnsi="宋体" w:eastAsia="宋体" w:cs="宋体"/>
          <w:b w:val="0"/>
          <w:bCs w:val="0"/>
          <w:color w:val="4F81BD"/>
          <w:sz w:val="26"/>
          <w:szCs w:val="26"/>
        </w:rPr>
      </w:pPr>
      <w:r>
        <w:rPr>
          <w:rFonts w:hint="eastAsia" w:ascii="宋体" w:hAnsi="宋体" w:eastAsia="宋体" w:cs="宋体"/>
          <w:b w:val="0"/>
          <w:bCs w:val="0"/>
          <w:color w:val="4F81BD"/>
          <w:sz w:val="26"/>
          <w:szCs w:val="26"/>
        </w:rPr>
        <w:t>6.1 作品特色与创新点</w:t>
      </w:r>
    </w:p>
    <w:p w14:paraId="51792666">
      <w:pPr>
        <w:keepNext w:val="0"/>
        <w:keepLines w:val="0"/>
        <w:widowControl/>
        <w:suppressLineNumbers w:val="0"/>
        <w:spacing w:before="0" w:beforeAutospacing="1" w:after="200" w:afterAutospacing="0" w:line="360"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本项目最鲜明的特点，是没有把数据整理当成建模前的附属工作，而是先把样本关系理顺，再去谈模型效果。面对多模态数据中出现的异常模态、波段不一致和跨产地重复问题，团队先完成样本核对、模态筛选、波段对齐和统一主表重建，最后才进入正式实验。这样的处理顺序让后续的产地溯源、品质预测和液质成分分析建立在同一套可信样本基础上，使得结论更加清晰明了。</w:t>
      </w:r>
    </w:p>
    <w:p w14:paraId="738203ED">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数据治理方面，项目识别高光谱成像跨产地完全重复问题，剔除异常模态，对齐</w:t>
      </w:r>
      <w:r>
        <w:rPr>
          <w:rFonts w:hint="eastAsia" w:ascii="宋体" w:hAnsi="宋体" w:eastAsia="宋体" w:cs="Times New Roman"/>
          <w:b w:val="0"/>
          <w:kern w:val="0"/>
          <w:sz w:val="24"/>
          <w:szCs w:val="24"/>
          <w:lang w:val="en-US" w:eastAsia="zh-CN" w:bidi="ar"/>
        </w:rPr>
        <w:t>S960波段，统一数据口径，建立安全主表。多任务统一方面，产地、品质、成分三类任务共用同一数据集和划分方案，多任务结果相互印证。结果组织方面，所有结果围绕样本编号组织，支持历史记录查询和质量追溯，生成正式中文报告。场景贯通方面，从样本录入到报告输出的完整链路，网页端和移动端双端支持。</w:t>
      </w:r>
    </w:p>
    <w:p w14:paraId="4929CBB9">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场景贯通方面，项目把样本录入、分析处理、结果说明和留档放到同一条链路中。样本进入系统后先绑定编号和批次信息，再进入分析流程。分析完成后，结果围绕该样本编号回写到结果页和历史页。报告模块从结构化结果中抽取产地、品质和重点成分信息，生成正式文本。网页端和移动端围绕同一套数据和分析引擎，保证结果口径一致。</w:t>
      </w:r>
    </w:p>
    <w:p w14:paraId="14298C0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结果组织方面，所有结果围绕样本编号组织。查看单个样本时，可以看到其产地判别结果、糖度预测、</w:t>
      </w:r>
      <w:r>
        <w:rPr>
          <w:rFonts w:hint="eastAsia" w:ascii="宋体" w:hAnsi="宋体" w:eastAsia="宋体" w:cs="Times New Roman"/>
          <w:b w:val="0"/>
          <w:kern w:val="0"/>
          <w:sz w:val="24"/>
          <w:szCs w:val="24"/>
          <w:lang w:val="en-US" w:eastAsia="zh-CN" w:bidi="ar"/>
        </w:rPr>
        <w:t>VC含量和重点成分分析。项目建立了样本编号、产地信息、品质指标和成分分析之间的映射关系，形成完整的结果链条。这种组织方式便于样本回查和质量追溯。用户可以按样本编号查询历史记录，查看该样本的所有分析结果。项目还提供报告生成功能，可以从结构化结果中抽取关键信息，生成格式规范的中文报告。</w:t>
      </w:r>
    </w:p>
    <w:p w14:paraId="7FF9CBA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宋体"/>
          <w:b w:val="0"/>
          <w:kern w:val="0"/>
          <w:sz w:val="24"/>
          <w:szCs w:val="24"/>
          <w:lang w:val="en-US" w:eastAsia="zh-CN" w:bidi="ar"/>
        </w:rPr>
        <w:t>多任务统一方面，项目在同一数据集上完成了产地溯源、品质预测和液质成分预测三类任务。三类任务共用统一编号、统一主表和统一划分方案。这种设计使得多任务结果可以在同一框架下解释和比较。产地判别回答样品来自哪里，品质预测回答样品表现怎样，液质成分分析回答样品内部成分有什么差异。三类结果相互印证，共同构建了对样品特性的全面认识。</w:t>
      </w:r>
    </w:p>
    <w:p w14:paraId="52F327A9">
      <w:pPr>
        <w:keepNext w:val="0"/>
        <w:keepLines w:val="0"/>
        <w:widowControl/>
        <w:suppressLineNumbers w:val="0"/>
        <w:spacing w:before="0" w:beforeAutospacing="1" w:after="200" w:afterAutospacing="0" w:line="360" w:lineRule="auto"/>
        <w:ind w:left="0" w:leftChars="0" w:right="0" w:firstLine="0" w:firstLineChars="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24D8C215">
      <w:pPr>
        <w:pStyle w:val="4"/>
        <w:widowControl/>
        <w:spacing w:line="360" w:lineRule="auto"/>
        <w:rPr>
          <w:rFonts w:hint="eastAsia" w:ascii="Calibri" w:hAnsi="Calibri" w:eastAsia="宋体" w:cs="Times New Roman"/>
          <w:b/>
          <w:bCs/>
          <w:color w:val="4F81BD"/>
          <w:sz w:val="26"/>
          <w:szCs w:val="26"/>
        </w:rPr>
      </w:pPr>
      <w:r>
        <w:rPr>
          <w:rFonts w:hint="eastAsia" w:ascii="宋体" w:hAnsi="宋体" w:eastAsia="宋体" w:cs="Times New Roman"/>
          <w:b w:val="0"/>
          <w:bCs/>
          <w:color w:val="4F81BD"/>
          <w:sz w:val="26"/>
          <w:szCs w:val="26"/>
        </w:rPr>
        <w:t>6.</w:t>
      </w:r>
      <w:r>
        <w:rPr>
          <w:rFonts w:hint="eastAsia" w:ascii="宋体" w:hAnsi="宋体" w:eastAsia="宋体" w:cs="宋体"/>
          <w:b w:val="0"/>
          <w:bCs/>
          <w:color w:val="4F81BD"/>
          <w:sz w:val="26"/>
          <w:szCs w:val="26"/>
        </w:rPr>
        <w:t>2</w:t>
      </w:r>
      <w:r>
        <w:rPr>
          <w:rFonts w:hint="eastAsia" w:ascii="宋体" w:hAnsi="宋体" w:eastAsia="宋体" w:cs="Times New Roman"/>
          <w:b w:val="0"/>
          <w:bCs/>
          <w:color w:val="4F81BD"/>
          <w:sz w:val="26"/>
          <w:szCs w:val="26"/>
        </w:rPr>
        <w:t xml:space="preserve"> </w:t>
      </w:r>
      <w:r>
        <w:rPr>
          <w:rFonts w:hint="eastAsia" w:ascii="宋体" w:hAnsi="宋体" w:eastAsia="宋体" w:cs="宋体"/>
          <w:b w:val="0"/>
          <w:bCs/>
          <w:color w:val="4F81BD"/>
          <w:sz w:val="26"/>
          <w:szCs w:val="26"/>
        </w:rPr>
        <w:t>应用推广</w:t>
      </w:r>
    </w:p>
    <w:p w14:paraId="594CCC2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项目可应用于果园与合作社场景，提供批次登记、品质初判和结果留档功能。项目可应用于分选环节，提供产地核验、品质判断和成分说明功能。项目可应用于品牌展示场景，提供产地证明、品质说明和结果留存功能。项目可应用于教学科研场景，提供数据演示和方法展示功能。</w:t>
      </w:r>
    </w:p>
    <w:p w14:paraId="5BFD8895">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分选环节场景中，项目可用于产地核验和品质判断。在柑橘流通环节，产地真实性是品牌保护的关键，品质等级是定价的重要依据。项目提供的产地溯源功能，可以在不破坏样品的前提下，快速判断样品产地。项目提供的品质预测功能，可以预测糖度、糖酸比、维生素</w:t>
      </w:r>
      <w:r>
        <w:rPr>
          <w:rFonts w:hint="eastAsia" w:ascii="宋体" w:hAnsi="宋体" w:eastAsia="宋体" w:cs="Times New Roman"/>
          <w:b w:val="0"/>
          <w:kern w:val="0"/>
          <w:sz w:val="24"/>
          <w:szCs w:val="24"/>
          <w:lang w:val="en-US" w:eastAsia="zh-CN" w:bidi="ar"/>
        </w:rPr>
        <w:t>C含量等品质指标，为分选决策提供数据支撑。项目提供的成分分析功能，可以提供重点成分的量化说明，增强产品说服力。</w:t>
      </w:r>
    </w:p>
    <w:p w14:paraId="73A6479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果园与合作社场景中，项目可用于样本批次登记和初步品质分级。果园需要对不同批次、不同地块、不同采摘时间的柑橘进行区分管理。项目提供的统一样本编号体系，可以将光谱检测结果与产地信息、采摘时间、批次信息等元数据关联，形成完整的数字化档案。项目提供的品质预测功能，可以快速检测糖度、酸度等关键指标，辅助初步分级。项目提供的历史记录功能，可以保存检测样本的光谱数据和结果，建立历史数据库。</w:t>
      </w:r>
    </w:p>
    <w:p w14:paraId="0A25D26B">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教学科研场景中，项目可作为数据治理与多任务分析的演示案例。项目设计了完整的数据治理流程，包括异常检测、数据对齐、样本划分等关键环节。项目在同一数据集上完成了三类任务，便于教学展示和科研对比。项目还可以作为科研平台，支持新的算法验证和新的特征工程方法探索。学生和研究人员可以使用项目提供的数据和代码，复现实验结果，开展新的研究。</w:t>
      </w:r>
    </w:p>
    <w:p w14:paraId="10FC715A">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在品牌展示场景中，项目可用于产地证明和品质说明。品牌方需要在展会、电商、宣传材料等场景展示产品品质和产地特色。项目提供的产地溯源功能可以生成产地证明，证明产品的产地真实性。项目提供的品质预测功能可以生成品质报告，用客观数据支撑品质宣称。项目提供的报告生成功能可以生成格式规范的中文报告，可用于对外宣传和资料归档。消费者可以通过扫描产品上的二维码，查看产品的检测报告，了解产品的产地、品质和成分信息，增强购买信心。</w:t>
      </w:r>
    </w:p>
    <w:p w14:paraId="0753DEF1">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bCs w:val="0"/>
          <w:sz w:val="24"/>
          <w:szCs w:val="24"/>
        </w:rPr>
      </w:pPr>
      <w:r>
        <w:rPr>
          <w:rFonts w:hint="eastAsia" w:ascii="宋体" w:hAnsi="宋体" w:eastAsia="宋体" w:cs="宋体"/>
          <w:b w:val="0"/>
          <w:kern w:val="0"/>
          <w:sz w:val="24"/>
          <w:szCs w:val="24"/>
          <w:lang w:val="en-US" w:eastAsia="zh-CN" w:bidi="ar"/>
        </w:rPr>
        <w:t>项目建立的数据治理方法和多任务分析框架具有可复用性。以当前的双光</w:t>
      </w:r>
      <w:r>
        <w:rPr>
          <w:rFonts w:hint="eastAsia" w:ascii="宋体" w:hAnsi="宋体" w:eastAsia="宋体" w:cs="宋体"/>
          <w:b w:val="0"/>
          <w:bCs w:val="0"/>
          <w:kern w:val="0"/>
          <w:sz w:val="24"/>
          <w:szCs w:val="24"/>
          <w:lang w:val="en-US" w:eastAsia="zh-CN" w:bidi="ar"/>
        </w:rPr>
        <w:t>谱分析方法为基础，相同技术路线可应用于其他柑橘品种及特色农产品的品质检测与产地溯源场景。</w:t>
      </w:r>
    </w:p>
    <w:p w14:paraId="74303A4A">
      <w:pPr>
        <w:pStyle w:val="4"/>
        <w:keepNext w:val="0"/>
        <w:keepLines w:val="0"/>
        <w:widowControl/>
        <w:suppressLineNumbers w:val="0"/>
        <w:spacing w:line="360" w:lineRule="auto"/>
        <w:rPr>
          <w:rFonts w:hint="eastAsia" w:ascii="宋体" w:hAnsi="宋体" w:eastAsia="宋体" w:cs="宋体"/>
          <w:b w:val="0"/>
          <w:bCs w:val="0"/>
          <w:color w:val="4F81BD"/>
          <w:sz w:val="26"/>
          <w:szCs w:val="26"/>
        </w:rPr>
      </w:pPr>
      <w:r>
        <w:rPr>
          <w:rFonts w:hint="eastAsia" w:ascii="宋体" w:hAnsi="宋体" w:eastAsia="宋体" w:cs="宋体"/>
          <w:b w:val="0"/>
          <w:bCs w:val="0"/>
          <w:color w:val="4F81BD"/>
          <w:sz w:val="26"/>
          <w:szCs w:val="26"/>
        </w:rPr>
        <w:t>6.3 作品展望</w:t>
      </w:r>
    </w:p>
    <w:p w14:paraId="29C60155">
      <w:pPr>
        <w:keepNext w:val="0"/>
        <w:keepLines w:val="0"/>
        <w:widowControl/>
        <w:suppressLineNumbers w:val="0"/>
        <w:spacing w:before="0" w:beforeAutospacing="1" w:after="200" w:afterAutospacing="0" w:line="360"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b w:val="0"/>
          <w:bCs w:val="0"/>
          <w:kern w:val="0"/>
          <w:sz w:val="24"/>
          <w:szCs w:val="24"/>
          <w:lang w:val="en-US" w:eastAsia="zh-CN" w:bidi="ar"/>
        </w:rPr>
        <w:t>后续迭代将继续围绕两条主线展开。一条主</w:t>
      </w:r>
      <w:r>
        <w:rPr>
          <w:rFonts w:hint="eastAsia" w:ascii="宋体" w:hAnsi="宋体" w:eastAsia="宋体" w:cs="宋体"/>
          <w:kern w:val="0"/>
          <w:sz w:val="24"/>
          <w:szCs w:val="24"/>
          <w:lang w:val="en-US" w:eastAsia="zh-CN" w:bidi="ar"/>
        </w:rPr>
        <w:t>线是扩充样本与品类，在保持现有两地柑橘研究基础的前提下，逐步增加不同年份、不同批次和更多柑橘品种的数据，让模型对产地差异和品质变化的刻画更加充分。另一条主线是继续完善分析维度，把当前已经验证有效的双光谱框架与更多可解释指标结合起来，提升结果表达的丰富度。</w:t>
      </w:r>
    </w:p>
    <w:p w14:paraId="22F60E8B">
      <w:pPr>
        <w:keepNext w:val="0"/>
        <w:keepLines w:val="0"/>
        <w:widowControl/>
        <w:suppressLineNumbers w:val="0"/>
        <w:spacing w:before="0" w:beforeAutospacing="1" w:after="200" w:afterAutospacing="0" w:line="360"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系统层面，后续工作将更加重视面向使用场景的细化打磨，包括批次对比、历史追踪、结果检索和模板化输出等功能。这样做的重点不在于把页面做得更复杂，而在于让检测结果更容易被现场人员理解、被管理者采用、被品牌方用于展示。</w:t>
      </w:r>
    </w:p>
    <w:p w14:paraId="34E89B09">
      <w:pPr>
        <w:keepNext w:val="0"/>
        <w:keepLines w:val="0"/>
        <w:widowControl/>
        <w:suppressLineNumbers w:val="0"/>
        <w:spacing w:before="0" w:beforeAutospacing="1" w:after="200" w:afterAutospacing="0" w:line="360" w:lineRule="auto"/>
        <w:ind w:left="0" w:right="0" w:firstLine="480" w:firstLineChars="200"/>
        <w:jc w:val="left"/>
        <w:rPr>
          <w:rFonts w:hint="eastAsia" w:ascii="宋体" w:hAnsi="宋体" w:eastAsia="宋体" w:cs="Times New Roman"/>
          <w:sz w:val="24"/>
          <w:szCs w:val="24"/>
        </w:rPr>
      </w:pPr>
      <w:r>
        <w:rPr>
          <w:rFonts w:hint="eastAsia" w:ascii="宋体" w:hAnsi="宋体" w:eastAsia="宋体" w:cs="宋体"/>
          <w:kern w:val="0"/>
          <w:sz w:val="24"/>
          <w:szCs w:val="24"/>
          <w:lang w:val="en-US" w:eastAsia="zh-CN" w:bidi="ar"/>
        </w:rPr>
        <w:t>从更长远的方向看，本项目希望把海南柑橘这条样本链路沉淀为可复用的方法框架：先把数据关系做实，再把多任务结果组织清楚，最后把分析能力转成可传播、可留档、可持续迭代的应用形态。这也是本项目后续继续深化和拓展的核心方向。</w:t>
      </w:r>
    </w:p>
    <w:p w14:paraId="40EE124F">
      <w:pPr>
        <w:keepNext w:val="0"/>
        <w:keepLines w:val="0"/>
        <w:widowControl/>
        <w:suppressLineNumbers w:val="0"/>
        <w:spacing w:before="0" w:beforeAutospacing="1" w:after="200" w:afterAutospacing="0" w:line="360" w:lineRule="auto"/>
        <w:ind w:left="0" w:right="0" w:firstLine="480"/>
        <w:jc w:val="left"/>
        <w:rPr>
          <w:rFonts w:hint="eastAsia" w:ascii="宋体" w:hAnsi="宋体" w:eastAsia="宋体" w:cs="Times New Roman"/>
          <w:b w:val="0"/>
          <w:sz w:val="24"/>
          <w:szCs w:val="24"/>
        </w:rPr>
      </w:pPr>
      <w:r>
        <w:rPr>
          <w:rFonts w:hint="eastAsia" w:ascii="宋体" w:hAnsi="宋体" w:eastAsia="宋体" w:cs="Times New Roman"/>
          <w:b w:val="0"/>
          <w:kern w:val="0"/>
          <w:sz w:val="24"/>
          <w:szCs w:val="24"/>
          <w:lang w:val="en-US" w:eastAsia="zh-CN" w:bidi="ar"/>
        </w:rPr>
        <w:t xml:space="preserve"> </w:t>
      </w:r>
    </w:p>
    <w:p w14:paraId="1051CADF">
      <w:pPr>
        <w:pStyle w:val="3"/>
        <w:widowControl/>
        <w:spacing w:line="360" w:lineRule="auto"/>
        <w:rPr>
          <w:rFonts w:hint="default" w:ascii="Calibri" w:hAnsi="Calibri" w:eastAsia="MS Gothic" w:cs="Times New Roman"/>
          <w:b/>
          <w:bCs/>
          <w:color w:val="366091"/>
          <w:sz w:val="28"/>
          <w:szCs w:val="28"/>
        </w:rPr>
      </w:pPr>
      <w:r>
        <w:rPr>
          <w:rFonts w:hint="eastAsia" w:ascii="宋体" w:hAnsi="宋体" w:eastAsia="宋体" w:cs="宋体"/>
          <w:b w:val="0"/>
          <w:bCs/>
          <w:color w:val="366091"/>
          <w:sz w:val="28"/>
          <w:szCs w:val="28"/>
        </w:rPr>
        <w:t>参考文献</w:t>
      </w:r>
    </w:p>
    <w:p w14:paraId="04682157">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 xml:space="preserve">[1] </w:t>
      </w:r>
      <w:r>
        <w:rPr>
          <w:rFonts w:hint="eastAsia" w:ascii="宋体" w:hAnsi="宋体" w:eastAsia="宋体" w:cs="Times New Roman"/>
          <w:b w:val="0"/>
          <w:kern w:val="0"/>
          <w:sz w:val="24"/>
          <w:szCs w:val="24"/>
          <w:lang w:val="en-US" w:eastAsia="zh-CN" w:bidi="ar"/>
        </w:rPr>
        <w:t>Lu Z, Jia K, Zhang H, et al. Geographical Origin Identification of Citrus Fruits Based on Near-Infrared Spectroscopy Combined with Convolutional Neural Network and Data Augmentation[J]. Agriculture, 2025, 15(22): 2350.</w:t>
      </w:r>
    </w:p>
    <w:p w14:paraId="54125786">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 xml:space="preserve">[2] </w:t>
      </w:r>
      <w:r>
        <w:rPr>
          <w:rFonts w:hint="eastAsia" w:ascii="宋体" w:hAnsi="宋体" w:eastAsia="宋体" w:cs="Times New Roman"/>
          <w:b w:val="0"/>
          <w:kern w:val="0"/>
          <w:sz w:val="24"/>
          <w:szCs w:val="24"/>
          <w:lang w:val="en-US" w:eastAsia="zh-CN" w:bidi="ar"/>
        </w:rPr>
        <w:t>Wu D, Sun D W. Advanced applications of hyperspectral imaging technology for food quality and safety analysis and assessment: A review[J]. Innovative Food Science &amp; Emerging Technologies, 2013, 19: 1-14.</w:t>
      </w:r>
    </w:p>
    <w:p w14:paraId="529F37A7">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 xml:space="preserve">[3] </w:t>
      </w:r>
      <w:r>
        <w:rPr>
          <w:rFonts w:hint="eastAsia" w:ascii="宋体" w:hAnsi="宋体" w:eastAsia="宋体" w:cs="Times New Roman"/>
          <w:b w:val="0"/>
          <w:kern w:val="0"/>
          <w:sz w:val="24"/>
          <w:szCs w:val="24"/>
          <w:lang w:val="en-US" w:eastAsia="zh-CN" w:bidi="ar"/>
        </w:rPr>
        <w:t>Liu Y, Sun X, Ouyang A. Nondestructive measurement of soluble solid content of navel orange fruit by visible-NIR spectrometric technique with PLSR and PCA-BPNN[J]. LWT - Food Science and Technology, 2010, 43(4): 602-607.</w:t>
      </w:r>
    </w:p>
    <w:p w14:paraId="574B0C8C">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 xml:space="preserve">[4] </w:t>
      </w:r>
      <w:r>
        <w:rPr>
          <w:rFonts w:hint="eastAsia" w:ascii="宋体" w:hAnsi="宋体" w:eastAsia="宋体" w:cs="Times New Roman"/>
          <w:b w:val="0"/>
          <w:kern w:val="0"/>
          <w:sz w:val="24"/>
          <w:szCs w:val="24"/>
          <w:lang w:val="en-US" w:eastAsia="zh-CN" w:bidi="ar"/>
        </w:rPr>
        <w:t>Liu Y, Chen S, Zhang F, et al. Simultaneous detection of citrus internal quality attributes based on near-infrared spectroscopy and hyperspectral imaging with multi-task deep learning and instrumental transfer learning[J]. Food Chemistry, 2025, 472: 144337.</w:t>
      </w:r>
    </w:p>
    <w:p w14:paraId="14355D31">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[5] 谭正林</w:t>
      </w:r>
      <w:r>
        <w:rPr>
          <w:rFonts w:hint="eastAsia" w:ascii="宋体" w:hAnsi="宋体" w:eastAsia="宋体" w:cs="Times New Roman"/>
          <w:b w:val="0"/>
          <w:kern w:val="0"/>
          <w:sz w:val="24"/>
          <w:szCs w:val="24"/>
          <w:lang w:val="en-US" w:eastAsia="zh-CN" w:bidi="ar"/>
        </w:rPr>
        <w:t>, 吴谋成, 傅廷栋. 近红外光谱技术在农产品品质检测中的应用[J]. 中国油料作物学报, 2012, 34(4): 455-460.</w:t>
      </w:r>
    </w:p>
    <w:p w14:paraId="79B06E7A">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[6] 孙旭东</w:t>
      </w:r>
      <w:r>
        <w:rPr>
          <w:rFonts w:hint="eastAsia" w:ascii="宋体" w:hAnsi="宋体" w:eastAsia="宋体" w:cs="Times New Roman"/>
          <w:b w:val="0"/>
          <w:kern w:val="0"/>
          <w:sz w:val="24"/>
          <w:szCs w:val="24"/>
          <w:lang w:val="en-US" w:eastAsia="zh-CN" w:bidi="ar"/>
        </w:rPr>
        <w:t>, 胡涛, 陈坤杰. 基于近红外光谱的柑橘品质无损检测技术研究进展[J]. 食品科学, 2019, 40(21): 320-328.</w:t>
      </w:r>
    </w:p>
    <w:p w14:paraId="4530804F">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[7] 张海东</w:t>
      </w:r>
      <w:r>
        <w:rPr>
          <w:rFonts w:hint="eastAsia" w:ascii="宋体" w:hAnsi="宋体" w:eastAsia="宋体" w:cs="Times New Roman"/>
          <w:b w:val="0"/>
          <w:kern w:val="0"/>
          <w:sz w:val="24"/>
          <w:szCs w:val="24"/>
          <w:lang w:val="en-US" w:eastAsia="zh-CN" w:bidi="ar"/>
        </w:rPr>
        <w:t>, 刘燕德, 孙旭东. 水果品质近红外光谱检测技术及应用[M]. 北京: 化学工业出版社, 2018.</w:t>
      </w:r>
    </w:p>
    <w:p w14:paraId="2BA7D5CA">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[8] 王韦</w:t>
      </w:r>
      <w:r>
        <w:rPr>
          <w:rFonts w:hint="eastAsia" w:ascii="宋体" w:hAnsi="宋体" w:eastAsia="宋体" w:cs="Times New Roman"/>
          <w:b w:val="0"/>
          <w:kern w:val="0"/>
          <w:sz w:val="24"/>
          <w:szCs w:val="24"/>
          <w:lang w:val="en-US" w:eastAsia="zh-CN" w:bidi="ar"/>
        </w:rPr>
        <w:t>, 王鸣, 赵杰. 近红外光谱技术在农产品产地溯源中的应用研究[J]. 现代食品科技, 2020, 36(8): 280-286.</w:t>
      </w:r>
    </w:p>
    <w:p w14:paraId="6CFA5974">
      <w:pPr>
        <w:keepNext w:val="0"/>
        <w:keepLines w:val="0"/>
        <w:widowControl/>
        <w:suppressLineNumbers w:val="0"/>
        <w:spacing w:before="0" w:beforeAutospacing="1" w:after="200" w:afterAutospacing="0" w:line="360" w:lineRule="auto"/>
        <w:ind w:left="0" w:right="0"/>
        <w:jc w:val="left"/>
        <w:rPr>
          <w:rFonts w:hint="eastAsia" w:ascii="宋体" w:hAnsi="宋体" w:eastAsia="宋体" w:cs="Times New Roman"/>
          <w:sz w:val="24"/>
          <w:szCs w:val="24"/>
        </w:rPr>
      </w:pPr>
      <w:r>
        <w:rPr>
          <w:rFonts w:hint="eastAsia" w:ascii="宋体" w:hAnsi="宋体" w:eastAsia="宋体" w:cs="宋体"/>
          <w:b w:val="0"/>
          <w:kern w:val="0"/>
          <w:sz w:val="24"/>
          <w:szCs w:val="24"/>
          <w:lang w:val="en-US" w:eastAsia="zh-CN" w:bidi="ar"/>
        </w:rPr>
        <w:t xml:space="preserve">[9] </w:t>
      </w:r>
      <w:r>
        <w:rPr>
          <w:rFonts w:hint="eastAsia" w:ascii="宋体" w:hAnsi="宋体" w:eastAsia="宋体" w:cs="Times New Roman"/>
          <w:b w:val="0"/>
          <w:kern w:val="0"/>
          <w:sz w:val="24"/>
          <w:szCs w:val="24"/>
          <w:lang w:val="en-US" w:eastAsia="zh-CN" w:bidi="ar"/>
        </w:rPr>
        <w:t>Chen Q, Zhang C, Zhao J, et al. Recent advances in emerging imaging techniques for nondestructive detection of food quality and safety[J]. Trends in Analytical Chemistry, 2023, 152: 116718.</w:t>
      </w:r>
    </w:p>
    <w:p w14:paraId="64C44C6D"/>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Arial">
    <w:panose1 w:val="020B0604020202020204"/>
    <w:charset w:val="00"/>
    <w:family w:val="auto"/>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B970E7"/>
    <w:rsid w:val="29A852B8"/>
    <w:rsid w:val="30A81E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14996</Words>
  <Characters>16863</Characters>
  <Lines>0</Lines>
  <Paragraphs>0</Paragraphs>
  <TotalTime>34</TotalTime>
  <ScaleCrop>false</ScaleCrop>
  <LinksUpToDate>false</LinksUpToDate>
  <CharactersWithSpaces>17144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WPS_1641114784</cp:lastModifiedBy>
  <dcterms:modified xsi:type="dcterms:W3CDTF">2026-04-11T13:35:08Z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eyJoZGlkIjoiMDljYzUzMWQ4OWI0YzBkYjYzMDRhZTY5ZjZkYmFmYTgiLCJ1c2VySWQiOiIxMzA2ODM4ODIzIn0=</vt:lpwstr>
  </property>
  <property fmtid="{D5CDD505-2E9C-101B-9397-08002B2CF9AE}" pid="3" name="KSOProductBuildVer">
    <vt:lpwstr>2052-12.1.0.20784</vt:lpwstr>
  </property>
  <property fmtid="{D5CDD505-2E9C-101B-9397-08002B2CF9AE}" pid="4" name="ICV">
    <vt:lpwstr>C34C666EC55E4334849FC8CD8EA6828F_12</vt:lpwstr>
  </property>
</Properties>
</file>