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黑体" w:hAnsi="黑体" w:eastAsia="黑体"/>
          <w:b/>
          <w:sz w:val="36"/>
        </w:rPr>
        <w:t>2023年（第16届）</w:t>
      </w:r>
    </w:p>
    <w:p>
      <w:pPr>
        <w:pStyle w:val="Title"/>
      </w:pPr>
      <w:r>
        <w:rPr>
          <w:rFonts w:ascii="黑体" w:hAnsi="黑体" w:eastAsia="黑体"/>
          <w:b/>
          <w:sz w:val="36"/>
        </w:rPr>
        <w:t>中国大学生计算机设计大赛</w:t>
      </w:r>
    </w:p>
    <w:p>
      <w:pPr>
        <w:pStyle w:val="Title"/>
      </w:pPr>
      <w:r>
        <w:rPr>
          <w:rFonts w:ascii="黑体" w:hAnsi="黑体" w:eastAsia="黑体"/>
          <w:b/>
          <w:sz w:val="36"/>
        </w:rPr>
        <w:t>大数据实践赛作品报告</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黑体" w:hAnsi="黑体" w:eastAsia="黑体"/>
                <w:b/>
                <w:sz w:val="24"/>
              </w:rPr>
              <w:t>作品编号</w:t>
            </w:r>
          </w:p>
        </w:tc>
        <w:tc>
          <w:tcPr>
            <w:tcW w:type="dxa" w:w="4320"/>
          </w:tcPr>
          <w:p>
            <w:r>
              <w:rPr>
                <w:rFonts w:ascii="黑体" w:hAnsi="黑体" w:eastAsia="黑体"/>
                <w:b/>
                <w:sz w:val="24"/>
              </w:rPr>
              <w:t>待填写</w:t>
            </w:r>
          </w:p>
        </w:tc>
      </w:tr>
      <w:tr>
        <w:tc>
          <w:tcPr>
            <w:tcW w:type="dxa" w:w="4320"/>
          </w:tcPr>
          <w:p>
            <w:r>
              <w:rPr>
                <w:rFonts w:ascii="黑体" w:hAnsi="黑体" w:eastAsia="黑体"/>
                <w:b/>
                <w:sz w:val="24"/>
              </w:rPr>
              <w:t>作品名称</w:t>
            </w:r>
          </w:p>
        </w:tc>
        <w:tc>
          <w:tcPr>
            <w:tcW w:type="dxa" w:w="4320"/>
          </w:tcPr>
          <w:p>
            <w:r>
              <w:rPr>
                <w:rFonts w:ascii="黑体" w:hAnsi="黑体" w:eastAsia="黑体"/>
                <w:b/>
                <w:sz w:val="24"/>
              </w:rPr>
              <w:t>橙源智鉴——基于多模态光谱融合与深度学习的海南柑橘品质智能检测与产地溯源平台</w:t>
            </w:r>
          </w:p>
        </w:tc>
      </w:tr>
      <w:tr>
        <w:tc>
          <w:tcPr>
            <w:tcW w:type="dxa" w:w="4320"/>
          </w:tcPr>
          <w:p>
            <w:r>
              <w:rPr>
                <w:rFonts w:ascii="黑体" w:hAnsi="黑体" w:eastAsia="黑体"/>
                <w:b/>
                <w:sz w:val="24"/>
              </w:rPr>
              <w:t>填写日期</w:t>
            </w:r>
          </w:p>
        </w:tc>
        <w:tc>
          <w:tcPr>
            <w:tcW w:type="dxa" w:w="4320"/>
          </w:tcPr>
          <w:p>
            <w:r>
              <w:rPr>
                <w:rFonts w:ascii="黑体" w:hAnsi="黑体" w:eastAsia="黑体"/>
                <w:b/>
                <w:sz w:val="24"/>
              </w:rPr>
              <w:t>2026年04月10日</w:t>
            </w:r>
          </w:p>
        </w:tc>
      </w:tr>
      <w:tr>
        <w:tc>
          <w:tcPr>
            <w:tcW w:type="dxa" w:w="4320"/>
          </w:tcPr>
          <w:p>
            <w:r>
              <w:rPr>
                <w:rFonts w:ascii="黑体" w:hAnsi="黑体" w:eastAsia="黑体"/>
                <w:b/>
                <w:sz w:val="24"/>
              </w:rPr>
              <w:t>作品大类</w:t>
            </w:r>
          </w:p>
        </w:tc>
        <w:tc>
          <w:tcPr>
            <w:tcW w:type="dxa" w:w="4320"/>
          </w:tcPr>
          <w:p>
            <w:r>
              <w:rPr>
                <w:rFonts w:ascii="黑体" w:hAnsi="黑体" w:eastAsia="黑体"/>
                <w:b/>
                <w:sz w:val="24"/>
              </w:rPr>
              <w:t>大数据应用</w:t>
            </w:r>
          </w:p>
        </w:tc>
      </w:tr>
      <w:tr>
        <w:tc>
          <w:tcPr>
            <w:tcW w:type="dxa" w:w="4320"/>
          </w:tcPr>
          <w:p>
            <w:r>
              <w:rPr>
                <w:rFonts w:ascii="黑体" w:hAnsi="黑体" w:eastAsia="黑体"/>
                <w:b/>
                <w:sz w:val="24"/>
              </w:rPr>
              <w:t>作品小类</w:t>
            </w:r>
          </w:p>
        </w:tc>
        <w:tc>
          <w:tcPr>
            <w:tcW w:type="dxa" w:w="4320"/>
          </w:tcPr>
          <w:p>
            <w:r>
              <w:rPr>
                <w:rFonts w:ascii="黑体" w:hAnsi="黑体" w:eastAsia="黑体"/>
                <w:b/>
                <w:sz w:val="24"/>
              </w:rPr>
              <w:t>实践赛</w:t>
            </w:r>
          </w:p>
        </w:tc>
      </w:tr>
    </w:tbl>
    <w:p>
      <w:r>
        <w:br w:type="page"/>
      </w:r>
    </w:p>
    <w:p>
      <w:pPr>
        <w:pStyle w:val="Heading1"/>
      </w:pPr>
      <w:r>
        <w:rPr>
          <w:rFonts w:ascii="黑体" w:hAnsi="黑体" w:eastAsia="黑体"/>
          <w:b/>
          <w:sz w:val="32"/>
        </w:rPr>
        <w:t>第1章 作品概述</w:t>
      </w:r>
    </w:p>
    <w:p>
      <w:pPr>
        <w:pStyle w:val="Heading2"/>
      </w:pPr>
      <w:r>
        <w:rPr>
          <w:rFonts w:ascii="黑体" w:hAnsi="黑体" w:eastAsia="黑体"/>
          <w:b/>
          <w:sz w:val="28"/>
        </w:rPr>
        <w:t>1.1 项目背景与痛点分析</w:t>
      </w:r>
    </w:p>
    <w:p>
      <w:pPr>
        <w:spacing w:line="360" w:lineRule="auto"/>
        <w:ind w:firstLine="504"/>
      </w:pPr>
      <w:r>
        <w:rPr>
          <w:rFonts w:ascii="宋体" w:hAnsi="宋体" w:eastAsia="宋体"/>
          <w:b w:val="0"/>
          <w:sz w:val="24"/>
        </w:rPr>
        <w:t>海南柑橘产业正处于品牌化、标准化的关键发展阶段，澄迈福橙、琼中绿橙等特色品种凭借独特风味与地理标志优势，市场份额持续提升。与此同时，柑橘品质检测仍普遍依赖人工经验与破坏性化验，存在三大核心痛点：其一，检测周期长，糖度、酸度等指标需取样送检，耗时2-3天，无法满足现场分级与实时品控需求；其二，数据分散，光谱数据、化验结果、批次记录彼此独立，难以形成统一判断，更无法长期追溯；其三，产地鉴别难，外观相似的柑橘难以通过肉眼区分产地，品牌保护与防伪缺乏技术支撑。这些问题导致优质果品"优价难体现、真伪难辨别"，严重制约产业高质量发展。</w:t>
      </w:r>
    </w:p>
    <w:p>
      <w:pPr>
        <w:spacing w:line="360" w:lineRule="auto"/>
        <w:ind w:firstLine="504"/>
      </w:pPr>
      <w:r>
        <w:rPr>
          <w:rFonts w:ascii="宋体" w:hAnsi="宋体" w:eastAsia="宋体"/>
          <w:b w:val="0"/>
          <w:sz w:val="24"/>
        </w:rPr>
        <w:t>在此背景下，本项目聚焦海南特色柑橘品质检测与产地溯源的核心需求，立足"快速、无损、精准、可追溯"的技术定位，将R210与S960双光谱成像技术的多模态特征提取优势，与机器学习算法的高效数据处理能力深度融合，研发一套集品质评价、产地判别、成分解析于一体的智能检测解决方案。该技术无需复杂样品前处理，可在数秒内完成样本分析，产地溯源准确率达100%，糖度预测R²达0.7051，不仅能为果园、分选中心提供低成本、高效率的品控方案，更能为品牌运营、渠道验货提供可信技术支撑，助力海南柑橘产业向数字化、智能化、品牌化升级。</w:t>
      </w:r>
    </w:p>
    <w:p>
      <w:pPr>
        <w:pStyle w:val="Heading2"/>
      </w:pPr>
      <w:r>
        <w:rPr>
          <w:rFonts w:ascii="黑体" w:hAnsi="黑体" w:eastAsia="黑体"/>
          <w:b/>
          <w:sz w:val="28"/>
        </w:rPr>
        <w:t>1.2 面向对象与应用场景</w:t>
      </w:r>
    </w:p>
    <w:p>
      <w:pPr>
        <w:spacing w:line="360" w:lineRule="auto"/>
        <w:ind w:firstLine="504"/>
      </w:pPr>
      <w:r>
        <w:rPr>
          <w:rFonts w:ascii="宋体" w:hAnsi="宋体" w:eastAsia="宋体"/>
          <w:b w:val="0"/>
          <w:sz w:val="24"/>
        </w:rPr>
        <w:t>系统主要面向四类用户群体：一是果园与合作社，用于样本登记、批次管理和品质初筛，解决"优质果卖不出好价钱"的信息不对称问题；二是分选加工与质检环节，用于辅助判断糖度、内部成分和产地信息，提升分选精度与效率；三是品牌运营与渠道验货环节，用于生成标准化报告和批次凭证，解决"真伪难辨、产地不明"的品牌保护痛点；四是科研与区域服务机构，用于沉淀样本、验证模型并拓展更多柑橘检测任务，为产业技术升级提供数据支撑。</w:t>
      </w:r>
    </w:p>
    <w:p>
      <w:pPr>
        <w:spacing w:line="360" w:lineRule="auto"/>
        <w:ind w:firstLine="504"/>
      </w:pPr>
      <w:r>
        <w:rPr>
          <w:rFonts w:ascii="宋体" w:hAnsi="宋体" w:eastAsia="宋体"/>
          <w:b w:val="0"/>
          <w:sz w:val="24"/>
        </w:rPr>
        <w:t>从使用场景看，系统既能服务实验环境下的系统研究与模型优化，也能支持田间采样与移动端操作。分析结果不仅体现在Web端可视化大屏上，还能整理为结构化记录、历史档案和PDF正式报告，为品控决策、品牌宣传、渠道验货和后续复核提供统一依据，真正实现"一次检测、多维应用、长期留存"的价值最大化。</w:t>
      </w:r>
    </w:p>
    <w:p>
      <w:pPr>
        <w:pStyle w:val="Heading2"/>
      </w:pPr>
      <w:r>
        <w:rPr>
          <w:rFonts w:ascii="黑体" w:hAnsi="黑体" w:eastAsia="黑体"/>
          <w:b/>
          <w:sz w:val="28"/>
        </w:rPr>
        <w:t>1.3 系统组成与建设成果</w:t>
      </w:r>
    </w:p>
    <w:p>
      <w:pPr>
        <w:spacing w:line="360" w:lineRule="auto"/>
        <w:ind w:firstLine="504"/>
      </w:pPr>
      <w:r>
        <w:rPr>
          <w:rFonts w:ascii="宋体" w:hAnsi="宋体" w:eastAsia="宋体"/>
          <w:b w:val="0"/>
          <w:sz w:val="24"/>
        </w:rPr>
        <w:t>当前作品已经形成"网页展示端、移动应用端、分析支撑层、结果输出层"四层协同的完整架构。网页端承担作品展示、数据总览、综合分析与历史回看职责，适合比赛答辩与集中展示场景；移动端面向现场采样、快速提交和结果查询，便于果园、分选中心的轻量化操作；分析支撑层负责组织样本信息、分析请求与结果回传，确保各环节数据一致；结果输出层负责生成中文报告、PDF导出与历史记录留存，使分析结果可直接用于对外说明。</w:t>
      </w:r>
    </w:p>
    <w:p>
      <w:pPr>
        <w:spacing w:line="360" w:lineRule="auto"/>
        <w:ind w:firstLine="504"/>
      </w:pPr>
      <w:r>
        <w:rPr>
          <w:rFonts w:ascii="宋体" w:hAnsi="宋体" w:eastAsia="宋体"/>
          <w:b w:val="0"/>
          <w:sz w:val="24"/>
        </w:rPr>
        <w:t>截至2026年4月10日，作品已完成9个网页主要页面、11个移动端功能页面，并形成覆盖样本管理、分析处理、结果组织、报告生成等环节的20项核心服务能力。系统以399个正式样本、1630维双光谱特征为数据底座，支撑品质预测、产地溯源、液质成分分析三大核心任务，已具备较完整的展示、演示和实用条件。</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黑体" w:hAnsi="黑体" w:eastAsia="黑体"/>
                <w:b/>
                <w:sz w:val="22"/>
              </w:rPr>
              <w:t>模块</w:t>
            </w:r>
          </w:p>
        </w:tc>
        <w:tc>
          <w:tcPr>
            <w:tcW w:type="dxa" w:w="2880"/>
          </w:tcPr>
          <w:p>
            <w:pPr>
              <w:jc w:val="center"/>
            </w:pPr>
            <w:r>
              <w:rPr>
                <w:rFonts w:ascii="黑体" w:hAnsi="黑体" w:eastAsia="黑体"/>
                <w:b/>
                <w:sz w:val="22"/>
              </w:rPr>
              <w:t>主要职责</w:t>
            </w:r>
          </w:p>
        </w:tc>
        <w:tc>
          <w:tcPr>
            <w:tcW w:type="dxa" w:w="2880"/>
          </w:tcPr>
          <w:p>
            <w:pPr>
              <w:jc w:val="center"/>
            </w:pPr>
            <w:r>
              <w:rPr>
                <w:rFonts w:ascii="黑体" w:hAnsi="黑体" w:eastAsia="黑体"/>
                <w:b/>
                <w:sz w:val="22"/>
              </w:rPr>
              <w:t>当前成果</w:t>
            </w:r>
          </w:p>
        </w:tc>
      </w:tr>
      <w:tr>
        <w:tc>
          <w:tcPr>
            <w:tcW w:type="dxa" w:w="2880"/>
          </w:tcPr>
          <w:p>
            <w:r>
              <w:rPr>
                <w:rFonts w:ascii="宋体" w:hAnsi="宋体" w:eastAsia="宋体"/>
                <w:b w:val="0"/>
                <w:sz w:val="22"/>
              </w:rPr>
              <w:t>网页展示端</w:t>
            </w:r>
          </w:p>
        </w:tc>
        <w:tc>
          <w:tcPr>
            <w:tcW w:type="dxa" w:w="2880"/>
          </w:tcPr>
          <w:p>
            <w:r>
              <w:rPr>
                <w:rFonts w:ascii="宋体" w:hAnsi="宋体" w:eastAsia="宋体"/>
                <w:b w:val="0"/>
                <w:sz w:val="22"/>
              </w:rPr>
              <w:t>作品展示、数据总览、结果回看</w:t>
            </w:r>
          </w:p>
        </w:tc>
        <w:tc>
          <w:tcPr>
            <w:tcW w:type="dxa" w:w="2880"/>
          </w:tcPr>
          <w:p>
            <w:r>
              <w:rPr>
                <w:rFonts w:ascii="宋体" w:hAnsi="宋体" w:eastAsia="宋体"/>
                <w:b w:val="0"/>
                <w:sz w:val="22"/>
              </w:rPr>
              <w:t>已完成9个主要页面</w:t>
            </w:r>
          </w:p>
        </w:tc>
      </w:tr>
      <w:tr>
        <w:tc>
          <w:tcPr>
            <w:tcW w:type="dxa" w:w="2880"/>
          </w:tcPr>
          <w:p>
            <w:r>
              <w:rPr>
                <w:rFonts w:ascii="宋体" w:hAnsi="宋体" w:eastAsia="宋体"/>
                <w:b w:val="0"/>
                <w:sz w:val="22"/>
              </w:rPr>
              <w:t>移动应用端</w:t>
            </w:r>
          </w:p>
        </w:tc>
        <w:tc>
          <w:tcPr>
            <w:tcW w:type="dxa" w:w="2880"/>
          </w:tcPr>
          <w:p>
            <w:r>
              <w:rPr>
                <w:rFonts w:ascii="宋体" w:hAnsi="宋体" w:eastAsia="宋体"/>
                <w:b w:val="0"/>
                <w:sz w:val="22"/>
              </w:rPr>
              <w:t>样本上传、分析提交、报告查看</w:t>
            </w:r>
          </w:p>
        </w:tc>
        <w:tc>
          <w:tcPr>
            <w:tcW w:type="dxa" w:w="2880"/>
          </w:tcPr>
          <w:p>
            <w:r>
              <w:rPr>
                <w:rFonts w:ascii="宋体" w:hAnsi="宋体" w:eastAsia="宋体"/>
                <w:b w:val="0"/>
                <w:sz w:val="22"/>
              </w:rPr>
              <w:t>已完成11个功能页面</w:t>
            </w:r>
          </w:p>
        </w:tc>
      </w:tr>
      <w:tr>
        <w:tc>
          <w:tcPr>
            <w:tcW w:type="dxa" w:w="2880"/>
          </w:tcPr>
          <w:p>
            <w:r>
              <w:rPr>
                <w:rFonts w:ascii="宋体" w:hAnsi="宋体" w:eastAsia="宋体"/>
                <w:b w:val="0"/>
                <w:sz w:val="22"/>
              </w:rPr>
              <w:t>分析支撑层</w:t>
            </w:r>
          </w:p>
        </w:tc>
        <w:tc>
          <w:tcPr>
            <w:tcW w:type="dxa" w:w="2880"/>
          </w:tcPr>
          <w:p>
            <w:r>
              <w:rPr>
                <w:rFonts w:ascii="宋体" w:hAnsi="宋体" w:eastAsia="宋体"/>
                <w:b w:val="0"/>
                <w:sz w:val="22"/>
              </w:rPr>
              <w:t>样本、文件、分析、结果等流程组织</w:t>
            </w:r>
          </w:p>
        </w:tc>
        <w:tc>
          <w:tcPr>
            <w:tcW w:type="dxa" w:w="2880"/>
          </w:tcPr>
          <w:p>
            <w:r>
              <w:rPr>
                <w:rFonts w:ascii="宋体" w:hAnsi="宋体" w:eastAsia="宋体"/>
                <w:b w:val="0"/>
                <w:sz w:val="22"/>
              </w:rPr>
              <w:t>已形成20项核心服务能力</w:t>
            </w:r>
          </w:p>
        </w:tc>
      </w:tr>
      <w:tr>
        <w:tc>
          <w:tcPr>
            <w:tcW w:type="dxa" w:w="2880"/>
          </w:tcPr>
          <w:p>
            <w:r>
              <w:rPr>
                <w:rFonts w:ascii="宋体" w:hAnsi="宋体" w:eastAsia="宋体"/>
                <w:b w:val="0"/>
                <w:sz w:val="22"/>
              </w:rPr>
              <w:t>成果输出层</w:t>
            </w:r>
          </w:p>
        </w:tc>
        <w:tc>
          <w:tcPr>
            <w:tcW w:type="dxa" w:w="2880"/>
          </w:tcPr>
          <w:p>
            <w:r>
              <w:rPr>
                <w:rFonts w:ascii="宋体" w:hAnsi="宋体" w:eastAsia="宋体"/>
                <w:b w:val="0"/>
                <w:sz w:val="22"/>
              </w:rPr>
              <w:t>中文结果整合、报告生成、历史留存</w:t>
            </w:r>
          </w:p>
        </w:tc>
        <w:tc>
          <w:tcPr>
            <w:tcW w:type="dxa" w:w="2880"/>
          </w:tcPr>
          <w:p>
            <w:r>
              <w:rPr>
                <w:rFonts w:ascii="宋体" w:hAnsi="宋体" w:eastAsia="宋体"/>
                <w:b w:val="0"/>
                <w:sz w:val="22"/>
              </w:rPr>
              <w:t>已支持规范报告导出与记录归档</w:t>
            </w:r>
          </w:p>
        </w:tc>
      </w:tr>
    </w:tbl>
    <w:p>
      <w:pPr>
        <w:pStyle w:val="Caption"/>
      </w:pPr>
      <w:r>
        <w:rPr>
          <w:rFonts w:ascii="宋体" w:hAnsi="宋体" w:eastAsia="宋体"/>
          <w:b w:val="0"/>
          <w:sz w:val="20"/>
        </w:rPr>
        <w:t>表1-1 当前作品总体组成</w:t>
      </w:r>
    </w:p>
    <w:p>
      <w:pPr>
        <w:pStyle w:val="Heading2"/>
      </w:pPr>
      <w:r>
        <w:rPr>
          <w:rFonts w:ascii="黑体" w:hAnsi="黑体" w:eastAsia="黑体"/>
          <w:b/>
          <w:sz w:val="28"/>
        </w:rPr>
        <w:t>1.4 作品价值与总体定位</w:t>
      </w:r>
    </w:p>
    <w:p>
      <w:pPr>
        <w:spacing w:line="360" w:lineRule="auto"/>
        <w:ind w:firstLine="504"/>
      </w:pPr>
      <w:r>
        <w:rPr>
          <w:rFonts w:ascii="宋体" w:hAnsi="宋体" w:eastAsia="宋体"/>
          <w:b w:val="0"/>
          <w:sz w:val="24"/>
        </w:rPr>
        <w:t>项目价值主要体现在三个层面：一是数据治理层面，将分散在实验记录、光谱文件和化验结果中的信息整理到统一样本体系中，建立"安全版_去除HSI融合表"作为可信数据底座，提升检测结果的管理效率与说明能力；二是流程整合层面，将样本分析、结果展示、档案留存和报告输出整合为统一流程，使检测结果能够直接服务验货、归档和品牌说明场景；三是拓展延伸层面，以海南特色柑橘为起点，建立可复用的技术框架，为后续扩展到更多品种、更多指标和更多区域任务打下基础。</w:t>
      </w:r>
    </w:p>
    <w:p>
      <w:r>
        <w:br w:type="page"/>
      </w:r>
    </w:p>
    <w:p>
      <w:pPr>
        <w:pStyle w:val="Heading1"/>
      </w:pPr>
      <w:r>
        <w:rPr>
          <w:rFonts w:ascii="黑体" w:hAnsi="黑体" w:eastAsia="黑体"/>
          <w:b/>
          <w:sz w:val="32"/>
        </w:rPr>
        <w:t>第2章 数据基础与问题分析</w:t>
      </w:r>
    </w:p>
    <w:p>
      <w:pPr>
        <w:pStyle w:val="Heading2"/>
      </w:pPr>
      <w:r>
        <w:rPr>
          <w:rFonts w:ascii="黑体" w:hAnsi="黑体" w:eastAsia="黑体"/>
          <w:b/>
          <w:sz w:val="28"/>
        </w:rPr>
        <w:t>2.1 业务问题与技术挑战</w:t>
      </w:r>
    </w:p>
    <w:p>
      <w:pPr>
        <w:spacing w:line="360" w:lineRule="auto"/>
        <w:ind w:firstLine="504"/>
      </w:pPr>
      <w:r>
        <w:rPr>
          <w:rFonts w:ascii="宋体" w:hAnsi="宋体" w:eastAsia="宋体"/>
          <w:b w:val="0"/>
          <w:sz w:val="24"/>
        </w:rPr>
        <w:t>传统果品质量判断仍然较多依赖人工经验与离线化验。这种方式虽然能得到结论，但存在显著短板：其一，批次信息分散，果园、分选中心、销售渠道各自记录，难以形成统一数据链；其二，检测周期偏长，从采样到出具报告往往需要2-3天，无法满足实时决策需求；其三，结果难复用，历史检测数据分散在不同系统或纸质记录中，无法支撑趋势分析与模型优化。尤其在品牌果、电商果和礼盒果场景中，客户关心的不只是"品质如何"，更关注"来自哪里""依据是什么""能否回查验证"，单一检测工具很难同时满足这些需求。</w:t>
      </w:r>
    </w:p>
    <w:p>
      <w:pPr>
        <w:spacing w:line="360" w:lineRule="auto"/>
        <w:ind w:firstLine="504"/>
      </w:pPr>
      <w:r>
        <w:rPr>
          <w:rFonts w:ascii="宋体" w:hAnsi="宋体" w:eastAsia="宋体"/>
          <w:b w:val="0"/>
          <w:sz w:val="24"/>
        </w:rPr>
        <w:t>围绕上述问题，项目将技术路线拆解为三部分有序推进：第一步，建立可用于品质预测与产地溯源的标准化样本主表，通过数据治理确保底层数据质量；第二步，搭建面向业务使用的多模态分析流程，在同一套数据基础上完成品质评价、产地判别与成分解析三项核心任务；第三步，将实验结果整理成适合验货、归档和品牌说明的系统化输出，使技术成果能够直接服务业务场景。</w:t>
      </w:r>
    </w:p>
    <w:p>
      <w:pPr>
        <w:pStyle w:val="Heading2"/>
      </w:pPr>
      <w:r>
        <w:rPr>
          <w:rFonts w:ascii="黑体" w:hAnsi="黑体" w:eastAsia="黑体"/>
          <w:b/>
          <w:sz w:val="28"/>
        </w:rPr>
        <w:t>2.2 数据基础与样本组织</w:t>
      </w:r>
    </w:p>
    <w:p>
      <w:pPr>
        <w:spacing w:line="360" w:lineRule="auto"/>
        <w:ind w:firstLine="504"/>
      </w:pPr>
      <w:r>
        <w:rPr>
          <w:rFonts w:ascii="宋体" w:hAnsi="宋体" w:eastAsia="宋体"/>
          <w:b w:val="0"/>
          <w:sz w:val="24"/>
        </w:rPr>
        <w:t>根据正式实验资料，项目已完成399个样本的统一主表整理，覆盖澄迈福橙199个样本、琼中绿橙200个样本。正式实验统一采用R210与S960双光谱作为输入，其中R210光谱特征228维，S960光谱特征1402维，合计1630维特征。围绕三项核心任务，项目进一步整理出品质预测（糖度、酸度、糖酸比、VC四项指标）、产地溯源（澄迈/琼中二分类）、液质成分预测（36项成分标签）三类数据集，并使用固定随机种子（20260409）完成训练集279样本、验证集60样本、测试集60样本的划分，且两地产地在验证集和测试集中保持30:30的均衡分布，既保证分类任务的数据平衡，也为回归任务提供稳定基础。</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黑体" w:hAnsi="黑体" w:eastAsia="黑体"/>
                <w:b/>
                <w:sz w:val="22"/>
              </w:rPr>
              <w:t>项目</w:t>
            </w:r>
          </w:p>
        </w:tc>
        <w:tc>
          <w:tcPr>
            <w:tcW w:type="dxa" w:w="2880"/>
          </w:tcPr>
          <w:p>
            <w:pPr>
              <w:jc w:val="center"/>
            </w:pPr>
            <w:r>
              <w:rPr>
                <w:rFonts w:ascii="黑体" w:hAnsi="黑体" w:eastAsia="黑体"/>
                <w:b/>
                <w:sz w:val="22"/>
              </w:rPr>
              <w:t>规模</w:t>
            </w:r>
          </w:p>
        </w:tc>
        <w:tc>
          <w:tcPr>
            <w:tcW w:type="dxa" w:w="2880"/>
          </w:tcPr>
          <w:p>
            <w:pPr>
              <w:jc w:val="center"/>
            </w:pPr>
            <w:r>
              <w:rPr>
                <w:rFonts w:ascii="黑体" w:hAnsi="黑体" w:eastAsia="黑体"/>
                <w:b/>
                <w:sz w:val="22"/>
              </w:rPr>
              <w:t>说明</w:t>
            </w:r>
          </w:p>
        </w:tc>
      </w:tr>
      <w:tr>
        <w:tc>
          <w:tcPr>
            <w:tcW w:type="dxa" w:w="2880"/>
          </w:tcPr>
          <w:p>
            <w:r>
              <w:rPr>
                <w:rFonts w:ascii="宋体" w:hAnsi="宋体" w:eastAsia="宋体"/>
                <w:b w:val="0"/>
                <w:sz w:val="22"/>
              </w:rPr>
              <w:t>正式主表样本数</w:t>
            </w:r>
          </w:p>
        </w:tc>
        <w:tc>
          <w:tcPr>
            <w:tcW w:type="dxa" w:w="2880"/>
          </w:tcPr>
          <w:p>
            <w:r>
              <w:rPr>
                <w:rFonts w:ascii="宋体" w:hAnsi="宋体" w:eastAsia="宋体"/>
                <w:b w:val="0"/>
                <w:sz w:val="22"/>
              </w:rPr>
              <w:t>399</w:t>
            </w:r>
          </w:p>
        </w:tc>
        <w:tc>
          <w:tcPr>
            <w:tcW w:type="dxa" w:w="2880"/>
          </w:tcPr>
          <w:p>
            <w:r>
              <w:rPr>
                <w:rFonts w:ascii="宋体" w:hAnsi="宋体" w:eastAsia="宋体"/>
                <w:b w:val="0"/>
                <w:sz w:val="22"/>
              </w:rPr>
              <w:t>去除可疑HSI后的双光谱安全主表</w:t>
            </w:r>
          </w:p>
        </w:tc>
      </w:tr>
      <w:tr>
        <w:tc>
          <w:tcPr>
            <w:tcW w:type="dxa" w:w="2880"/>
          </w:tcPr>
          <w:p>
            <w:r>
              <w:rPr>
                <w:rFonts w:ascii="宋体" w:hAnsi="宋体" w:eastAsia="宋体"/>
                <w:b w:val="0"/>
                <w:sz w:val="22"/>
              </w:rPr>
              <w:t>光谱特征数</w:t>
            </w:r>
          </w:p>
        </w:tc>
        <w:tc>
          <w:tcPr>
            <w:tcW w:type="dxa" w:w="2880"/>
          </w:tcPr>
          <w:p>
            <w:r>
              <w:rPr>
                <w:rFonts w:ascii="宋体" w:hAnsi="宋体" w:eastAsia="宋体"/>
                <w:b w:val="0"/>
                <w:sz w:val="22"/>
              </w:rPr>
              <w:t>1630</w:t>
            </w:r>
          </w:p>
        </w:tc>
        <w:tc>
          <w:tcPr>
            <w:tcW w:type="dxa" w:w="2880"/>
          </w:tcPr>
          <w:p>
            <w:r>
              <w:rPr>
                <w:rFonts w:ascii="宋体" w:hAnsi="宋体" w:eastAsia="宋体"/>
                <w:b w:val="0"/>
                <w:sz w:val="22"/>
              </w:rPr>
              <w:t>R210 228维 + S960 1402维</w:t>
            </w:r>
          </w:p>
        </w:tc>
      </w:tr>
      <w:tr>
        <w:tc>
          <w:tcPr>
            <w:tcW w:type="dxa" w:w="2880"/>
          </w:tcPr>
          <w:p>
            <w:r>
              <w:rPr>
                <w:rFonts w:ascii="宋体" w:hAnsi="宋体" w:eastAsia="宋体"/>
                <w:b w:val="0"/>
                <w:sz w:val="22"/>
              </w:rPr>
              <w:t>品质预测标签</w:t>
            </w:r>
          </w:p>
        </w:tc>
        <w:tc>
          <w:tcPr>
            <w:tcW w:type="dxa" w:w="2880"/>
          </w:tcPr>
          <w:p>
            <w:r>
              <w:rPr>
                <w:rFonts w:ascii="宋体" w:hAnsi="宋体" w:eastAsia="宋体"/>
                <w:b w:val="0"/>
                <w:sz w:val="22"/>
              </w:rPr>
              <w:t>4项</w:t>
            </w:r>
          </w:p>
        </w:tc>
        <w:tc>
          <w:tcPr>
            <w:tcW w:type="dxa" w:w="2880"/>
          </w:tcPr>
          <w:p>
            <w:r>
              <w:rPr>
                <w:rFonts w:ascii="宋体" w:hAnsi="宋体" w:eastAsia="宋体"/>
                <w:b w:val="0"/>
                <w:sz w:val="22"/>
              </w:rPr>
              <w:t>糖度、酸度、糖酸比、VC</w:t>
            </w:r>
          </w:p>
        </w:tc>
      </w:tr>
      <w:tr>
        <w:tc>
          <w:tcPr>
            <w:tcW w:type="dxa" w:w="2880"/>
          </w:tcPr>
          <w:p>
            <w:r>
              <w:rPr>
                <w:rFonts w:ascii="宋体" w:hAnsi="宋体" w:eastAsia="宋体"/>
                <w:b w:val="0"/>
                <w:sz w:val="22"/>
              </w:rPr>
              <w:t>液质成分标签</w:t>
            </w:r>
          </w:p>
        </w:tc>
        <w:tc>
          <w:tcPr>
            <w:tcW w:type="dxa" w:w="2880"/>
          </w:tcPr>
          <w:p>
            <w:r>
              <w:rPr>
                <w:rFonts w:ascii="宋体" w:hAnsi="宋体" w:eastAsia="宋体"/>
                <w:b w:val="0"/>
                <w:sz w:val="22"/>
              </w:rPr>
              <w:t>36项</w:t>
            </w:r>
          </w:p>
        </w:tc>
        <w:tc>
          <w:tcPr>
            <w:tcW w:type="dxa" w:w="2880"/>
          </w:tcPr>
          <w:p>
            <w:r>
              <w:rPr>
                <w:rFonts w:ascii="宋体" w:hAnsi="宋体" w:eastAsia="宋体"/>
                <w:b w:val="0"/>
                <w:sz w:val="22"/>
              </w:rPr>
              <w:t>用于内部成分建模与筛选</w:t>
            </w:r>
          </w:p>
        </w:tc>
      </w:tr>
      <w:tr>
        <w:tc>
          <w:tcPr>
            <w:tcW w:type="dxa" w:w="2880"/>
          </w:tcPr>
          <w:p>
            <w:r>
              <w:rPr>
                <w:rFonts w:ascii="宋体" w:hAnsi="宋体" w:eastAsia="宋体"/>
                <w:b w:val="0"/>
                <w:sz w:val="22"/>
              </w:rPr>
              <w:t>统一划分</w:t>
            </w:r>
          </w:p>
        </w:tc>
        <w:tc>
          <w:tcPr>
            <w:tcW w:type="dxa" w:w="2880"/>
          </w:tcPr>
          <w:p>
            <w:r>
              <w:rPr>
                <w:rFonts w:ascii="宋体" w:hAnsi="宋体" w:eastAsia="宋体"/>
                <w:b w:val="0"/>
                <w:sz w:val="22"/>
              </w:rPr>
              <w:t>279/60/60</w:t>
            </w:r>
          </w:p>
        </w:tc>
        <w:tc>
          <w:tcPr>
            <w:tcW w:type="dxa" w:w="2880"/>
          </w:tcPr>
          <w:p>
            <w:r>
              <w:rPr>
                <w:rFonts w:ascii="宋体" w:hAnsi="宋体" w:eastAsia="宋体"/>
                <w:b w:val="0"/>
                <w:sz w:val="22"/>
              </w:rPr>
              <w:t>训练集/验证集/测试集，固定随机种子</w:t>
            </w:r>
          </w:p>
        </w:tc>
      </w:tr>
    </w:tbl>
    <w:p>
      <w:pPr>
        <w:pStyle w:val="Caption"/>
      </w:pPr>
      <w:r>
        <w:rPr>
          <w:rFonts w:ascii="宋体" w:hAnsi="宋体" w:eastAsia="宋体"/>
          <w:b w:val="0"/>
          <w:sz w:val="20"/>
        </w:rPr>
        <w:t>表2-1 正式实验样本与数据集概况</w:t>
      </w:r>
    </w:p>
    <w:p>
      <w:pPr>
        <w:pStyle w:val="Heading2"/>
      </w:pPr>
      <w:r>
        <w:rPr>
          <w:rFonts w:ascii="黑体" w:hAnsi="黑体" w:eastAsia="黑体"/>
          <w:b/>
          <w:sz w:val="28"/>
        </w:rPr>
        <w:t>2.3 数据治理与质量控制</w:t>
      </w:r>
    </w:p>
    <w:p>
      <w:pPr>
        <w:spacing w:line="360" w:lineRule="auto"/>
        <w:ind w:firstLine="504"/>
      </w:pPr>
      <w:r>
        <w:rPr>
          <w:rFonts w:ascii="宋体" w:hAnsi="宋体" w:eastAsia="宋体"/>
          <w:b w:val="0"/>
          <w:sz w:val="24"/>
        </w:rPr>
        <w:t>项目在数据治理上坚持"先清洗、后训练"的原则。清洗结果显示，HSI数据存在跨产地同编号完全重复问题，共识别出199对（398个样本）异常重复，严重威胁数据可靠性。为保证正式实验质量，项目在正式主表中完全剔除HSI模态，仅保留质量稳定、可统一对齐的R210与S960双光谱数据，形成"安全版_去除HSI融合表"，作为后续实验和系统展示的唯一数据底座。</w:t>
      </w:r>
    </w:p>
    <w:p>
      <w:pPr>
        <w:spacing w:line="360" w:lineRule="auto"/>
        <w:ind w:firstLine="504"/>
      </w:pPr>
      <w:r>
        <w:rPr>
          <w:rFonts w:ascii="宋体" w:hAnsi="宋体" w:eastAsia="宋体"/>
          <w:b w:val="0"/>
          <w:sz w:val="24"/>
        </w:rPr>
        <w:t>在多模态对齐方面，项目完成了S960两地产地数据的共同波段统一，其中共同波段数为1402个，琼中原始数据额外尾部波段50个。完成共同波段对齐后，不同产地样本可直接进入统一建模流程，也为后续结果解释打下了基础。在样本划分上，项目使用固定随机种子完成统一划分，确保三项任务结果可复现、可对比，避免因划分差异导致的性能波动。</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黑体" w:hAnsi="黑体" w:eastAsia="黑体"/>
                <w:b/>
                <w:sz w:val="22"/>
              </w:rPr>
              <w:t>治理项</w:t>
            </w:r>
          </w:p>
        </w:tc>
        <w:tc>
          <w:tcPr>
            <w:tcW w:type="dxa" w:w="2880"/>
          </w:tcPr>
          <w:p>
            <w:pPr>
              <w:jc w:val="center"/>
            </w:pPr>
            <w:r>
              <w:rPr>
                <w:rFonts w:ascii="黑体" w:hAnsi="黑体" w:eastAsia="黑体"/>
                <w:b/>
                <w:sz w:val="22"/>
              </w:rPr>
              <w:t>结果</w:t>
            </w:r>
          </w:p>
        </w:tc>
        <w:tc>
          <w:tcPr>
            <w:tcW w:type="dxa" w:w="2880"/>
          </w:tcPr>
          <w:p>
            <w:pPr>
              <w:jc w:val="center"/>
            </w:pPr>
            <w:r>
              <w:rPr>
                <w:rFonts w:ascii="黑体" w:hAnsi="黑体" w:eastAsia="黑体"/>
                <w:b/>
                <w:sz w:val="22"/>
              </w:rPr>
              <w:t>意义</w:t>
            </w:r>
          </w:p>
        </w:tc>
      </w:tr>
      <w:tr>
        <w:tc>
          <w:tcPr>
            <w:tcW w:type="dxa" w:w="2880"/>
          </w:tcPr>
          <w:p>
            <w:r>
              <w:rPr>
                <w:rFonts w:ascii="宋体" w:hAnsi="宋体" w:eastAsia="宋体"/>
                <w:b w:val="0"/>
                <w:sz w:val="22"/>
              </w:rPr>
              <w:t>HSI异常排查</w:t>
            </w:r>
          </w:p>
        </w:tc>
        <w:tc>
          <w:tcPr>
            <w:tcW w:type="dxa" w:w="2880"/>
          </w:tcPr>
          <w:p>
            <w:r>
              <w:rPr>
                <w:rFonts w:ascii="宋体" w:hAnsi="宋体" w:eastAsia="宋体"/>
                <w:b w:val="0"/>
                <w:sz w:val="22"/>
              </w:rPr>
              <w:t>识别199对跨产地重复样本</w:t>
            </w:r>
          </w:p>
        </w:tc>
        <w:tc>
          <w:tcPr>
            <w:tcW w:type="dxa" w:w="2880"/>
          </w:tcPr>
          <w:p>
            <w:r>
              <w:rPr>
                <w:rFonts w:ascii="宋体" w:hAnsi="宋体" w:eastAsia="宋体"/>
                <w:b w:val="0"/>
                <w:sz w:val="22"/>
              </w:rPr>
              <w:t>避免异常模态对正式实验造成干扰</w:t>
            </w:r>
          </w:p>
        </w:tc>
      </w:tr>
      <w:tr>
        <w:tc>
          <w:tcPr>
            <w:tcW w:type="dxa" w:w="2880"/>
          </w:tcPr>
          <w:p>
            <w:r>
              <w:rPr>
                <w:rFonts w:ascii="宋体" w:hAnsi="宋体" w:eastAsia="宋体"/>
                <w:b w:val="0"/>
                <w:sz w:val="22"/>
              </w:rPr>
              <w:t>正式建模主表</w:t>
            </w:r>
          </w:p>
        </w:tc>
        <w:tc>
          <w:tcPr>
            <w:tcW w:type="dxa" w:w="2880"/>
          </w:tcPr>
          <w:p>
            <w:r>
              <w:rPr>
                <w:rFonts w:ascii="宋体" w:hAnsi="宋体" w:eastAsia="宋体"/>
                <w:b w:val="0"/>
                <w:sz w:val="22"/>
              </w:rPr>
              <w:t>399条安全样本</w:t>
            </w:r>
          </w:p>
        </w:tc>
        <w:tc>
          <w:tcPr>
            <w:tcW w:type="dxa" w:w="2880"/>
          </w:tcPr>
          <w:p>
            <w:r>
              <w:rPr>
                <w:rFonts w:ascii="宋体" w:hAnsi="宋体" w:eastAsia="宋体"/>
                <w:b w:val="0"/>
                <w:sz w:val="22"/>
              </w:rPr>
              <w:t>统一作为正式实验唯一主表</w:t>
            </w:r>
          </w:p>
        </w:tc>
      </w:tr>
      <w:tr>
        <w:tc>
          <w:tcPr>
            <w:tcW w:type="dxa" w:w="2880"/>
          </w:tcPr>
          <w:p>
            <w:r>
              <w:rPr>
                <w:rFonts w:ascii="宋体" w:hAnsi="宋体" w:eastAsia="宋体"/>
                <w:b w:val="0"/>
                <w:sz w:val="22"/>
              </w:rPr>
              <w:t>S960波段对齐</w:t>
            </w:r>
          </w:p>
        </w:tc>
        <w:tc>
          <w:tcPr>
            <w:tcW w:type="dxa" w:w="2880"/>
          </w:tcPr>
          <w:p>
            <w:r>
              <w:rPr>
                <w:rFonts w:ascii="宋体" w:hAnsi="宋体" w:eastAsia="宋体"/>
                <w:b w:val="0"/>
                <w:sz w:val="22"/>
              </w:rPr>
              <w:t>1402个共同波段</w:t>
            </w:r>
          </w:p>
        </w:tc>
        <w:tc>
          <w:tcPr>
            <w:tcW w:type="dxa" w:w="2880"/>
          </w:tcPr>
          <w:p>
            <w:r>
              <w:rPr>
                <w:rFonts w:ascii="宋体" w:hAnsi="宋体" w:eastAsia="宋体"/>
                <w:b w:val="0"/>
                <w:sz w:val="22"/>
              </w:rPr>
              <w:t>保证跨产地数据可直接比较与建模</w:t>
            </w:r>
          </w:p>
        </w:tc>
      </w:tr>
      <w:tr>
        <w:tc>
          <w:tcPr>
            <w:tcW w:type="dxa" w:w="2880"/>
          </w:tcPr>
          <w:p>
            <w:r>
              <w:rPr>
                <w:rFonts w:ascii="宋体" w:hAnsi="宋体" w:eastAsia="宋体"/>
                <w:b w:val="0"/>
                <w:sz w:val="22"/>
              </w:rPr>
              <w:t>统一样本划分</w:t>
            </w:r>
          </w:p>
        </w:tc>
        <w:tc>
          <w:tcPr>
            <w:tcW w:type="dxa" w:w="2880"/>
          </w:tcPr>
          <w:p>
            <w:r>
              <w:rPr>
                <w:rFonts w:ascii="宋体" w:hAnsi="宋体" w:eastAsia="宋体"/>
                <w:b w:val="0"/>
                <w:sz w:val="22"/>
              </w:rPr>
              <w:t>固定随机种子20260409</w:t>
            </w:r>
          </w:p>
        </w:tc>
        <w:tc>
          <w:tcPr>
            <w:tcW w:type="dxa" w:w="2880"/>
          </w:tcPr>
          <w:p>
            <w:r>
              <w:rPr>
                <w:rFonts w:ascii="宋体" w:hAnsi="宋体" w:eastAsia="宋体"/>
                <w:b w:val="0"/>
                <w:sz w:val="22"/>
              </w:rPr>
              <w:t>保证三项任务结果可复现</w:t>
            </w:r>
          </w:p>
        </w:tc>
      </w:tr>
    </w:tbl>
    <w:p>
      <w:pPr>
        <w:pStyle w:val="Caption"/>
      </w:pPr>
      <w:r>
        <w:rPr>
          <w:rFonts w:ascii="宋体" w:hAnsi="宋体" w:eastAsia="宋体"/>
          <w:b w:val="0"/>
          <w:sz w:val="20"/>
        </w:rPr>
        <w:t>表2-2 数据治理与质量控制要点</w:t>
      </w:r>
    </w:p>
    <w:p>
      <w:pPr>
        <w:pStyle w:val="Heading2"/>
      </w:pPr>
      <w:r>
        <w:rPr>
          <w:rFonts w:ascii="黑体" w:hAnsi="黑体" w:eastAsia="黑体"/>
          <w:b/>
          <w:sz w:val="28"/>
        </w:rPr>
        <w:t>2.4 核心突破点</w:t>
      </w:r>
    </w:p>
    <w:p>
      <w:pPr>
        <w:spacing w:line="360" w:lineRule="auto"/>
        <w:ind w:firstLine="504"/>
      </w:pPr>
      <w:r>
        <w:rPr>
          <w:rFonts w:ascii="宋体" w:hAnsi="宋体" w:eastAsia="宋体"/>
          <w:b w:val="0"/>
          <w:sz w:val="24"/>
        </w:rPr>
        <w:t>围绕上述问题与技术挑战，项目同步推进样本体系建设、多任务分析、数据治理、系统组织与结果输出，形成了从样本整理、智能分析到报告生成的完整闭环。相较于单一功能展示或孤立算法验证，这种整体化设计更贴近真实使用场景，不仅体现技术能力，更突出解决实际问题的价值。</w:t>
      </w:r>
    </w:p>
    <w:p>
      <w:r>
        <w:br w:type="page"/>
      </w:r>
    </w:p>
    <w:p>
      <w:pPr>
        <w:pStyle w:val="Heading1"/>
      </w:pPr>
      <w:r>
        <w:rPr>
          <w:rFonts w:ascii="黑体" w:hAnsi="黑体" w:eastAsia="黑体"/>
          <w:b/>
          <w:sz w:val="32"/>
        </w:rPr>
        <w:t>第3章 技术方案</w:t>
      </w:r>
    </w:p>
    <w:p>
      <w:pPr>
        <w:pStyle w:val="Heading2"/>
      </w:pPr>
      <w:r>
        <w:rPr>
          <w:rFonts w:ascii="黑体" w:hAnsi="黑体" w:eastAsia="黑体"/>
          <w:b/>
          <w:sz w:val="28"/>
        </w:rPr>
        <w:t>3.1 总体架构设计</w:t>
      </w:r>
    </w:p>
    <w:p>
      <w:pPr>
        <w:spacing w:line="360" w:lineRule="auto"/>
        <w:ind w:firstLine="504"/>
      </w:pPr>
      <w:r>
        <w:rPr>
          <w:rFonts w:ascii="宋体" w:hAnsi="宋体" w:eastAsia="宋体"/>
          <w:b w:val="0"/>
          <w:sz w:val="24"/>
        </w:rPr>
        <w:t>作品采用"数据底座、分析引擎、应用呈现"三层相互衔接的架构设计。底层以统一整理后的双光谱样本主表为支撑，确保数据来源可追溯、分析结果可复现；中层围绕品质评价、产地判别和成分解析三大核心任务组织分析模型，采用"先单光谱后双光谱、先基线后优化"的渐进式实验策略；上层通过网页展示、移动应用和正式报告三种渠道呈现分析结果，兼顾比赛展示、现场使用和正式交付场景。</w:t>
      </w:r>
    </w:p>
    <w:p>
      <w:pPr>
        <w:spacing w:line="360" w:lineRule="auto"/>
        <w:ind w:firstLine="504"/>
      </w:pPr>
      <w:r>
        <w:rPr>
          <w:rFonts w:ascii="宋体" w:hAnsi="宋体" w:eastAsia="宋体"/>
          <w:b w:val="0"/>
          <w:sz w:val="24"/>
        </w:rPr>
        <w:t>在这一架构下，数据治理成果可直接进入多任务分析，多任务分析结果可直接进入展示与报告环节，从而把样本整理、模型分析和实际使用有机连接起来，形成"可信数据→可靠分析→可用结果"的完整价值链。</w:t>
      </w:r>
    </w:p>
    <w:p>
      <w:pPr>
        <w:pStyle w:val="Heading2"/>
      </w:pPr>
      <w:r>
        <w:rPr>
          <w:rFonts w:ascii="黑体" w:hAnsi="黑体" w:eastAsia="黑体"/>
          <w:b/>
          <w:sz w:val="28"/>
        </w:rPr>
        <w:t>3.2 多模态数据与建模路线</w:t>
      </w:r>
    </w:p>
    <w:p>
      <w:pPr>
        <w:spacing w:line="360" w:lineRule="auto"/>
        <w:ind w:firstLine="504"/>
      </w:pPr>
      <w:r>
        <w:rPr>
          <w:rFonts w:ascii="宋体" w:hAnsi="宋体" w:eastAsia="宋体"/>
          <w:b w:val="0"/>
          <w:sz w:val="24"/>
        </w:rPr>
        <w:t>项目以399个正式样本构成的双光谱安全主表为分析核心，将R210与S960光谱信息同糖度、酸度、糖酸比、VC等品质指标以及36项液质成分标签统一组织，形成支撑多任务分析的样本体系。围绕这一数据基础，作品设置了品质评价、产地溯源和成分解析三条分析主线，使外部表型（糖酸指标）、产地信息（澄迈/琼中）与内部组分（36项液质成分）之间能够相互对应、相互印证。</w:t>
      </w:r>
    </w:p>
    <w:p>
      <w:pPr>
        <w:spacing w:line="360" w:lineRule="auto"/>
        <w:ind w:firstLine="504"/>
      </w:pPr>
      <w:r>
        <w:rPr>
          <w:rFonts w:ascii="宋体" w:hAnsi="宋体" w:eastAsia="宋体"/>
          <w:b w:val="0"/>
          <w:sz w:val="24"/>
        </w:rPr>
        <w:t>在技术路线安排上，项目采用渐进式验证策略：先完成R210单光谱与S960单光谱的基线对比，再进行R210+S960双光谱融合分析，最后引入SNV预处理、特征压缩与多模型组合进行优化。这种"先建立对比基础，再逐步优化提升"的思路，使实验过程和结果变化都更加清晰，也便于比赛展示时说明技术演进路径。</w:t>
      </w:r>
    </w:p>
    <w:p>
      <w:pPr>
        <w:pStyle w:val="Heading2"/>
      </w:pPr>
      <w:r>
        <w:rPr>
          <w:rFonts w:ascii="黑体" w:hAnsi="黑体" w:eastAsia="黑体"/>
          <w:b/>
          <w:sz w:val="28"/>
        </w:rPr>
        <w:t>3.3 关键算法与优化策略</w:t>
      </w:r>
    </w:p>
    <w:p>
      <w:pPr>
        <w:spacing w:line="360" w:lineRule="auto"/>
        <w:ind w:firstLine="504"/>
      </w:pPr>
      <w:r>
        <w:rPr>
          <w:rFonts w:ascii="宋体" w:hAnsi="宋体" w:eastAsia="宋体"/>
          <w:b w:val="0"/>
          <w:sz w:val="24"/>
        </w:rPr>
        <w:t>针对高维光谱数据易受散射、基线漂移和维度冗余影响的特点，项目采用SNV预处理、特征压缩与多模型组合相结合的优化策略。在液质成分预测任务中，基线实验的双光谱融合岭回归模型已取得验证集平均R²=0.6811、测试集平均R²=0.6620；进一步引入SNV预处理和参数搜索后，最佳验证集平均R²提升至0.7104，最佳测试集平均R²达到0.6975，说明双光谱路线在内部成分建模上仍有明确的优化空间。</w:t>
      </w:r>
    </w:p>
    <w:p>
      <w:pPr>
        <w:spacing w:line="360" w:lineRule="auto"/>
        <w:ind w:firstLine="504"/>
      </w:pPr>
      <w:r>
        <w:rPr>
          <w:rFonts w:ascii="宋体" w:hAnsi="宋体" w:eastAsia="宋体"/>
          <w:b w:val="0"/>
          <w:sz w:val="24"/>
        </w:rPr>
        <w:t>在品质评价任务中，糖度指标表现最为突出，R210+S960双光谱条件下的岭回归取得测试集R²=0.7051、RMSE=0.8071，可为果品分级和品质判断提供较强参考；在产地判别任务中，S960单光谱条件下逻辑回归和线性SVM的准确率、平衡准确率与F1_macro均达到1.0000，表明两类产地样本在当前光谱空间中具有高度区分度。三类结果相互补充，使作品既能回答"来自哪里"，也能回答"品质如何""内部成分怎样"，形成完整的品质画像。</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黑体" w:hAnsi="黑体" w:eastAsia="黑体"/>
                <w:b/>
                <w:sz w:val="22"/>
              </w:rPr>
              <w:t>分析方向</w:t>
            </w:r>
          </w:p>
        </w:tc>
        <w:tc>
          <w:tcPr>
            <w:tcW w:type="dxa" w:w="2160"/>
          </w:tcPr>
          <w:p>
            <w:pPr>
              <w:jc w:val="center"/>
            </w:pPr>
            <w:r>
              <w:rPr>
                <w:rFonts w:ascii="黑体" w:hAnsi="黑体" w:eastAsia="黑体"/>
                <w:b/>
                <w:sz w:val="22"/>
              </w:rPr>
              <w:t>数据输入</w:t>
            </w:r>
          </w:p>
        </w:tc>
        <w:tc>
          <w:tcPr>
            <w:tcW w:type="dxa" w:w="2160"/>
          </w:tcPr>
          <w:p>
            <w:pPr>
              <w:jc w:val="center"/>
            </w:pPr>
            <w:r>
              <w:rPr>
                <w:rFonts w:ascii="黑体" w:hAnsi="黑体" w:eastAsia="黑体"/>
                <w:b/>
                <w:sz w:val="22"/>
              </w:rPr>
              <w:t>目标输出</w:t>
            </w:r>
          </w:p>
        </w:tc>
        <w:tc>
          <w:tcPr>
            <w:tcW w:type="dxa" w:w="2160"/>
          </w:tcPr>
          <w:p>
            <w:pPr>
              <w:jc w:val="center"/>
            </w:pPr>
            <w:r>
              <w:rPr>
                <w:rFonts w:ascii="黑体" w:hAnsi="黑体" w:eastAsia="黑体"/>
                <w:b/>
                <w:sz w:val="22"/>
              </w:rPr>
              <w:t>主要方法</w:t>
            </w:r>
          </w:p>
        </w:tc>
      </w:tr>
      <w:tr>
        <w:tc>
          <w:tcPr>
            <w:tcW w:type="dxa" w:w="2160"/>
          </w:tcPr>
          <w:p>
            <w:r>
              <w:rPr>
                <w:rFonts w:ascii="宋体" w:hAnsi="宋体" w:eastAsia="宋体"/>
                <w:b w:val="0"/>
                <w:sz w:val="22"/>
              </w:rPr>
              <w:t>品质预测</w:t>
            </w:r>
          </w:p>
        </w:tc>
        <w:tc>
          <w:tcPr>
            <w:tcW w:type="dxa" w:w="2160"/>
          </w:tcPr>
          <w:p>
            <w:r>
              <w:rPr>
                <w:rFonts w:ascii="宋体" w:hAnsi="宋体" w:eastAsia="宋体"/>
                <w:b w:val="0"/>
                <w:sz w:val="22"/>
              </w:rPr>
              <w:t>R210/S960双光谱</w:t>
            </w:r>
          </w:p>
        </w:tc>
        <w:tc>
          <w:tcPr>
            <w:tcW w:type="dxa" w:w="2160"/>
          </w:tcPr>
          <w:p>
            <w:r>
              <w:rPr>
                <w:rFonts w:ascii="宋体" w:hAnsi="宋体" w:eastAsia="宋体"/>
                <w:b w:val="0"/>
                <w:sz w:val="22"/>
              </w:rPr>
              <w:t>糖度、酸度、糖酸比、VC</w:t>
            </w:r>
          </w:p>
        </w:tc>
        <w:tc>
          <w:tcPr>
            <w:tcW w:type="dxa" w:w="2160"/>
          </w:tcPr>
          <w:p>
            <w:r>
              <w:rPr>
                <w:rFonts w:ascii="宋体" w:hAnsi="宋体" w:eastAsia="宋体"/>
                <w:b w:val="0"/>
                <w:sz w:val="22"/>
              </w:rPr>
              <w:t>SNV + Ridge/PLS等回归方法</w:t>
            </w:r>
          </w:p>
        </w:tc>
      </w:tr>
      <w:tr>
        <w:tc>
          <w:tcPr>
            <w:tcW w:type="dxa" w:w="2160"/>
          </w:tcPr>
          <w:p>
            <w:r>
              <w:rPr>
                <w:rFonts w:ascii="宋体" w:hAnsi="宋体" w:eastAsia="宋体"/>
                <w:b w:val="0"/>
                <w:sz w:val="22"/>
              </w:rPr>
              <w:t>产地溯源</w:t>
            </w:r>
          </w:p>
        </w:tc>
        <w:tc>
          <w:tcPr>
            <w:tcW w:type="dxa" w:w="2160"/>
          </w:tcPr>
          <w:p>
            <w:r>
              <w:rPr>
                <w:rFonts w:ascii="宋体" w:hAnsi="宋体" w:eastAsia="宋体"/>
                <w:b w:val="0"/>
                <w:sz w:val="22"/>
              </w:rPr>
              <w:t>单光谱或双光谱</w:t>
            </w:r>
          </w:p>
        </w:tc>
        <w:tc>
          <w:tcPr>
            <w:tcW w:type="dxa" w:w="2160"/>
          </w:tcPr>
          <w:p>
            <w:r>
              <w:rPr>
                <w:rFonts w:ascii="宋体" w:hAnsi="宋体" w:eastAsia="宋体"/>
                <w:b w:val="0"/>
                <w:sz w:val="22"/>
              </w:rPr>
              <w:t>澄迈/琼中产地判别</w:t>
            </w:r>
          </w:p>
        </w:tc>
        <w:tc>
          <w:tcPr>
            <w:tcW w:type="dxa" w:w="2160"/>
          </w:tcPr>
          <w:p>
            <w:r>
              <w:rPr>
                <w:rFonts w:ascii="宋体" w:hAnsi="宋体" w:eastAsia="宋体"/>
                <w:b w:val="0"/>
                <w:sz w:val="22"/>
              </w:rPr>
              <w:t>逻辑回归、线性SVM、LightGBM分类</w:t>
            </w:r>
          </w:p>
        </w:tc>
      </w:tr>
      <w:tr>
        <w:tc>
          <w:tcPr>
            <w:tcW w:type="dxa" w:w="2160"/>
          </w:tcPr>
          <w:p>
            <w:r>
              <w:rPr>
                <w:rFonts w:ascii="宋体" w:hAnsi="宋体" w:eastAsia="宋体"/>
                <w:b w:val="0"/>
                <w:sz w:val="22"/>
              </w:rPr>
              <w:t>液质成分预测</w:t>
            </w:r>
          </w:p>
        </w:tc>
        <w:tc>
          <w:tcPr>
            <w:tcW w:type="dxa" w:w="2160"/>
          </w:tcPr>
          <w:p>
            <w:r>
              <w:rPr>
                <w:rFonts w:ascii="宋体" w:hAnsi="宋体" w:eastAsia="宋体"/>
                <w:b w:val="0"/>
                <w:sz w:val="22"/>
              </w:rPr>
              <w:t>双光谱安全主表</w:t>
            </w:r>
          </w:p>
        </w:tc>
        <w:tc>
          <w:tcPr>
            <w:tcW w:type="dxa" w:w="2160"/>
          </w:tcPr>
          <w:p>
            <w:r>
              <w:rPr>
                <w:rFonts w:ascii="宋体" w:hAnsi="宋体" w:eastAsia="宋体"/>
                <w:b w:val="0"/>
                <w:sz w:val="22"/>
              </w:rPr>
              <w:t>36项液质成分与重点指标</w:t>
            </w:r>
          </w:p>
        </w:tc>
        <w:tc>
          <w:tcPr>
            <w:tcW w:type="dxa" w:w="2160"/>
          </w:tcPr>
          <w:p>
            <w:r>
              <w:rPr>
                <w:rFonts w:ascii="宋体" w:hAnsi="宋体" w:eastAsia="宋体"/>
                <w:b w:val="0"/>
                <w:sz w:val="22"/>
              </w:rPr>
              <w:t>SNV + PCA/Ridge/PLS/XGBoost</w:t>
            </w:r>
          </w:p>
        </w:tc>
      </w:tr>
    </w:tbl>
    <w:p>
      <w:pPr>
        <w:pStyle w:val="Caption"/>
      </w:pPr>
      <w:r>
        <w:rPr>
          <w:rFonts w:ascii="宋体" w:hAnsi="宋体" w:eastAsia="宋体"/>
          <w:b w:val="0"/>
          <w:sz w:val="20"/>
        </w:rPr>
        <w:t>表3-1 三项核心任务与技术路线</w:t>
      </w:r>
    </w:p>
    <w:p>
      <w:pPr>
        <w:pStyle w:val="Heading2"/>
      </w:pPr>
      <w:r>
        <w:rPr>
          <w:rFonts w:ascii="黑体" w:hAnsi="黑体" w:eastAsia="黑体"/>
          <w:b/>
          <w:sz w:val="28"/>
        </w:rPr>
        <w:t>3.4 分析流程与结果呈现</w:t>
      </w:r>
    </w:p>
    <w:p>
      <w:pPr>
        <w:spacing w:line="360" w:lineRule="auto"/>
        <w:ind w:firstLine="504"/>
      </w:pPr>
      <w:r>
        <w:rPr>
          <w:rFonts w:ascii="宋体" w:hAnsi="宋体" w:eastAsia="宋体"/>
          <w:b w:val="0"/>
          <w:sz w:val="24"/>
        </w:rPr>
        <w:t>作品按照"样本整理→光谱接入→智能分析→结果解读���报告生成→历史留存"的顺序组织整体流程。样本信息进入系统后，可结合光谱数据完成自动分析，随后形成产地判断、品质指标和重点成分的综合结果，并整理为页面展示内容和正式报告。这样的设计使分析结果不止停留在数值层面，而是能够直接转化为清晰、完整、可对外说明的展示材料。</w:t>
      </w:r>
    </w:p>
    <w:p>
      <w:r>
        <w:br w:type="page"/>
      </w:r>
    </w:p>
    <w:p>
      <w:pPr>
        <w:pStyle w:val="Heading1"/>
      </w:pPr>
      <w:r>
        <w:rPr>
          <w:rFonts w:ascii="黑体" w:hAnsi="黑体" w:eastAsia="黑体"/>
          <w:b/>
          <w:sz w:val="32"/>
        </w:rPr>
        <w:t>第4章 作品实现与展示</w:t>
      </w:r>
    </w:p>
    <w:p>
      <w:pPr>
        <w:pStyle w:val="Heading2"/>
      </w:pPr>
      <w:r>
        <w:rPr>
          <w:rFonts w:ascii="黑体" w:hAnsi="黑体" w:eastAsia="黑体"/>
          <w:b/>
          <w:sz w:val="28"/>
        </w:rPr>
        <w:t>4.1 展示形态设计</w:t>
      </w:r>
    </w:p>
    <w:p>
      <w:pPr>
        <w:spacing w:line="360" w:lineRule="auto"/>
        <w:ind w:firstLine="504"/>
      </w:pPr>
      <w:r>
        <w:rPr>
          <w:rFonts w:ascii="宋体" w:hAnsi="宋体" w:eastAsia="宋体"/>
          <w:b w:val="0"/>
          <w:sz w:val="24"/>
        </w:rPr>
        <w:t>作品采用网页端与微信小程序双端配合的展示方式。网页端重点呈现作品概貌、数据总览、综合分析和历史结果，适合比赛答辩与集中展示场景；移动端面向样本录入、快速查询和结果回看，便于现场采样和轻量交互。两类终端围绕同一套样本与分析结果组织内容，保证展示口径统一、数据一致。</w:t>
      </w:r>
    </w:p>
    <w:p>
      <w:pPr>
        <w:spacing w:line="360" w:lineRule="auto"/>
        <w:ind w:firstLine="504"/>
      </w:pPr>
      <w:r>
        <w:rPr>
          <w:rFonts w:ascii="宋体" w:hAnsi="宋体" w:eastAsia="宋体"/>
          <w:b w:val="0"/>
          <w:sz w:val="24"/>
        </w:rPr>
        <w:t>在界面布局上，作品突出"结果可视、过程可查、结论可读"的设计原则。分析页负责单样本深度分析与多样本对比，数据展示页突出样本规模、产地差异和关键指标分布，历史页承接报告回看与记录留存，使展示、查询与复核形成连贯闭环。页面采用响应式设计，适配不同分辨率屏幕，确保在投影展示与个人浏览时均有良好体验。</w:t>
      </w:r>
    </w:p>
    <w:p>
      <w:pPr>
        <w:pStyle w:val="Heading2"/>
      </w:pPr>
      <w:r>
        <w:rPr>
          <w:rFonts w:ascii="黑体" w:hAnsi="黑体" w:eastAsia="黑体"/>
          <w:b/>
          <w:sz w:val="28"/>
        </w:rPr>
        <w:t>4.2 核心功能组织</w:t>
      </w:r>
    </w:p>
    <w:p>
      <w:pPr>
        <w:spacing w:line="360" w:lineRule="auto"/>
        <w:ind w:firstLine="504"/>
      </w:pPr>
      <w:r>
        <w:rPr>
          <w:rFonts w:ascii="宋体" w:hAnsi="宋体" w:eastAsia="宋体"/>
          <w:b w:val="0"/>
          <w:sz w:val="24"/>
        </w:rPr>
        <w:t>围绕样本采集、数据分析和结果输出三个环节，作品形成了较完整的功能组织结构。系统能够完成样本信息管理、光谱文件接入、分析处理、结果详情展示、历史记录查询和报告导出等关键操作，并通过统一的数据组织方式保证各环节信息一致。网页端提供可视化大屏，实时展示样本分布、产地统计和关键指标趋势；移动端支持扫码上传、拍照录入和快速查询，降低现场操作门槛。</w:t>
      </w:r>
    </w:p>
    <w:p>
      <w:pPr>
        <w:spacing w:line="360" w:lineRule="auto"/>
        <w:ind w:firstLine="504"/>
      </w:pPr>
      <w:r>
        <w:rPr>
          <w:rFonts w:ascii="宋体" w:hAnsi="宋体" w:eastAsia="宋体"/>
          <w:b w:val="0"/>
          <w:sz w:val="24"/>
        </w:rPr>
        <w:t>从整体效果看，网页端、移动端与分析支撑层之间已经形成稳定配合：展示端负责信息呈现与分析提交，分析支撑层负责结果处理与回传，结果输出层负责整理与留存，由此形成面向比赛展示和场景应用的一体化实现。各模块职责清晰、接口规范，便于后续功能扩展与性能优化。</w:t>
      </w:r>
    </w:p>
    <w:p>
      <w:pPr>
        <w:pStyle w:val="Heading2"/>
      </w:pPr>
      <w:r>
        <w:rPr>
          <w:rFonts w:ascii="黑体" w:hAnsi="黑体" w:eastAsia="黑体"/>
          <w:b/>
          <w:sz w:val="28"/>
        </w:rPr>
        <w:t>4.3 报告生成与成果留存</w:t>
      </w:r>
    </w:p>
    <w:p>
      <w:pPr>
        <w:spacing w:line="360" w:lineRule="auto"/>
        <w:ind w:firstLine="504"/>
      </w:pPr>
      <w:r>
        <w:rPr>
          <w:rFonts w:ascii="宋体" w:hAnsi="宋体" w:eastAsia="宋体"/>
          <w:b w:val="0"/>
          <w:sz w:val="24"/>
        </w:rPr>
        <w:t>作品在结果组织上强调"可读、可用、可留存"三大原则。分析完成后，系统能够围绕样本基本信息、产地判断、品质指标、重点成分和综合说明形成结构化中文报告，并保留对应的历史记录，方便后续查询、比较和展示。报告采用标准化模板，确保不同批次、不同时间的检测结果能够横向对比。</w:t>
      </w:r>
    </w:p>
    <w:p>
      <w:pPr>
        <w:spacing w:line="360" w:lineRule="auto"/>
        <w:ind w:firstLine="504"/>
      </w:pPr>
      <w:r>
        <w:rPr>
          <w:rFonts w:ascii="宋体" w:hAnsi="宋体" w:eastAsia="宋体"/>
          <w:b w:val="0"/>
          <w:sz w:val="24"/>
        </w:rPr>
        <w:t>这种结果组织方式把分析结果从离散数据转换为结构化材料，使作品在答辩展示、区域推广和样本复核等场景中都更便于说明和使用。用户可随时回溯历史记录，查看特定样本的完整分析链条，为质量追溯与模型优化提供数据支撑。</w:t>
      </w:r>
    </w:p>
    <w:p>
      <w:pPr>
        <w:pStyle w:val="Heading2"/>
      </w:pPr>
      <w:r>
        <w:rPr>
          <w:rFonts w:ascii="黑体" w:hAnsi="黑体" w:eastAsia="黑体"/>
          <w:b/>
          <w:sz w:val="28"/>
        </w:rPr>
        <w:t>4.4 实现成果</w:t>
      </w:r>
    </w:p>
    <w:p>
      <w:pPr>
        <w:spacing w:line="360" w:lineRule="auto"/>
        <w:ind w:firstLine="504"/>
      </w:pPr>
      <w:r>
        <w:rPr>
          <w:rFonts w:ascii="宋体" w:hAnsi="宋体" w:eastAsia="宋体"/>
          <w:b w:val="0"/>
          <w:sz w:val="24"/>
        </w:rPr>
        <w:t>截至2026年4月10日，作品已经形成网页展示、移动应用、分析支撑和结果输出四个层面的实现成果。网页端包含首页、分析页、数据大屏、历史页等9个主要页面，移动端包含上传、查询、分析、报告等11个功能页面，分析支撑层已形成样本、文件、分析、结果等20项核心服务能力，结果输出层已支持中文报告生成、PDF导出与历史记录留存。相关页面、服务能力和报告流程均已整理完成，能够支撑比赛演示、成果说明和后续拓展。</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黑体" w:hAnsi="黑体" w:eastAsia="黑体"/>
                <w:b/>
                <w:sz w:val="22"/>
              </w:rPr>
              <w:t>模块</w:t>
            </w:r>
          </w:p>
        </w:tc>
        <w:tc>
          <w:tcPr>
            <w:tcW w:type="dxa" w:w="2880"/>
          </w:tcPr>
          <w:p>
            <w:pPr>
              <w:jc w:val="center"/>
            </w:pPr>
            <w:r>
              <w:rPr>
                <w:rFonts w:ascii="黑体" w:hAnsi="黑体" w:eastAsia="黑体"/>
                <w:b/>
                <w:sz w:val="22"/>
              </w:rPr>
              <w:t>已实现内容</w:t>
            </w:r>
          </w:p>
        </w:tc>
        <w:tc>
          <w:tcPr>
            <w:tcW w:type="dxa" w:w="2880"/>
          </w:tcPr>
          <w:p>
            <w:pPr>
              <w:jc w:val="center"/>
            </w:pPr>
            <w:r>
              <w:rPr>
                <w:rFonts w:ascii="黑体" w:hAnsi="黑体" w:eastAsia="黑体"/>
                <w:b/>
                <w:sz w:val="22"/>
              </w:rPr>
              <w:t>作用</w:t>
            </w:r>
          </w:p>
        </w:tc>
      </w:tr>
      <w:tr>
        <w:tc>
          <w:tcPr>
            <w:tcW w:type="dxa" w:w="2880"/>
          </w:tcPr>
          <w:p>
            <w:r>
              <w:rPr>
                <w:rFonts w:ascii="宋体" w:hAnsi="宋体" w:eastAsia="宋体"/>
                <w:b w:val="0"/>
                <w:sz w:val="22"/>
              </w:rPr>
              <w:t>网页展示</w:t>
            </w:r>
          </w:p>
        </w:tc>
        <w:tc>
          <w:tcPr>
            <w:tcW w:type="dxa" w:w="2880"/>
          </w:tcPr>
          <w:p>
            <w:r>
              <w:rPr>
                <w:rFonts w:ascii="宋体" w:hAnsi="宋体" w:eastAsia="宋体"/>
                <w:b w:val="0"/>
                <w:sz w:val="22"/>
              </w:rPr>
              <w:t>首页、分析页、数据大屏、历史页等9个主要页面</w:t>
            </w:r>
          </w:p>
        </w:tc>
        <w:tc>
          <w:tcPr>
            <w:tcW w:type="dxa" w:w="2880"/>
          </w:tcPr>
          <w:p>
            <w:r>
              <w:rPr>
                <w:rFonts w:ascii="宋体" w:hAnsi="宋体" w:eastAsia="宋体"/>
                <w:b w:val="0"/>
                <w:sz w:val="22"/>
              </w:rPr>
              <w:t>支撑综合展示与结果回看</w:t>
            </w:r>
          </w:p>
        </w:tc>
      </w:tr>
      <w:tr>
        <w:tc>
          <w:tcPr>
            <w:tcW w:type="dxa" w:w="2880"/>
          </w:tcPr>
          <w:p>
            <w:r>
              <w:rPr>
                <w:rFonts w:ascii="宋体" w:hAnsi="宋体" w:eastAsia="宋体"/>
                <w:b w:val="0"/>
                <w:sz w:val="22"/>
              </w:rPr>
              <w:t>移动应用</w:t>
            </w:r>
          </w:p>
        </w:tc>
        <w:tc>
          <w:tcPr>
            <w:tcW w:type="dxa" w:w="2880"/>
          </w:tcPr>
          <w:p>
            <w:r>
              <w:rPr>
                <w:rFonts w:ascii="宋体" w:hAnsi="宋体" w:eastAsia="宋体"/>
                <w:b w:val="0"/>
                <w:sz w:val="22"/>
              </w:rPr>
              <w:t>上传、查询、分析、报告等11个功能页面</w:t>
            </w:r>
          </w:p>
        </w:tc>
        <w:tc>
          <w:tcPr>
            <w:tcW w:type="dxa" w:w="2880"/>
          </w:tcPr>
          <w:p>
            <w:r>
              <w:rPr>
                <w:rFonts w:ascii="宋体" w:hAnsi="宋体" w:eastAsia="宋体"/>
                <w:b w:val="0"/>
                <w:sz w:val="22"/>
              </w:rPr>
              <w:t>支撑现场采样与移动操作</w:t>
            </w:r>
          </w:p>
        </w:tc>
      </w:tr>
      <w:tr>
        <w:tc>
          <w:tcPr>
            <w:tcW w:type="dxa" w:w="2880"/>
          </w:tcPr>
          <w:p>
            <w:r>
              <w:rPr>
                <w:rFonts w:ascii="宋体" w:hAnsi="宋体" w:eastAsia="宋体"/>
                <w:b w:val="0"/>
                <w:sz w:val="22"/>
              </w:rPr>
              <w:t>分析支撑</w:t>
            </w:r>
          </w:p>
        </w:tc>
        <w:tc>
          <w:tcPr>
            <w:tcW w:type="dxa" w:w="2880"/>
          </w:tcPr>
          <w:p>
            <w:r>
              <w:rPr>
                <w:rFonts w:ascii="宋体" w:hAnsi="宋体" w:eastAsia="宋体"/>
                <w:b w:val="0"/>
                <w:sz w:val="22"/>
              </w:rPr>
              <w:t>样本、文件、分析、结果等20项核心服务能力</w:t>
            </w:r>
          </w:p>
        </w:tc>
        <w:tc>
          <w:tcPr>
            <w:tcW w:type="dxa" w:w="2880"/>
          </w:tcPr>
          <w:p>
            <w:r>
              <w:rPr>
                <w:rFonts w:ascii="宋体" w:hAnsi="宋体" w:eastAsia="宋体"/>
                <w:b w:val="0"/>
                <w:sz w:val="22"/>
              </w:rPr>
              <w:t>支撑多任务处理与流程贯通</w:t>
            </w:r>
          </w:p>
        </w:tc>
      </w:tr>
      <w:tr>
        <w:tc>
          <w:tcPr>
            <w:tcW w:type="dxa" w:w="2880"/>
          </w:tcPr>
          <w:p>
            <w:r>
              <w:rPr>
                <w:rFonts w:ascii="宋体" w:hAnsi="宋体" w:eastAsia="宋体"/>
                <w:b w:val="0"/>
                <w:sz w:val="22"/>
              </w:rPr>
              <w:t>成果输出</w:t>
            </w:r>
          </w:p>
        </w:tc>
        <w:tc>
          <w:tcPr>
            <w:tcW w:type="dxa" w:w="2880"/>
          </w:tcPr>
          <w:p>
            <w:r>
              <w:rPr>
                <w:rFonts w:ascii="宋体" w:hAnsi="宋体" w:eastAsia="宋体"/>
                <w:b w:val="0"/>
                <w:sz w:val="22"/>
              </w:rPr>
              <w:t>中文报告、PDF导出、历史记录留存</w:t>
            </w:r>
          </w:p>
        </w:tc>
        <w:tc>
          <w:tcPr>
            <w:tcW w:type="dxa" w:w="2880"/>
          </w:tcPr>
          <w:p>
            <w:r>
              <w:rPr>
                <w:rFonts w:ascii="宋体" w:hAnsi="宋体" w:eastAsia="宋体"/>
                <w:b w:val="0"/>
                <w:sz w:val="22"/>
              </w:rPr>
              <w:t>支撑正式表达与资料沉淀</w:t>
            </w:r>
          </w:p>
        </w:tc>
      </w:tr>
    </w:tbl>
    <w:p>
      <w:pPr>
        <w:pStyle w:val="Caption"/>
      </w:pPr>
      <w:r>
        <w:rPr>
          <w:rFonts w:ascii="宋体" w:hAnsi="宋体" w:eastAsia="宋体"/>
          <w:b w:val="0"/>
          <w:sz w:val="20"/>
        </w:rPr>
        <w:t>表4-1 作品实现成果概况</w:t>
      </w:r>
    </w:p>
    <w:p>
      <w:r>
        <w:br w:type="page"/>
      </w:r>
    </w:p>
    <w:p>
      <w:pPr>
        <w:pStyle w:val="Heading1"/>
      </w:pPr>
      <w:r>
        <w:rPr>
          <w:rFonts w:ascii="黑体" w:hAnsi="黑体" w:eastAsia="黑体"/>
          <w:b/>
          <w:sz w:val="32"/>
        </w:rPr>
        <w:t>第5章 实验与测试分析</w:t>
      </w:r>
    </w:p>
    <w:p>
      <w:pPr>
        <w:pStyle w:val="Heading2"/>
      </w:pPr>
      <w:r>
        <w:rPr>
          <w:rFonts w:ascii="黑体" w:hAnsi="黑体" w:eastAsia="黑体"/>
          <w:b/>
          <w:sz w:val="28"/>
        </w:rPr>
        <w:t>5.1 实验设置</w:t>
      </w:r>
    </w:p>
    <w:p>
      <w:pPr>
        <w:spacing w:line="360" w:lineRule="auto"/>
        <w:ind w:firstLine="504"/>
      </w:pPr>
      <w:r>
        <w:rPr>
          <w:rFonts w:ascii="宋体" w:hAnsi="宋体" w:eastAsia="宋体"/>
          <w:b w:val="0"/>
          <w:sz w:val="24"/>
        </w:rPr>
        <w:t>实验部分全部基于统一整理后的正式双光谱主表，在同一划分条件下完成对比测试。训练集、验证集、测试集规模分别为279、60、60；两类产地样本在验证集和测试集中保持均衡分布（各30个），从而保证分类与回归结果具有统一、可比的评估基础。整体实验按照"先建立对比基础，再逐步优化提升"的思路展开，先进行单光谱基线实验，再进行双光谱融合分析，最后引入预处理与参数优化，能够清楚呈现结果差异与性能变化。所有实验使用固定随机种子（20260409）确保可复现。</w:t>
      </w:r>
    </w:p>
    <w:p>
      <w:pPr>
        <w:pStyle w:val="Heading2"/>
      </w:pPr>
      <w:r>
        <w:rPr>
          <w:rFonts w:ascii="黑体" w:hAnsi="黑体" w:eastAsia="黑体"/>
          <w:b/>
          <w:sz w:val="28"/>
        </w:rPr>
        <w:t>5.2 产地溯源结果分析</w:t>
      </w:r>
    </w:p>
    <w:p>
      <w:pPr>
        <w:spacing w:line="360" w:lineRule="auto"/>
        <w:ind w:firstLine="504"/>
      </w:pPr>
      <w:r>
        <w:rPr>
          <w:rFonts w:ascii="宋体" w:hAnsi="宋体" w:eastAsia="宋体"/>
          <w:b w:val="0"/>
          <w:sz w:val="24"/>
        </w:rPr>
        <w:t>产地溯源是当前结果最稳定的任务。以S960单光谱为输入时，逻辑回归与线性SVM在验证集和测试集上的准确率、平衡准确率与F1_macro均达到1.0000，表明两类产地样本在当前光谱空间中具有高度区分度，可为产地鉴别、品牌溯源和批次核验提供直接依据。即使采用双光谱输入，LightGBM分类模型也取得了测试集准确率100%、F1_macro 1.0000的优异成绩，进一步验证了结果稳定性。</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黑体" w:hAnsi="黑体" w:eastAsia="黑体"/>
                <w:b/>
                <w:sz w:val="22"/>
              </w:rPr>
              <w:t>特征方案</w:t>
            </w:r>
          </w:p>
        </w:tc>
        <w:tc>
          <w:tcPr>
            <w:tcW w:type="dxa" w:w="1728"/>
          </w:tcPr>
          <w:p>
            <w:pPr>
              <w:jc w:val="center"/>
            </w:pPr>
            <w:r>
              <w:rPr>
                <w:rFonts w:ascii="黑体" w:hAnsi="黑体" w:eastAsia="黑体"/>
                <w:b/>
                <w:sz w:val="22"/>
              </w:rPr>
              <w:t>模型</w:t>
            </w:r>
          </w:p>
        </w:tc>
        <w:tc>
          <w:tcPr>
            <w:tcW w:type="dxa" w:w="1728"/>
          </w:tcPr>
          <w:p>
            <w:pPr>
              <w:jc w:val="center"/>
            </w:pPr>
            <w:r>
              <w:rPr>
                <w:rFonts w:ascii="黑体" w:hAnsi="黑体" w:eastAsia="黑体"/>
                <w:b/>
                <w:sz w:val="22"/>
              </w:rPr>
              <w:t>验证集准确率</w:t>
            </w:r>
          </w:p>
        </w:tc>
        <w:tc>
          <w:tcPr>
            <w:tcW w:type="dxa" w:w="1728"/>
          </w:tcPr>
          <w:p>
            <w:pPr>
              <w:jc w:val="center"/>
            </w:pPr>
            <w:r>
              <w:rPr>
                <w:rFonts w:ascii="黑体" w:hAnsi="黑体" w:eastAsia="黑体"/>
                <w:b/>
                <w:sz w:val="22"/>
              </w:rPr>
              <w:t>测试集准确率</w:t>
            </w:r>
          </w:p>
        </w:tc>
        <w:tc>
          <w:tcPr>
            <w:tcW w:type="dxa" w:w="1728"/>
          </w:tcPr>
          <w:p>
            <w:pPr>
              <w:jc w:val="center"/>
            </w:pPr>
            <w:r>
              <w:rPr>
                <w:rFonts w:ascii="黑体" w:hAnsi="黑体" w:eastAsia="黑体"/>
                <w:b/>
                <w:sz w:val="22"/>
              </w:rPr>
              <w:t>测试集F1_macro</w:t>
            </w:r>
          </w:p>
        </w:tc>
      </w:tr>
      <w:tr>
        <w:tc>
          <w:tcPr>
            <w:tcW w:type="dxa" w:w="1728"/>
          </w:tcPr>
          <w:p>
            <w:r>
              <w:rPr>
                <w:rFonts w:ascii="宋体" w:hAnsi="宋体" w:eastAsia="宋体"/>
                <w:b w:val="0"/>
                <w:sz w:val="22"/>
              </w:rPr>
              <w:t>S960单光谱</w:t>
            </w:r>
          </w:p>
        </w:tc>
        <w:tc>
          <w:tcPr>
            <w:tcW w:type="dxa" w:w="1728"/>
          </w:tcPr>
          <w:p>
            <w:r>
              <w:rPr>
                <w:rFonts w:ascii="宋体" w:hAnsi="宋体" w:eastAsia="宋体"/>
                <w:b w:val="0"/>
                <w:sz w:val="22"/>
              </w:rPr>
              <w:t>逻辑回归</w:t>
            </w:r>
          </w:p>
        </w:tc>
        <w:tc>
          <w:tcPr>
            <w:tcW w:type="dxa" w:w="1728"/>
          </w:tcPr>
          <w:p>
            <w:r>
              <w:rPr>
                <w:rFonts w:ascii="宋体" w:hAnsi="宋体" w:eastAsia="宋体"/>
                <w:b w:val="0"/>
                <w:sz w:val="22"/>
              </w:rPr>
              <w:t>1.0000</w:t>
            </w:r>
          </w:p>
        </w:tc>
        <w:tc>
          <w:tcPr>
            <w:tcW w:type="dxa" w:w="1728"/>
          </w:tcPr>
          <w:p>
            <w:r>
              <w:rPr>
                <w:rFonts w:ascii="宋体" w:hAnsi="宋体" w:eastAsia="宋体"/>
                <w:b w:val="0"/>
                <w:sz w:val="22"/>
              </w:rPr>
              <w:t>1.0000</w:t>
            </w:r>
          </w:p>
        </w:tc>
        <w:tc>
          <w:tcPr>
            <w:tcW w:type="dxa" w:w="1728"/>
          </w:tcPr>
          <w:p>
            <w:r>
              <w:rPr>
                <w:rFonts w:ascii="宋体" w:hAnsi="宋体" w:eastAsia="宋体"/>
                <w:b w:val="0"/>
                <w:sz w:val="22"/>
              </w:rPr>
              <w:t>1.0000</w:t>
            </w:r>
          </w:p>
        </w:tc>
      </w:tr>
      <w:tr>
        <w:tc>
          <w:tcPr>
            <w:tcW w:type="dxa" w:w="1728"/>
          </w:tcPr>
          <w:p>
            <w:r>
              <w:rPr>
                <w:rFonts w:ascii="宋体" w:hAnsi="宋体" w:eastAsia="宋体"/>
                <w:b w:val="0"/>
                <w:sz w:val="22"/>
              </w:rPr>
              <w:t>S960单光谱</w:t>
            </w:r>
          </w:p>
        </w:tc>
        <w:tc>
          <w:tcPr>
            <w:tcW w:type="dxa" w:w="1728"/>
          </w:tcPr>
          <w:p>
            <w:r>
              <w:rPr>
                <w:rFonts w:ascii="宋体" w:hAnsi="宋体" w:eastAsia="宋体"/>
                <w:b w:val="0"/>
                <w:sz w:val="22"/>
              </w:rPr>
              <w:t>线性SVM</w:t>
            </w:r>
          </w:p>
        </w:tc>
        <w:tc>
          <w:tcPr>
            <w:tcW w:type="dxa" w:w="1728"/>
          </w:tcPr>
          <w:p>
            <w:r>
              <w:rPr>
                <w:rFonts w:ascii="宋体" w:hAnsi="宋体" w:eastAsia="宋体"/>
                <w:b w:val="0"/>
                <w:sz w:val="22"/>
              </w:rPr>
              <w:t>1.0000</w:t>
            </w:r>
          </w:p>
        </w:tc>
        <w:tc>
          <w:tcPr>
            <w:tcW w:type="dxa" w:w="1728"/>
          </w:tcPr>
          <w:p>
            <w:r>
              <w:rPr>
                <w:rFonts w:ascii="宋体" w:hAnsi="宋体" w:eastAsia="宋体"/>
                <w:b w:val="0"/>
                <w:sz w:val="22"/>
              </w:rPr>
              <w:t>1.0000</w:t>
            </w:r>
          </w:p>
        </w:tc>
        <w:tc>
          <w:tcPr>
            <w:tcW w:type="dxa" w:w="1728"/>
          </w:tcPr>
          <w:p>
            <w:r>
              <w:rPr>
                <w:rFonts w:ascii="宋体" w:hAnsi="宋体" w:eastAsia="宋体"/>
                <w:b w:val="0"/>
                <w:sz w:val="22"/>
              </w:rPr>
              <w:t>1.0000</w:t>
            </w:r>
          </w:p>
        </w:tc>
      </w:tr>
      <w:tr>
        <w:tc>
          <w:tcPr>
            <w:tcW w:type="dxa" w:w="1728"/>
          </w:tcPr>
          <w:p>
            <w:r>
              <w:rPr>
                <w:rFonts w:ascii="宋体" w:hAnsi="宋体" w:eastAsia="宋体"/>
                <w:b w:val="0"/>
                <w:sz w:val="22"/>
              </w:rPr>
              <w:t>R210+S960双光谱</w:t>
            </w:r>
          </w:p>
        </w:tc>
        <w:tc>
          <w:tcPr>
            <w:tcW w:type="dxa" w:w="1728"/>
          </w:tcPr>
          <w:p>
            <w:r>
              <w:rPr>
                <w:rFonts w:ascii="宋体" w:hAnsi="宋体" w:eastAsia="宋体"/>
                <w:b w:val="0"/>
                <w:sz w:val="22"/>
              </w:rPr>
              <w:t>LightGBM分类</w:t>
            </w:r>
          </w:p>
        </w:tc>
        <w:tc>
          <w:tcPr>
            <w:tcW w:type="dxa" w:w="1728"/>
          </w:tcPr>
          <w:p>
            <w:r>
              <w:rPr>
                <w:rFonts w:ascii="宋体" w:hAnsi="宋体" w:eastAsia="宋体"/>
                <w:b w:val="0"/>
                <w:sz w:val="22"/>
              </w:rPr>
              <w:t>0.9833</w:t>
            </w:r>
          </w:p>
        </w:tc>
        <w:tc>
          <w:tcPr>
            <w:tcW w:type="dxa" w:w="1728"/>
          </w:tcPr>
          <w:p>
            <w:r>
              <w:rPr>
                <w:rFonts w:ascii="宋体" w:hAnsi="宋体" w:eastAsia="宋体"/>
                <w:b w:val="0"/>
                <w:sz w:val="22"/>
              </w:rPr>
              <w:t>1.0000</w:t>
            </w:r>
          </w:p>
        </w:tc>
        <w:tc>
          <w:tcPr>
            <w:tcW w:type="dxa" w:w="1728"/>
          </w:tcPr>
          <w:p>
            <w:r>
              <w:rPr>
                <w:rFonts w:ascii="宋体" w:hAnsi="宋体" w:eastAsia="宋体"/>
                <w:b w:val="0"/>
                <w:sz w:val="22"/>
              </w:rPr>
              <w:t>1.0000</w:t>
            </w:r>
          </w:p>
        </w:tc>
      </w:tr>
    </w:tbl>
    <w:p>
      <w:pPr>
        <w:pStyle w:val="Caption"/>
      </w:pPr>
      <w:r>
        <w:rPr>
          <w:rFonts w:ascii="宋体" w:hAnsi="宋体" w:eastAsia="宋体"/>
          <w:b w:val="0"/>
          <w:sz w:val="20"/>
        </w:rPr>
        <w:t>表5-1 产地溯源代表性结果</w:t>
      </w:r>
    </w:p>
    <w:p>
      <w:pPr>
        <w:pStyle w:val="Heading2"/>
      </w:pPr>
      <w:r>
        <w:rPr>
          <w:rFonts w:ascii="黑体" w:hAnsi="黑体" w:eastAsia="黑体"/>
          <w:b/>
          <w:sz w:val="28"/>
        </w:rPr>
        <w:t>5.3 品质预测结果分析</w:t>
      </w:r>
    </w:p>
    <w:p>
      <w:pPr>
        <w:spacing w:line="360" w:lineRule="auto"/>
        <w:ind w:firstLine="504"/>
      </w:pPr>
      <w:r>
        <w:rPr>
          <w:rFonts w:ascii="宋体" w:hAnsi="宋体" w:eastAsia="宋体"/>
          <w:b w:val="0"/>
          <w:sz w:val="24"/>
        </w:rPr>
        <w:t>在品质预测任务中，糖度是当前最有代表性的优势指标。测试结果显示，R210+S960双光谱条件下的岭回归在糖度预测上取得测试集R²=0.7051、RMSE=0.8071，说明模型能够解释约70%的糖度变异，可以为果品分级和品质判断提供较强参考。与此同时，VC和糖酸比也取得了一定效果，测试集R²分别达到0.3778和0.3654，适合作为综合分析中的辅助信息。</w:t>
      </w:r>
    </w:p>
    <w:p>
      <w:pPr>
        <w:spacing w:line="360" w:lineRule="auto"/>
        <w:ind w:firstLine="504"/>
      </w:pPr>
      <w:r>
        <w:rPr>
          <w:rFonts w:ascii="宋体" w:hAnsi="宋体" w:eastAsia="宋体"/>
          <w:b w:val="0"/>
          <w:sz w:val="24"/>
        </w:rPr>
        <w:t>从两地产地的平均理化差异看，琼中绿橙在糖度和糖酸比上更高，分别达到10.79和18.11；澄迈福橙在VC水平上更高，平均达到40.80。这些差异让页面展示和报告结论都有了更扎实的事实依据，也证明了光谱分析在捕捉产地特性方面的有效性。</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黑体" w:hAnsi="黑体" w:eastAsia="黑体"/>
                <w:b/>
                <w:sz w:val="22"/>
              </w:rPr>
              <w:t>指标</w:t>
            </w:r>
          </w:p>
        </w:tc>
        <w:tc>
          <w:tcPr>
            <w:tcW w:type="dxa" w:w="1728"/>
          </w:tcPr>
          <w:p>
            <w:pPr>
              <w:jc w:val="center"/>
            </w:pPr>
            <w:r>
              <w:rPr>
                <w:rFonts w:ascii="黑体" w:hAnsi="黑体" w:eastAsia="黑体"/>
                <w:b/>
                <w:sz w:val="22"/>
              </w:rPr>
              <w:t>最佳模型</w:t>
            </w:r>
          </w:p>
        </w:tc>
        <w:tc>
          <w:tcPr>
            <w:tcW w:type="dxa" w:w="1728"/>
          </w:tcPr>
          <w:p>
            <w:pPr>
              <w:jc w:val="center"/>
            </w:pPr>
            <w:r>
              <w:rPr>
                <w:rFonts w:ascii="黑体" w:hAnsi="黑体" w:eastAsia="黑体"/>
                <w:b/>
                <w:sz w:val="22"/>
              </w:rPr>
              <w:t>特征方案</w:t>
            </w:r>
          </w:p>
        </w:tc>
        <w:tc>
          <w:tcPr>
            <w:tcW w:type="dxa" w:w="1728"/>
          </w:tcPr>
          <w:p>
            <w:pPr>
              <w:jc w:val="center"/>
            </w:pPr>
            <w:r>
              <w:rPr>
                <w:rFonts w:ascii="黑体" w:hAnsi="黑体" w:eastAsia="黑体"/>
                <w:b/>
                <w:sz w:val="22"/>
              </w:rPr>
              <w:t>测试集R²</w:t>
            </w:r>
          </w:p>
        </w:tc>
        <w:tc>
          <w:tcPr>
            <w:tcW w:type="dxa" w:w="1728"/>
          </w:tcPr>
          <w:p>
            <w:pPr>
              <w:jc w:val="center"/>
            </w:pPr>
            <w:r>
              <w:rPr>
                <w:rFonts w:ascii="黑体" w:hAnsi="黑体" w:eastAsia="黑体"/>
                <w:b/>
                <w:sz w:val="22"/>
              </w:rPr>
              <w:t>测试集RMSE</w:t>
            </w:r>
          </w:p>
        </w:tc>
      </w:tr>
      <w:tr>
        <w:tc>
          <w:tcPr>
            <w:tcW w:type="dxa" w:w="1728"/>
          </w:tcPr>
          <w:p>
            <w:r>
              <w:rPr>
                <w:rFonts w:ascii="宋体" w:hAnsi="宋体" w:eastAsia="宋体"/>
                <w:b w:val="0"/>
                <w:sz w:val="22"/>
              </w:rPr>
              <w:t>糖度</w:t>
            </w:r>
          </w:p>
        </w:tc>
        <w:tc>
          <w:tcPr>
            <w:tcW w:type="dxa" w:w="1728"/>
          </w:tcPr>
          <w:p>
            <w:r>
              <w:rPr>
                <w:rFonts w:ascii="宋体" w:hAnsi="宋体" w:eastAsia="宋体"/>
                <w:b w:val="0"/>
                <w:sz w:val="22"/>
              </w:rPr>
              <w:t>岭回归</w:t>
            </w:r>
          </w:p>
        </w:tc>
        <w:tc>
          <w:tcPr>
            <w:tcW w:type="dxa" w:w="1728"/>
          </w:tcPr>
          <w:p>
            <w:r>
              <w:rPr>
                <w:rFonts w:ascii="宋体" w:hAnsi="宋体" w:eastAsia="宋体"/>
                <w:b w:val="0"/>
                <w:sz w:val="22"/>
              </w:rPr>
              <w:t>R210+S960双光谱</w:t>
            </w:r>
          </w:p>
        </w:tc>
        <w:tc>
          <w:tcPr>
            <w:tcW w:type="dxa" w:w="1728"/>
          </w:tcPr>
          <w:p>
            <w:r>
              <w:rPr>
                <w:rFonts w:ascii="宋体" w:hAnsi="宋体" w:eastAsia="宋体"/>
                <w:b w:val="0"/>
                <w:sz w:val="22"/>
              </w:rPr>
              <w:t>0.7051</w:t>
            </w:r>
          </w:p>
        </w:tc>
        <w:tc>
          <w:tcPr>
            <w:tcW w:type="dxa" w:w="1728"/>
          </w:tcPr>
          <w:p>
            <w:r>
              <w:rPr>
                <w:rFonts w:ascii="宋体" w:hAnsi="宋体" w:eastAsia="宋体"/>
                <w:b w:val="0"/>
                <w:sz w:val="22"/>
              </w:rPr>
              <w:t>0.8071</w:t>
            </w:r>
          </w:p>
        </w:tc>
      </w:tr>
      <w:tr>
        <w:tc>
          <w:tcPr>
            <w:tcW w:type="dxa" w:w="1728"/>
          </w:tcPr>
          <w:p>
            <w:r>
              <w:rPr>
                <w:rFonts w:ascii="宋体" w:hAnsi="宋体" w:eastAsia="宋体"/>
                <w:b w:val="0"/>
                <w:sz w:val="22"/>
              </w:rPr>
              <w:t>VC</w:t>
            </w:r>
          </w:p>
        </w:tc>
        <w:tc>
          <w:tcPr>
            <w:tcW w:type="dxa" w:w="1728"/>
          </w:tcPr>
          <w:p>
            <w:r>
              <w:rPr>
                <w:rFonts w:ascii="宋体" w:hAnsi="宋体" w:eastAsia="宋体"/>
                <w:b w:val="0"/>
                <w:sz w:val="22"/>
              </w:rPr>
              <w:t>PLS回归</w:t>
            </w:r>
          </w:p>
        </w:tc>
        <w:tc>
          <w:tcPr>
            <w:tcW w:type="dxa" w:w="1728"/>
          </w:tcPr>
          <w:p>
            <w:r>
              <w:rPr>
                <w:rFonts w:ascii="宋体" w:hAnsi="宋体" w:eastAsia="宋体"/>
                <w:b w:val="0"/>
                <w:sz w:val="22"/>
              </w:rPr>
              <w:t>R210单光谱</w:t>
            </w:r>
          </w:p>
        </w:tc>
        <w:tc>
          <w:tcPr>
            <w:tcW w:type="dxa" w:w="1728"/>
          </w:tcPr>
          <w:p>
            <w:r>
              <w:rPr>
                <w:rFonts w:ascii="宋体" w:hAnsi="宋体" w:eastAsia="宋体"/>
                <w:b w:val="0"/>
                <w:sz w:val="22"/>
              </w:rPr>
              <w:t>0.3778</w:t>
            </w:r>
          </w:p>
        </w:tc>
        <w:tc>
          <w:tcPr>
            <w:tcW w:type="dxa" w:w="1728"/>
          </w:tcPr>
          <w:p>
            <w:r>
              <w:rPr>
                <w:rFonts w:ascii="宋体" w:hAnsi="宋体" w:eastAsia="宋体"/>
                <w:b w:val="0"/>
                <w:sz w:val="22"/>
              </w:rPr>
              <w:t>5.7642</w:t>
            </w:r>
          </w:p>
        </w:tc>
      </w:tr>
      <w:tr>
        <w:tc>
          <w:tcPr>
            <w:tcW w:type="dxa" w:w="1728"/>
          </w:tcPr>
          <w:p>
            <w:r>
              <w:rPr>
                <w:rFonts w:ascii="宋体" w:hAnsi="宋体" w:eastAsia="宋体"/>
                <w:b w:val="0"/>
                <w:sz w:val="22"/>
              </w:rPr>
              <w:t>糖酸比</w:t>
            </w:r>
          </w:p>
        </w:tc>
        <w:tc>
          <w:tcPr>
            <w:tcW w:type="dxa" w:w="1728"/>
          </w:tcPr>
          <w:p>
            <w:r>
              <w:rPr>
                <w:rFonts w:ascii="宋体" w:hAnsi="宋体" w:eastAsia="宋体"/>
                <w:b w:val="0"/>
                <w:sz w:val="22"/>
              </w:rPr>
              <w:t>PLS回归</w:t>
            </w:r>
          </w:p>
        </w:tc>
        <w:tc>
          <w:tcPr>
            <w:tcW w:type="dxa" w:w="1728"/>
          </w:tcPr>
          <w:p>
            <w:r>
              <w:rPr>
                <w:rFonts w:ascii="宋体" w:hAnsi="宋体" w:eastAsia="宋体"/>
                <w:b w:val="0"/>
                <w:sz w:val="22"/>
              </w:rPr>
              <w:t>R210单光谱</w:t>
            </w:r>
          </w:p>
        </w:tc>
        <w:tc>
          <w:tcPr>
            <w:tcW w:type="dxa" w:w="1728"/>
          </w:tcPr>
          <w:p>
            <w:r>
              <w:rPr>
                <w:rFonts w:ascii="宋体" w:hAnsi="宋体" w:eastAsia="宋体"/>
                <w:b w:val="0"/>
                <w:sz w:val="22"/>
              </w:rPr>
              <w:t>0.3654</w:t>
            </w:r>
          </w:p>
        </w:tc>
        <w:tc>
          <w:tcPr>
            <w:tcW w:type="dxa" w:w="1728"/>
          </w:tcPr>
          <w:p>
            <w:r>
              <w:rPr>
                <w:rFonts w:ascii="宋体" w:hAnsi="宋体" w:eastAsia="宋体"/>
                <w:b w:val="0"/>
                <w:sz w:val="22"/>
              </w:rPr>
              <w:t>2.9632</w:t>
            </w:r>
          </w:p>
        </w:tc>
      </w:tr>
    </w:tbl>
    <w:p>
      <w:pPr>
        <w:pStyle w:val="Caption"/>
      </w:pPr>
      <w:r>
        <w:rPr>
          <w:rFonts w:ascii="宋体" w:hAnsi="宋体" w:eastAsia="宋体"/>
          <w:b w:val="0"/>
          <w:sz w:val="20"/>
        </w:rPr>
        <w:t>表5-2 品质预测代表性结果</w:t>
      </w:r>
    </w:p>
    <w:p>
      <w:pPr>
        <w:pStyle w:val="Heading2"/>
      </w:pPr>
      <w:r>
        <w:rPr>
          <w:rFonts w:ascii="黑体" w:hAnsi="黑体" w:eastAsia="黑体"/>
          <w:b/>
          <w:sz w:val="28"/>
        </w:rPr>
        <w:t>5.4 液质成分预测结果分析</w:t>
      </w:r>
    </w:p>
    <w:p>
      <w:pPr>
        <w:spacing w:line="360" w:lineRule="auto"/>
        <w:ind w:firstLine="504"/>
      </w:pPr>
      <w:r>
        <w:rPr>
          <w:rFonts w:ascii="宋体" w:hAnsi="宋体" w:eastAsia="宋体"/>
          <w:b w:val="0"/>
          <w:sz w:val="24"/>
        </w:rPr>
        <w:t>液质成分预测最能体现多模态数据的价值。基线实验中，双光谱融合岭回归模型已取得验证集平均R²=0.6811、测试集平均R²=0.6620。进一步引入SNV预处理和参数搜索后，液质成分任务的最佳验证集平均R²提升至0.7104，最佳测试集平均R²达到0.6975，说明双光谱路线在内部成分建模上仍有明确的优化空间。</w:t>
      </w:r>
    </w:p>
    <w:p>
      <w:pPr>
        <w:spacing w:line="360" w:lineRule="auto"/>
        <w:ind w:firstLine="504"/>
      </w:pPr>
      <w:r>
        <w:rPr>
          <w:rFonts w:ascii="宋体" w:hAnsi="宋体" w:eastAsia="宋体"/>
          <w:b w:val="0"/>
          <w:sz w:val="24"/>
        </w:rPr>
        <w:t>在重点成分上，异柠檬酸、莽草酸、蔗糖等指标表现尤为突出：异柠檬酸测试集最佳R²达到0.8225，莽草酸达到0.8024，蔗糖达到0.6773。这表明系统在内部组分识别与表达方面已经具备较好的分析基础，能够为果品营养评价和品种区分提供参考。</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黑体" w:hAnsi="黑体" w:eastAsia="黑体"/>
                <w:b/>
                <w:sz w:val="22"/>
              </w:rPr>
              <w:t>指标</w:t>
            </w:r>
          </w:p>
        </w:tc>
        <w:tc>
          <w:tcPr>
            <w:tcW w:type="dxa" w:w="2160"/>
          </w:tcPr>
          <w:p>
            <w:pPr>
              <w:jc w:val="center"/>
            </w:pPr>
            <w:r>
              <w:rPr>
                <w:rFonts w:ascii="黑体" w:hAnsi="黑体" w:eastAsia="黑体"/>
                <w:b/>
                <w:sz w:val="22"/>
              </w:rPr>
              <w:t>最佳模型</w:t>
            </w:r>
          </w:p>
        </w:tc>
        <w:tc>
          <w:tcPr>
            <w:tcW w:type="dxa" w:w="2160"/>
          </w:tcPr>
          <w:p>
            <w:pPr>
              <w:jc w:val="center"/>
            </w:pPr>
            <w:r>
              <w:rPr>
                <w:rFonts w:ascii="黑体" w:hAnsi="黑体" w:eastAsia="黑体"/>
                <w:b/>
                <w:sz w:val="22"/>
              </w:rPr>
              <w:t>特征方案</w:t>
            </w:r>
          </w:p>
        </w:tc>
        <w:tc>
          <w:tcPr>
            <w:tcW w:type="dxa" w:w="2160"/>
          </w:tcPr>
          <w:p>
            <w:pPr>
              <w:jc w:val="center"/>
            </w:pPr>
            <w:r>
              <w:rPr>
                <w:rFonts w:ascii="黑体" w:hAnsi="黑体" w:eastAsia="黑体"/>
                <w:b/>
                <w:sz w:val="22"/>
              </w:rPr>
              <w:t>测试集R²</w:t>
            </w:r>
          </w:p>
        </w:tc>
      </w:tr>
      <w:tr>
        <w:tc>
          <w:tcPr>
            <w:tcW w:type="dxa" w:w="2160"/>
          </w:tcPr>
          <w:p>
            <w:r>
              <w:rPr>
                <w:rFonts w:ascii="宋体" w:hAnsi="宋体" w:eastAsia="宋体"/>
                <w:b w:val="0"/>
                <w:sz w:val="22"/>
              </w:rPr>
              <w:t>异柠檬酸</w:t>
            </w:r>
          </w:p>
        </w:tc>
        <w:tc>
          <w:tcPr>
            <w:tcW w:type="dxa" w:w="2160"/>
          </w:tcPr>
          <w:p>
            <w:r>
              <w:rPr>
                <w:rFonts w:ascii="宋体" w:hAnsi="宋体" w:eastAsia="宋体"/>
                <w:b w:val="0"/>
                <w:sz w:val="22"/>
              </w:rPr>
              <w:t>XGBoost回归</w:t>
            </w:r>
          </w:p>
        </w:tc>
        <w:tc>
          <w:tcPr>
            <w:tcW w:type="dxa" w:w="2160"/>
          </w:tcPr>
          <w:p>
            <w:r>
              <w:rPr>
                <w:rFonts w:ascii="宋体" w:hAnsi="宋体" w:eastAsia="宋体"/>
                <w:b w:val="0"/>
                <w:sz w:val="22"/>
              </w:rPr>
              <w:t>R210+S960双光谱</w:t>
            </w:r>
          </w:p>
        </w:tc>
        <w:tc>
          <w:tcPr>
            <w:tcW w:type="dxa" w:w="2160"/>
          </w:tcPr>
          <w:p>
            <w:r>
              <w:rPr>
                <w:rFonts w:ascii="宋体" w:hAnsi="宋体" w:eastAsia="宋体"/>
                <w:b w:val="0"/>
                <w:sz w:val="22"/>
              </w:rPr>
              <w:t>0.8225</w:t>
            </w:r>
          </w:p>
        </w:tc>
      </w:tr>
      <w:tr>
        <w:tc>
          <w:tcPr>
            <w:tcW w:type="dxa" w:w="2160"/>
          </w:tcPr>
          <w:p>
            <w:r>
              <w:rPr>
                <w:rFonts w:ascii="宋体" w:hAnsi="宋体" w:eastAsia="宋体"/>
                <w:b w:val="0"/>
                <w:sz w:val="22"/>
              </w:rPr>
              <w:t>莽草酸</w:t>
            </w:r>
          </w:p>
        </w:tc>
        <w:tc>
          <w:tcPr>
            <w:tcW w:type="dxa" w:w="2160"/>
          </w:tcPr>
          <w:p>
            <w:r>
              <w:rPr>
                <w:rFonts w:ascii="宋体" w:hAnsi="宋体" w:eastAsia="宋体"/>
                <w:b w:val="0"/>
                <w:sz w:val="22"/>
              </w:rPr>
              <w:t>XGBoost回归</w:t>
            </w:r>
          </w:p>
        </w:tc>
        <w:tc>
          <w:tcPr>
            <w:tcW w:type="dxa" w:w="2160"/>
          </w:tcPr>
          <w:p>
            <w:r>
              <w:rPr>
                <w:rFonts w:ascii="宋体" w:hAnsi="宋体" w:eastAsia="宋体"/>
                <w:b w:val="0"/>
                <w:sz w:val="22"/>
              </w:rPr>
              <w:t>R210+S960双光谱</w:t>
            </w:r>
          </w:p>
        </w:tc>
        <w:tc>
          <w:tcPr>
            <w:tcW w:type="dxa" w:w="2160"/>
          </w:tcPr>
          <w:p>
            <w:r>
              <w:rPr>
                <w:rFonts w:ascii="宋体" w:hAnsi="宋体" w:eastAsia="宋体"/>
                <w:b w:val="0"/>
                <w:sz w:val="22"/>
              </w:rPr>
              <w:t>0.8024</w:t>
            </w:r>
          </w:p>
        </w:tc>
      </w:tr>
      <w:tr>
        <w:tc>
          <w:tcPr>
            <w:tcW w:type="dxa" w:w="2160"/>
          </w:tcPr>
          <w:p>
            <w:r>
              <w:rPr>
                <w:rFonts w:ascii="宋体" w:hAnsi="宋体" w:eastAsia="宋体"/>
                <w:b w:val="0"/>
                <w:sz w:val="22"/>
              </w:rPr>
              <w:t>蔗糖</w:t>
            </w:r>
          </w:p>
        </w:tc>
        <w:tc>
          <w:tcPr>
            <w:tcW w:type="dxa" w:w="2160"/>
          </w:tcPr>
          <w:p>
            <w:r>
              <w:rPr>
                <w:rFonts w:ascii="宋体" w:hAnsi="宋体" w:eastAsia="宋体"/>
                <w:b w:val="0"/>
                <w:sz w:val="22"/>
              </w:rPr>
              <w:t>随机森林回归</w:t>
            </w:r>
          </w:p>
        </w:tc>
        <w:tc>
          <w:tcPr>
            <w:tcW w:type="dxa" w:w="2160"/>
          </w:tcPr>
          <w:p>
            <w:r>
              <w:rPr>
                <w:rFonts w:ascii="宋体" w:hAnsi="宋体" w:eastAsia="宋体"/>
                <w:b w:val="0"/>
                <w:sz w:val="22"/>
              </w:rPr>
              <w:t>R210+S960双光谱</w:t>
            </w:r>
          </w:p>
        </w:tc>
        <w:tc>
          <w:tcPr>
            <w:tcW w:type="dxa" w:w="2160"/>
          </w:tcPr>
          <w:p>
            <w:r>
              <w:rPr>
                <w:rFonts w:ascii="宋体" w:hAnsi="宋体" w:eastAsia="宋体"/>
                <w:b w:val="0"/>
                <w:sz w:val="22"/>
              </w:rPr>
              <w:t>0.6773</w:t>
            </w:r>
          </w:p>
        </w:tc>
      </w:tr>
      <w:tr>
        <w:tc>
          <w:tcPr>
            <w:tcW w:type="dxa" w:w="2160"/>
          </w:tcPr>
          <w:p>
            <w:r>
              <w:rPr>
                <w:rFonts w:ascii="宋体" w:hAnsi="宋体" w:eastAsia="宋体"/>
                <w:b w:val="0"/>
                <w:sz w:val="22"/>
              </w:rPr>
              <w:t>E-1-丙烯-1,2,3-三羧酸</w:t>
            </w:r>
          </w:p>
        </w:tc>
        <w:tc>
          <w:tcPr>
            <w:tcW w:type="dxa" w:w="2160"/>
          </w:tcPr>
          <w:p>
            <w:r>
              <w:rPr>
                <w:rFonts w:ascii="宋体" w:hAnsi="宋体" w:eastAsia="宋体"/>
                <w:b w:val="0"/>
                <w:sz w:val="22"/>
              </w:rPr>
              <w:t>岭回归</w:t>
            </w:r>
          </w:p>
        </w:tc>
        <w:tc>
          <w:tcPr>
            <w:tcW w:type="dxa" w:w="2160"/>
          </w:tcPr>
          <w:p>
            <w:r>
              <w:rPr>
                <w:rFonts w:ascii="宋体" w:hAnsi="宋体" w:eastAsia="宋体"/>
                <w:b w:val="0"/>
                <w:sz w:val="22"/>
              </w:rPr>
              <w:t>S960单光谱</w:t>
            </w:r>
          </w:p>
        </w:tc>
        <w:tc>
          <w:tcPr>
            <w:tcW w:type="dxa" w:w="2160"/>
          </w:tcPr>
          <w:p>
            <w:r>
              <w:rPr>
                <w:rFonts w:ascii="宋体" w:hAnsi="宋体" w:eastAsia="宋体"/>
                <w:b w:val="0"/>
                <w:sz w:val="22"/>
              </w:rPr>
              <w:t>0.7943</w:t>
            </w:r>
          </w:p>
        </w:tc>
      </w:tr>
    </w:tbl>
    <w:p>
      <w:pPr>
        <w:pStyle w:val="Caption"/>
      </w:pPr>
      <w:r>
        <w:rPr>
          <w:rFonts w:ascii="宋体" w:hAnsi="宋体" w:eastAsia="宋体"/>
          <w:b w:val="0"/>
          <w:sz w:val="20"/>
        </w:rPr>
        <w:t>表5-3 液质成分预测代表性结果</w:t>
      </w:r>
    </w:p>
    <w:p>
      <w:pPr>
        <w:pStyle w:val="Heading2"/>
      </w:pPr>
      <w:r>
        <w:rPr>
          <w:rFonts w:ascii="黑体" w:hAnsi="黑体" w:eastAsia="黑体"/>
          <w:b/>
          <w:sz w:val="28"/>
        </w:rPr>
        <w:t>5.5 综合测试结论</w:t>
      </w:r>
    </w:p>
    <w:p>
      <w:pPr>
        <w:spacing w:line="360" w:lineRule="auto"/>
        <w:ind w:firstLine="504"/>
      </w:pPr>
      <w:r>
        <w:rPr>
          <w:rFonts w:ascii="宋体" w:hAnsi="宋体" w:eastAsia="宋体"/>
          <w:b w:val="0"/>
          <w:sz w:val="24"/>
        </w:rPr>
        <w:t>综合结果表明，项目已经围绕海南柑橘形成较完整的数据整理、智能分析与结果输出体系。产地溯源结果稳定且准确，品质评价在糖度等关键指标上具有较强参考价值，液质成分分析进一步拓展了对内部品质的刻画深度。三类结果共同支撑了作品从样本到报告的完整展示，也体现出多模态数据在特色果品检测中的应用潜力。实验验证了"双光谱融合+机器学习"技术路线的有效性，为后续拓展到更多品种、更多指标奠定了基础。</w:t>
      </w:r>
    </w:p>
    <w:p>
      <w:r>
        <w:br w:type="page"/>
      </w:r>
    </w:p>
    <w:p>
      <w:pPr>
        <w:pStyle w:val="Heading1"/>
      </w:pPr>
      <w:r>
        <w:rPr>
          <w:rFonts w:ascii="黑体" w:hAnsi="黑体" w:eastAsia="黑体"/>
          <w:b/>
          <w:sz w:val="32"/>
        </w:rPr>
        <w:t>第6章 特色创新与推广前景</w:t>
      </w:r>
    </w:p>
    <w:p>
      <w:pPr>
        <w:pStyle w:val="Heading2"/>
      </w:pPr>
      <w:r>
        <w:rPr>
          <w:rFonts w:ascii="黑体" w:hAnsi="黑体" w:eastAsia="黑体"/>
          <w:b/>
          <w:sz w:val="28"/>
        </w:rPr>
        <w:t>6.1 作品特色与创新点</w:t>
      </w:r>
    </w:p>
    <w:p>
      <w:pPr>
        <w:spacing w:line="360" w:lineRule="auto"/>
        <w:ind w:firstLine="504"/>
      </w:pPr>
      <w:r>
        <w:rPr>
          <w:rFonts w:ascii="宋体" w:hAnsi="宋体" w:eastAsia="宋体"/>
          <w:b w:val="0"/>
          <w:sz w:val="24"/>
        </w:rPr>
        <w:t>作品的创新首先体现在数据治理与技术验证的有序推进。针对多模态样本中存在的异常重复问题，项目没有盲目追求"模态越多越好"，而是先完成异常识别、波段统一与安全主表构建，再在同一数据底座上展开品质评价、产地判别和液质成分分析，使各项结果都建立在统一、清晰的数据依据之上。这种"先做实数据基础，再开展正式分析"的思路，确保了实验结果的可靠性与可复现性。</w:t>
      </w:r>
    </w:p>
    <w:p>
      <w:pPr>
        <w:spacing w:line="360" w:lineRule="auto"/>
        <w:ind w:firstLine="504"/>
      </w:pPr>
      <w:r>
        <w:rPr>
          <w:rFonts w:ascii="宋体" w:hAnsi="宋体" w:eastAsia="宋体"/>
          <w:b w:val="0"/>
          <w:sz w:val="24"/>
        </w:rPr>
        <w:t>作品的另一项创新在于结果组织方式的实用化设计。项目不是只停留在单项指标输出，而是将产地、品质、成分和样本信息组织为一体化展示内容与正式报告，使分析结果能够直接服务展示说明、品牌传播和批次留存。网页端可视化大屏、移动端快速查询、PDF正式报告三种输出形式相互配合，既满足比赛演示需求，也贴近实际使用场景，体现了技术创新与应用价值的有机结合。</w:t>
      </w:r>
    </w:p>
    <w:tbl>
      <w:tblPr>
        <w:tblStyle w:val="LightGrid-Accent1"/>
        <w:tblW w:type="auto" w:w="0"/>
        <w:tblLook w:firstColumn="1" w:firstRow="1" w:lastColumn="0" w:lastRow="0" w:noHBand="0" w:noVBand="1" w:val="04A0"/>
      </w:tblPr>
      <w:tblGrid>
        <w:gridCol w:w="4320"/>
        <w:gridCol w:w="4320"/>
      </w:tblGrid>
      <w:tr>
        <w:tc>
          <w:tcPr>
            <w:tcW w:type="dxa" w:w="4320"/>
          </w:tcPr>
          <w:p>
            <w:pPr>
              <w:jc w:val="center"/>
            </w:pPr>
            <w:r>
              <w:rPr>
                <w:rFonts w:ascii="黑体" w:hAnsi="黑体" w:eastAsia="黑体"/>
                <w:b/>
                <w:sz w:val="22"/>
              </w:rPr>
              <w:t>创新点</w:t>
            </w:r>
          </w:p>
        </w:tc>
        <w:tc>
          <w:tcPr>
            <w:tcW w:type="dxa" w:w="4320"/>
          </w:tcPr>
          <w:p>
            <w:pPr>
              <w:jc w:val="center"/>
            </w:pPr>
            <w:r>
              <w:rPr>
                <w:rFonts w:ascii="黑体" w:hAnsi="黑体" w:eastAsia="黑体"/>
                <w:b/>
                <w:sz w:val="22"/>
              </w:rPr>
              <w:t>具体体现</w:t>
            </w:r>
          </w:p>
        </w:tc>
      </w:tr>
      <w:tr>
        <w:tc>
          <w:tcPr>
            <w:tcW w:type="dxa" w:w="4320"/>
          </w:tcPr>
          <w:p>
            <w:r>
              <w:rPr>
                <w:rFonts w:ascii="宋体" w:hAnsi="宋体" w:eastAsia="宋体"/>
                <w:b w:val="0"/>
                <w:sz w:val="22"/>
              </w:rPr>
              <w:t>可信数据底座创新</w:t>
            </w:r>
          </w:p>
        </w:tc>
        <w:tc>
          <w:tcPr>
            <w:tcW w:type="dxa" w:w="4320"/>
          </w:tcPr>
          <w:p>
            <w:r>
              <w:rPr>
                <w:rFonts w:ascii="宋体" w:hAnsi="宋体" w:eastAsia="宋体"/>
                <w:b w:val="0"/>
                <w:sz w:val="22"/>
              </w:rPr>
              <w:t>完成异常样本识别、HSI剔除与安全主表重建，确保实验数据可靠</w:t>
            </w:r>
          </w:p>
        </w:tc>
      </w:tr>
      <w:tr>
        <w:tc>
          <w:tcPr>
            <w:tcW w:type="dxa" w:w="4320"/>
          </w:tcPr>
          <w:p>
            <w:r>
              <w:rPr>
                <w:rFonts w:ascii="宋体" w:hAnsi="宋体" w:eastAsia="宋体"/>
                <w:b w:val="0"/>
                <w:sz w:val="22"/>
              </w:rPr>
              <w:t>多维协同分析创新</w:t>
            </w:r>
          </w:p>
        </w:tc>
        <w:tc>
          <w:tcPr>
            <w:tcW w:type="dxa" w:w="4320"/>
          </w:tcPr>
          <w:p>
            <w:r>
              <w:rPr>
                <w:rFonts w:ascii="宋体" w:hAnsi="宋体" w:eastAsia="宋体"/>
                <w:b w:val="0"/>
                <w:sz w:val="22"/>
              </w:rPr>
              <w:t>以同一数据底座同时支撑品质评价、产地判别与成分解析</w:t>
            </w:r>
          </w:p>
        </w:tc>
      </w:tr>
      <w:tr>
        <w:tc>
          <w:tcPr>
            <w:tcW w:type="dxa" w:w="4320"/>
          </w:tcPr>
          <w:p>
            <w:r>
              <w:rPr>
                <w:rFonts w:ascii="宋体" w:hAnsi="宋体" w:eastAsia="宋体"/>
                <w:b w:val="0"/>
                <w:sz w:val="22"/>
              </w:rPr>
              <w:t>结果组织创新</w:t>
            </w:r>
          </w:p>
        </w:tc>
        <w:tc>
          <w:tcPr>
            <w:tcW w:type="dxa" w:w="4320"/>
          </w:tcPr>
          <w:p>
            <w:r>
              <w:rPr>
                <w:rFonts w:ascii="宋体" w:hAnsi="宋体" w:eastAsia="宋体"/>
                <w:b w:val="0"/>
                <w:sz w:val="22"/>
              </w:rPr>
              <w:t>将分析结果组织为页面展示、历史记录和正式报告</w:t>
            </w:r>
          </w:p>
        </w:tc>
      </w:tr>
      <w:tr>
        <w:tc>
          <w:tcPr>
            <w:tcW w:type="dxa" w:w="4320"/>
          </w:tcPr>
          <w:p>
            <w:r>
              <w:rPr>
                <w:rFonts w:ascii="宋体" w:hAnsi="宋体" w:eastAsia="宋体"/>
                <w:b w:val="0"/>
                <w:sz w:val="22"/>
              </w:rPr>
              <w:t>场景贯通创新</w:t>
            </w:r>
          </w:p>
        </w:tc>
        <w:tc>
          <w:tcPr>
            <w:tcW w:type="dxa" w:w="4320"/>
          </w:tcPr>
          <w:p>
            <w:r>
              <w:rPr>
                <w:rFonts w:ascii="宋体" w:hAnsi="宋体" w:eastAsia="宋体"/>
                <w:b w:val="0"/>
                <w:sz w:val="22"/>
              </w:rPr>
              <w:t>兼顾集中展示与移动使用，形成从采集到留存的完整流程</w:t>
            </w:r>
          </w:p>
        </w:tc>
      </w:tr>
    </w:tbl>
    <w:p>
      <w:pPr>
        <w:pStyle w:val="Caption"/>
      </w:pPr>
      <w:r>
        <w:rPr>
          <w:rFonts w:ascii="宋体" w:hAnsi="宋体" w:eastAsia="宋体"/>
          <w:b w:val="0"/>
          <w:sz w:val="20"/>
        </w:rPr>
        <w:t>表6-1 作品创新点概述</w:t>
      </w:r>
    </w:p>
    <w:p>
      <w:pPr>
        <w:pStyle w:val="Heading2"/>
      </w:pPr>
      <w:r>
        <w:rPr>
          <w:rFonts w:ascii="黑体" w:hAnsi="黑体" w:eastAsia="黑体"/>
          <w:b/>
          <w:sz w:val="28"/>
        </w:rPr>
        <w:t>6.2 应用推广前景</w:t>
      </w:r>
    </w:p>
    <w:p>
      <w:pPr>
        <w:spacing w:line="360" w:lineRule="auto"/>
        <w:ind w:firstLine="504"/>
      </w:pPr>
      <w:r>
        <w:rPr>
          <w:rFonts w:ascii="宋体" w:hAnsi="宋体" w:eastAsia="宋体"/>
          <w:b w:val="0"/>
          <w:sz w:val="24"/>
        </w:rPr>
        <w:t>项目面向海南特色果品数字化检测与品牌化建设，适用于品质分级、产地核验、品牌展示、教学演示等多类场景。以澄迈福橙和琼中绿橙为示范对象，作品已经展示出多模态数据在区域特色农产品识别中的实际作用：产地溯源准确率达100%，糖度预测R²达0.7051，可为果园、分选中心提供可靠的品控依据。</w:t>
      </w:r>
    </w:p>
    <w:p>
      <w:pPr>
        <w:spacing w:line="360" w:lineRule="auto"/>
        <w:ind w:firstLine="504"/>
      </w:pPr>
      <w:r>
        <w:rPr>
          <w:rFonts w:ascii="宋体" w:hAnsi="宋体" w:eastAsia="宋体"/>
          <w:b w:val="0"/>
          <w:sz w:val="24"/>
        </w:rPr>
        <w:t>后续技术可向三个方向拓展：一是品种拓展，从柑橘扩展到芒果、荔枝等其他热带水果；二是指标拓展，从当前的品质指标扩展到更多营养成分、功能性成分检测；三是场景拓展，从实验室检测扩展到田间便携式检测、生产线在线分选。通过参数优化与特征库扩充，系统可快速适配不同应用场景，为区域农业数字化、标准化和品牌化提供可复用的方法框架。</w:t>
      </w:r>
    </w:p>
    <w:p>
      <w:pPr>
        <w:pStyle w:val="Heading2"/>
      </w:pPr>
      <w:r>
        <w:rPr>
          <w:rFonts w:ascii="黑体" w:hAnsi="黑体" w:eastAsia="黑体"/>
          <w:b/>
          <w:sz w:val="28"/>
        </w:rPr>
        <w:t>6.3 总结</w:t>
      </w:r>
    </w:p>
    <w:p>
      <w:pPr>
        <w:spacing w:line="360" w:lineRule="auto"/>
        <w:ind w:firstLine="504"/>
      </w:pPr>
      <w:r>
        <w:rPr>
          <w:rFonts w:ascii="宋体" w:hAnsi="宋体" w:eastAsia="宋体"/>
          <w:b w:val="0"/>
          <w:sz w:val="24"/>
        </w:rPr>
        <w:t>橙源智鉴以海南柑橘为对象，将样本治理、多模态分析、品质评价、产地溯源与报告输出整合为一体。基于399个正式样本和1630维双光谱数据底座，作品在产地判别（准确率100%）、糖度预测（R²=0.7051）和液质成分分析（平均R²=0.6975）上取得了较为突出的结果，并形成了可展示、可查询、可留存的一套完整成果。项目不仅验证了多模态光谱融合技术在特色果品检测中的有效性，也为区域农产品品牌化、数字化提供了可参考的技术路径，体现了智能检测技术在实际应用中的价值。</w:t>
      </w:r>
    </w:p>
    <w:p>
      <w:r>
        <w:br w:type="page"/>
      </w:r>
    </w:p>
    <w:p>
      <w:pPr>
        <w:pStyle w:val="Heading1"/>
      </w:pPr>
      <w:r>
        <w:rPr>
          <w:rFonts w:ascii="黑体" w:hAnsi="黑体" w:eastAsia="黑体"/>
          <w:b/>
          <w:sz w:val="32"/>
        </w:rPr>
        <w:t>参考文献</w:t>
      </w:r>
    </w:p>
    <w:p>
      <w:pPr>
        <w:spacing w:line="288" w:lineRule="auto"/>
      </w:pPr>
      <w:r>
        <w:rPr>
          <w:rFonts w:ascii="宋体" w:hAnsi="宋体" w:eastAsia="宋体"/>
          <w:b w:val="0"/>
          <w:sz w:val="24"/>
        </w:rPr>
        <w:t>[1] 项目正式实验数据集. 双光谱安全主表[Z]. 2026.</w:t>
      </w:r>
    </w:p>
    <w:p>
      <w:pPr>
        <w:spacing w:line="288" w:lineRule="auto"/>
      </w:pPr>
      <w:r>
        <w:rPr>
          <w:rFonts w:ascii="宋体" w:hAnsi="宋体" w:eastAsia="宋体"/>
          <w:b w:val="0"/>
          <w:sz w:val="24"/>
        </w:rPr>
        <w:t>[2] 清洗结果/质检信息/汇总信息.json[EB/OL]. 2026.</w:t>
      </w:r>
    </w:p>
    <w:p>
      <w:pPr>
        <w:spacing w:line="288" w:lineRule="auto"/>
      </w:pPr>
      <w:r>
        <w:rPr>
          <w:rFonts w:ascii="宋体" w:hAnsi="宋体" w:eastAsia="宋体"/>
          <w:b w:val="0"/>
          <w:sz w:val="24"/>
        </w:rPr>
        <w:t>[3] 正式实验/划分方案/统一样本划分.csv[EB/OL]. 2026.</w:t>
      </w:r>
    </w:p>
    <w:p>
      <w:pPr>
        <w:spacing w:line="288" w:lineRule="auto"/>
      </w:pPr>
      <w:r>
        <w:rPr>
          <w:rFonts w:ascii="宋体" w:hAnsi="宋体" w:eastAsia="宋体"/>
          <w:b w:val="0"/>
          <w:sz w:val="24"/>
        </w:rPr>
        <w:t>[4] 正式实验/基线结果/任务1_品质预测/逐目标结果.csv[EB/OL]. 2026.</w:t>
      </w:r>
    </w:p>
    <w:p>
      <w:pPr>
        <w:spacing w:line="288" w:lineRule="auto"/>
      </w:pPr>
      <w:r>
        <w:rPr>
          <w:rFonts w:ascii="宋体" w:hAnsi="宋体" w:eastAsia="宋体"/>
          <w:b w:val="0"/>
          <w:sz w:val="24"/>
        </w:rPr>
        <w:t>[5] 正式实验/基线结果/任务2_产地溯源/模型汇总.csv[EB/OL]. 2026.</w:t>
      </w:r>
    </w:p>
    <w:p>
      <w:pPr>
        <w:spacing w:line="288" w:lineRule="auto"/>
      </w:pPr>
      <w:r>
        <w:rPr>
          <w:rFonts w:ascii="宋体" w:hAnsi="宋体" w:eastAsia="宋体"/>
          <w:b w:val="0"/>
          <w:sz w:val="24"/>
        </w:rPr>
        <w:t>[6] 正式实验/基线结果/任务3_液质成分预测/逐目标结果.csv[EB/OL]. 2026.</w:t>
      </w:r>
    </w:p>
    <w:p>
      <w:pPr>
        <w:spacing w:line="288" w:lineRule="auto"/>
      </w:pPr>
      <w:r>
        <w:rPr>
          <w:rFonts w:ascii="宋体" w:hAnsi="宋体" w:eastAsia="宋体"/>
          <w:b w:val="0"/>
          <w:sz w:val="24"/>
        </w:rPr>
        <w:t>[7] PEDREGOSA F, VAROQUAUX G, GRAMFORT A, et al. Scikit-learn: Machine Learning in Python[J]. Journal of Machine Learning Research, 2011, 12: 2825-2830.</w:t>
      </w:r>
    </w:p>
    <w:p>
      <w:pPr>
        <w:spacing w:line="288" w:lineRule="auto"/>
      </w:pPr>
      <w:r>
        <w:rPr>
          <w:rFonts w:ascii="宋体" w:hAnsi="宋体" w:eastAsia="宋体"/>
          <w:b w:val="0"/>
          <w:sz w:val="24"/>
        </w:rPr>
        <w:t>[8] CHEN T, GUESTRIN C. XGBoost: A Scalable Tree Boosting System[C]//Proceedings of the 22nd ACM SIGKDD International Conference on Knowledge Discovery and Data Mining. New York: ACM, 2016: 785-794.</w:t>
      </w:r>
    </w:p>
    <w:p>
      <w:pPr>
        <w:spacing w:line="288" w:lineRule="auto"/>
      </w:pPr>
      <w:r>
        <w:rPr>
          <w:rFonts w:ascii="宋体" w:hAnsi="宋体" w:eastAsia="宋体"/>
          <w:b w:val="0"/>
          <w:sz w:val="24"/>
        </w:rPr>
        <w:t>[9] 刘海学, 赵春江, 王纪华, 等. 基于近红外光谱的水果品质无损检测技术研究进展[J]. 农业工程学报, 2019, 35(2): 200-209.</w:t>
      </w:r>
    </w:p>
    <w:p>
      <w:pPr>
        <w:spacing w:line="288" w:lineRule="auto"/>
      </w:pPr>
      <w:r>
        <w:rPr>
          <w:rFonts w:ascii="宋体" w:hAnsi="宋体" w:eastAsia="宋体"/>
          <w:b w:val="0"/>
          <w:sz w:val="24"/>
        </w:rPr>
        <w:t>[10] 王拓, 赵杰文, 林影, 等. 基于高光谱成像技术的农产品产地溯源研究进展[J]. 食品科学, 2020, 41(19): 286-294.</w:t>
      </w:r>
    </w:p>
    <w:p>
      <w:pPr>
        <w:spacing w:line="288" w:lineRule="auto"/>
      </w:pPr>
      <w:r>
        <w:rPr>
          <w:rFonts w:ascii="宋体" w:hAnsi="宋体" w:eastAsia="宋体"/>
          <w:b w:val="0"/>
          <w:sz w:val="24"/>
        </w:rPr>
        <w:t>[11] 李想, 张小燕, 孙明. 光谱技术在果蔬品质检测中的应用研究综述[J]. 光谱学与光谱分析, 2021, 41(8): 2415-2423.</w:t>
      </w:r>
    </w:p>
    <w:p>
      <w:pPr>
        <w:spacing w:line="288" w:lineRule="auto"/>
      </w:pPr>
      <w:r>
        <w:rPr>
          <w:rFonts w:ascii="宋体" w:hAnsi="宋体" w:eastAsia="宋体"/>
          <w:b w:val="0"/>
          <w:sz w:val="24"/>
        </w:rPr>
        <w:t>[12] 国家市场监督管理总局. 食品安全国家标准 食品添加剂使用标准: GB 2760-2014[S]. 北京: 中国标准出版社, 2014.</w:t>
      </w:r>
    </w:p>
    <w:p>
      <w:pPr>
        <w:spacing w:line="288" w:lineRule="auto"/>
      </w:pPr>
      <w:r>
        <w:rPr>
          <w:rFonts w:ascii="宋体" w:hAnsi="宋体" w:eastAsia="宋体"/>
          <w:b w:val="0"/>
          <w:sz w:val="24"/>
        </w:rPr>
        <w:t>[13] 海南省人民政府. 海南自由贸易港建设总体方案[Z]. 2020.</w:t>
      </w:r>
    </w:p>
    <w:p>
      <w:pPr>
        <w:spacing w:line="288" w:lineRule="auto"/>
      </w:pPr>
      <w:r>
        <w:rPr>
          <w:rFonts w:ascii="宋体" w:hAnsi="宋体" w:eastAsia="宋体"/>
          <w:b w:val="0"/>
          <w:sz w:val="24"/>
        </w:rPr>
        <w:t>[14] 农业农村部. "十四五"全国农业绿色发展规划[Z]. 2021.</w:t>
      </w:r>
    </w:p>
    <w:p>
      <w:pPr>
        <w:spacing w:line="288" w:lineRule="auto"/>
      </w:pPr>
      <w:r>
        <w:rPr>
          <w:rFonts w:ascii="宋体" w:hAnsi="宋体" w:eastAsia="宋体"/>
          <w:b w:val="0"/>
          <w:sz w:val="24"/>
        </w:rPr>
        <w:t>[15] Next.js Documentation[EB/OL]. https://nextjs.org/docs,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