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宋体" w:hAnsi="宋体" w:eastAsia="宋体"/>
          <w:b/>
        </w:rPr>
        <w:t>中国大学生计算机设计大赛</w:t>
      </w:r>
    </w:p>
    <w:p>
      <w:pPr>
        <w:jc w:val="center"/>
      </w:pPr>
      <w:r>
        <w:rPr>
          <w:rFonts w:ascii="宋体" w:hAnsi="宋体" w:eastAsia="宋体"/>
        </w:rPr>
        <w:t>作品信息概要表（大数据实践赛草稿）</w:t>
      </w:r>
    </w:p>
    <w:p>
      <w:pPr>
        <w:jc w:val="center"/>
      </w:pPr>
      <w:r>
        <w:rPr>
          <w:rFonts w:ascii="宋体" w:hAnsi="宋体" w:eastAsia="宋体"/>
        </w:rPr>
        <w:t>基于现有“橙源智鉴”项目材料整理</w:t>
      </w:r>
    </w:p>
    <w:p>
      <w:pPr>
        <w:ind w:firstLine="480"/>
      </w:pPr>
      <w:r>
        <w:rPr>
          <w:rFonts w:ascii="宋体" w:hAnsi="宋体" w:eastAsia="宋体"/>
        </w:rPr>
        <w:t>作品编号：待确认</w:t>
      </w:r>
    </w:p>
    <w:p>
      <w:pPr>
        <w:ind w:firstLine="480"/>
      </w:pPr>
      <w:r>
        <w:rPr>
          <w:rFonts w:ascii="宋体" w:hAnsi="宋体" w:eastAsia="宋体"/>
        </w:rPr>
        <w:t>作品名称：橙源智鉴——基于多模态光谱融合与深度学习的海南柑橘品质智能检测与产地溯源平台</w:t>
      </w:r>
    </w:p>
    <w:p>
      <w:pPr>
        <w:ind w:firstLine="480"/>
      </w:pPr>
      <w:r>
        <w:rPr>
          <w:rFonts w:ascii="宋体" w:hAnsi="宋体" w:eastAsia="宋体"/>
        </w:rPr>
        <w:t>作品大类：大数据应用</w:t>
      </w:r>
    </w:p>
    <w:p>
      <w:pPr>
        <w:ind w:firstLine="480"/>
      </w:pPr>
      <w:r>
        <w:rPr>
          <w:rFonts w:ascii="宋体" w:hAnsi="宋体" w:eastAsia="宋体"/>
        </w:rPr>
        <w:t>作品小类：实践赛</w:t>
      </w:r>
    </w:p>
    <w:p>
      <w:pPr>
        <w:ind w:firstLine="480"/>
      </w:pPr>
      <w:r>
        <w:rPr>
          <w:rFonts w:ascii="宋体" w:hAnsi="宋体" w:eastAsia="宋体"/>
        </w:rPr>
        <w:t>作品简介（100字以内）：面向海南橙类品质分级与产地溯源场景，构建集光谱文件上传、智能分析、报告生成、历史归档于一体的平台系统，支持网站端与微信小程序协同使用。</w:t>
      </w:r>
    </w:p>
    <w:p>
      <w:pPr>
        <w:ind w:firstLine="480"/>
      </w:pPr>
      <w:r>
        <w:rPr>
          <w:rFonts w:ascii="宋体" w:hAnsi="宋体" w:eastAsia="宋体"/>
        </w:rPr>
        <w:t>创新描述（100字以内）：将高光谱分析、等级识别、产地判断与批次档案打通，形成“上传-分析-报告-回看”闭环；采用多端协同与模型服务分层设计，兼顾展示、试点与后续扩展。</w:t>
      </w:r>
    </w:p>
    <w:p>
      <w:pPr>
        <w:ind w:firstLine="480"/>
      </w:pPr>
      <w:r>
        <w:rPr>
          <w:rFonts w:ascii="宋体" w:hAnsi="宋体" w:eastAsia="宋体"/>
        </w:rPr>
        <w:t>特别说明（100字以内）：当前已完成网站端、小程序端、后端与模型服务原型联动；演示数据下可完成秒级分析流程，部分指标仍需随样本扩充继续验证。</w:t>
      </w:r>
    </w:p>
    <w:p>
      <w:pPr>
        <w:pStyle w:val="Heading1"/>
      </w:pPr>
      <w:r>
        <w:rPr>
          <w:rFonts w:ascii="宋体" w:hAnsi="宋体" w:eastAsia="宋体"/>
        </w:rPr>
        <w:t>作者及其分工比例（草稿）</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姓名</w:t>
            </w:r>
          </w:p>
        </w:tc>
        <w:tc>
          <w:tcPr>
            <w:tcW w:type="dxa" w:w="2880"/>
          </w:tcPr>
          <w:p>
            <w:r>
              <w:t>主要分工</w:t>
            </w:r>
          </w:p>
        </w:tc>
        <w:tc>
          <w:tcPr>
            <w:tcW w:type="dxa" w:w="2880"/>
          </w:tcPr>
          <w:p>
            <w:r>
              <w:t>工作量比例</w:t>
            </w:r>
          </w:p>
        </w:tc>
      </w:tr>
      <w:tr>
        <w:tc>
          <w:tcPr>
            <w:tcW w:type="dxa" w:w="2880"/>
          </w:tcPr>
          <w:p>
            <w:r>
              <w:t>彭斯逸</w:t>
            </w:r>
          </w:p>
        </w:tc>
        <w:tc>
          <w:tcPr>
            <w:tcW w:type="dxa" w:w="2880"/>
          </w:tcPr>
          <w:p>
            <w:r>
              <w:t>项目统筹、算法方案、后端联调、材料总审</w:t>
            </w:r>
          </w:p>
        </w:tc>
        <w:tc>
          <w:tcPr>
            <w:tcW w:type="dxa" w:w="2880"/>
          </w:tcPr>
          <w:p>
            <w:r>
              <w:t>20%</w:t>
            </w:r>
          </w:p>
        </w:tc>
      </w:tr>
      <w:tr>
        <w:tc>
          <w:tcPr>
            <w:tcW w:type="dxa" w:w="2880"/>
          </w:tcPr>
          <w:p>
            <w:r>
              <w:t>唐天赐</w:t>
            </w:r>
          </w:p>
        </w:tc>
        <w:tc>
          <w:tcPr>
            <w:tcW w:type="dxa" w:w="2880"/>
          </w:tcPr>
          <w:p>
            <w:r>
              <w:t>特征提取、指标建模、模型服务开发</w:t>
            </w:r>
          </w:p>
        </w:tc>
        <w:tc>
          <w:tcPr>
            <w:tcW w:type="dxa" w:w="2880"/>
          </w:tcPr>
          <w:p>
            <w:r>
              <w:t>16%</w:t>
            </w:r>
          </w:p>
        </w:tc>
      </w:tr>
      <w:tr>
        <w:tc>
          <w:tcPr>
            <w:tcW w:type="dxa" w:w="2880"/>
          </w:tcPr>
          <w:p>
            <w:r>
              <w:t>艾舜杰</w:t>
            </w:r>
          </w:p>
        </w:tc>
        <w:tc>
          <w:tcPr>
            <w:tcW w:type="dxa" w:w="2880"/>
          </w:tcPr>
          <w:p>
            <w:r>
              <w:t>前端功能集成、小程序交互实现</w:t>
            </w:r>
          </w:p>
        </w:tc>
        <w:tc>
          <w:tcPr>
            <w:tcW w:type="dxa" w:w="2880"/>
          </w:tcPr>
          <w:p>
            <w:r>
              <w:t>14%</w:t>
            </w:r>
          </w:p>
        </w:tc>
      </w:tr>
      <w:tr>
        <w:tc>
          <w:tcPr>
            <w:tcW w:type="dxa" w:w="2880"/>
          </w:tcPr>
          <w:p>
            <w:r>
              <w:t>李明蔚</w:t>
            </w:r>
          </w:p>
        </w:tc>
        <w:tc>
          <w:tcPr>
            <w:tcW w:type="dxa" w:w="2880"/>
          </w:tcPr>
          <w:p>
            <w:r>
              <w:t>全栈架构、可视化页面、结果展示</w:t>
            </w:r>
          </w:p>
        </w:tc>
        <w:tc>
          <w:tcPr>
            <w:tcW w:type="dxa" w:w="2880"/>
          </w:tcPr>
          <w:p>
            <w:r>
              <w:t>14%</w:t>
            </w:r>
          </w:p>
        </w:tc>
      </w:tr>
      <w:tr>
        <w:tc>
          <w:tcPr>
            <w:tcW w:type="dxa" w:w="2880"/>
          </w:tcPr>
          <w:p>
            <w:r>
              <w:t>游亚楠</w:t>
            </w:r>
          </w:p>
        </w:tc>
        <w:tc>
          <w:tcPr>
            <w:tcW w:type="dxa" w:w="2880"/>
          </w:tcPr>
          <w:p>
            <w:r>
              <w:t>市场调研、竞品分析、推广方案</w:t>
            </w:r>
          </w:p>
        </w:tc>
        <w:tc>
          <w:tcPr>
            <w:tcW w:type="dxa" w:w="2880"/>
          </w:tcPr>
          <w:p>
            <w:r>
              <w:t>12%</w:t>
            </w:r>
          </w:p>
        </w:tc>
      </w:tr>
      <w:tr>
        <w:tc>
          <w:tcPr>
            <w:tcW w:type="dxa" w:w="2880"/>
          </w:tcPr>
          <w:p>
            <w:r>
              <w:t>王喆睿</w:t>
            </w:r>
          </w:p>
        </w:tc>
        <w:tc>
          <w:tcPr>
            <w:tcW w:type="dxa" w:w="2880"/>
          </w:tcPr>
          <w:p>
            <w:r>
              <w:t>算法调优、逻辑验证、测试支持</w:t>
            </w:r>
          </w:p>
        </w:tc>
        <w:tc>
          <w:tcPr>
            <w:tcW w:type="dxa" w:w="2880"/>
          </w:tcPr>
          <w:p>
            <w:r>
              <w:t>10%</w:t>
            </w:r>
          </w:p>
        </w:tc>
      </w:tr>
      <w:tr>
        <w:tc>
          <w:tcPr>
            <w:tcW w:type="dxa" w:w="2880"/>
          </w:tcPr>
          <w:p>
            <w:r>
              <w:t>刘东森</w:t>
            </w:r>
          </w:p>
        </w:tc>
        <w:tc>
          <w:tcPr>
            <w:tcW w:type="dxa" w:w="2880"/>
          </w:tcPr>
          <w:p>
            <w:r>
              <w:t>行政协同、进度跟踪、文档整理</w:t>
            </w:r>
          </w:p>
        </w:tc>
        <w:tc>
          <w:tcPr>
            <w:tcW w:type="dxa" w:w="2880"/>
          </w:tcPr>
          <w:p>
            <w:r>
              <w:t>8%</w:t>
            </w:r>
          </w:p>
        </w:tc>
      </w:tr>
      <w:tr>
        <w:tc>
          <w:tcPr>
            <w:tcW w:type="dxa" w:w="2880"/>
          </w:tcPr>
          <w:p>
            <w:r>
              <w:t>饶李充</w:t>
            </w:r>
          </w:p>
        </w:tc>
        <w:tc>
          <w:tcPr>
            <w:tcW w:type="dxa" w:w="2880"/>
          </w:tcPr>
          <w:p>
            <w:r>
              <w:t>财务规划、成本整理、资源对接</w:t>
            </w:r>
          </w:p>
        </w:tc>
        <w:tc>
          <w:tcPr>
            <w:tcW w:type="dxa" w:w="2880"/>
          </w:tcPr>
          <w:p>
            <w:r>
              <w:t>6%</w:t>
            </w:r>
          </w:p>
        </w:tc>
      </w:tr>
    </w:tbl>
    <w:p>
      <w:pPr>
        <w:pStyle w:val="Heading1"/>
      </w:pPr>
      <w:r>
        <w:rPr>
          <w:rFonts w:ascii="宋体" w:hAnsi="宋体" w:eastAsia="宋体"/>
        </w:rPr>
        <w:t>指导教师作用（建议勾选项）</w:t>
      </w:r>
    </w:p>
    <w:p>
      <w:pPr>
        <w:ind w:firstLine="480"/>
      </w:pPr>
      <w:r>
        <w:rPr>
          <w:rFonts w:ascii="宋体" w:hAnsi="宋体" w:eastAsia="宋体"/>
        </w:rPr>
        <w:t>理论指导、技术方案、实验场地、组织协调、其他（商业化与财务指导）。建议对应教师：刘波、龙海侠、程明雄。</w:t>
      </w:r>
    </w:p>
    <w:p>
      <w:pPr>
        <w:pStyle w:val="Heading1"/>
      </w:pPr>
      <w:r>
        <w:rPr>
          <w:rFonts w:ascii="宋体" w:hAnsi="宋体" w:eastAsia="宋体"/>
        </w:rPr>
        <w:t>开发制作平台</w:t>
      </w:r>
    </w:p>
    <w:p>
      <w:pPr>
        <w:ind w:firstLine="480"/>
      </w:pPr>
      <w:r>
        <w:rPr>
          <w:rFonts w:ascii="宋体" w:hAnsi="宋体" w:eastAsia="宋体"/>
        </w:rPr>
        <w:t>Windows、Linux、微信开发者工具。</w:t>
      </w:r>
    </w:p>
    <w:p>
      <w:pPr>
        <w:pStyle w:val="Heading1"/>
      </w:pPr>
      <w:r>
        <w:rPr>
          <w:rFonts w:ascii="宋体" w:hAnsi="宋体" w:eastAsia="宋体"/>
        </w:rPr>
        <w:t>运行展示平台</w:t>
      </w:r>
    </w:p>
    <w:p>
      <w:pPr>
        <w:ind w:firstLine="480"/>
      </w:pPr>
      <w:r>
        <w:rPr>
          <w:rFonts w:ascii="宋体" w:hAnsi="宋体" w:eastAsia="宋体"/>
        </w:rPr>
        <w:t>Windows、Android、Web浏览器、微信小程序。</w:t>
      </w:r>
    </w:p>
    <w:p>
      <w:pPr>
        <w:pStyle w:val="Heading1"/>
      </w:pPr>
      <w:r>
        <w:rPr>
          <w:rFonts w:ascii="宋体" w:hAnsi="宋体" w:eastAsia="宋体"/>
        </w:rPr>
        <w:t>开发制作工具</w:t>
      </w:r>
    </w:p>
    <w:p>
      <w:pPr>
        <w:ind w:firstLine="480"/>
      </w:pPr>
      <w:r>
        <w:rPr>
          <w:rFonts w:ascii="宋体" w:hAnsi="宋体" w:eastAsia="宋体"/>
        </w:rPr>
        <w:t>Next.js 16、React 19、TypeScript、Tailwind CSS 4、ECharts、微信开发者工具、Node.js、Express、Prisma、Python、FastAPI。</w:t>
      </w:r>
    </w:p>
    <w:p>
      <w:pPr>
        <w:pStyle w:val="Heading1"/>
      </w:pPr>
      <w:r>
        <w:rPr>
          <w:rFonts w:ascii="宋体" w:hAnsi="宋体" w:eastAsia="宋体"/>
        </w:rPr>
        <w:t>参考作品（草稿，提交前建议补足具体作品名或文献名）</w:t>
      </w:r>
    </w:p>
    <w:p>
      <w:pPr>
        <w:ind w:firstLine="480"/>
      </w:pPr>
      <w:r>
        <w:rPr>
          <w:rFonts w:ascii="宋体" w:hAnsi="宋体" w:eastAsia="宋体"/>
        </w:rPr>
        <w:t>1. 基于高光谱技术的水果无损检测类研究与系统。</w:t>
      </w:r>
    </w:p>
    <w:p>
      <w:pPr>
        <w:ind w:firstLine="480"/>
      </w:pPr>
      <w:r>
        <w:rPr>
          <w:rFonts w:ascii="宋体" w:hAnsi="宋体" w:eastAsia="宋体"/>
        </w:rPr>
        <w:t>2. 农产品质量追溯与产地识别平台类作品。</w:t>
      </w:r>
    </w:p>
    <w:p>
      <w:pPr>
        <w:ind w:firstLine="480"/>
      </w:pPr>
      <w:r>
        <w:rPr>
          <w:rFonts w:ascii="宋体" w:hAnsi="宋体" w:eastAsia="宋体"/>
        </w:rPr>
        <w:t>3. 面向分选与验货场景的智能品控平台类应用。</w:t>
      </w:r>
    </w:p>
    <w:p>
      <w:pPr>
        <w:pStyle w:val="Heading1"/>
      </w:pPr>
      <w:r>
        <w:rPr>
          <w:rFonts w:ascii="宋体" w:hAnsi="宋体" w:eastAsia="宋体"/>
        </w:rPr>
        <w:t>提交内容建议</w:t>
      </w:r>
    </w:p>
    <w:p>
      <w:pPr>
        <w:ind w:firstLine="480"/>
      </w:pPr>
      <w:r>
        <w:rPr>
          <w:rFonts w:ascii="宋体" w:hAnsi="宋体" w:eastAsia="宋体"/>
        </w:rPr>
        <w:t>报告文档、演示视频、PPT、源代码、部署文件、数据集、模型、其他（安装配置说明、用户手册、典型测试样例）。</w:t>
      </w:r>
    </w:p>
    <w:p>
      <w:pPr>
        <w:pStyle w:val="Heading1"/>
      </w:pPr>
      <w:r>
        <w:rPr>
          <w:rFonts w:ascii="宋体" w:hAnsi="宋体" w:eastAsia="宋体"/>
        </w:rPr>
        <w:t>相关文件清单建议</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序号</w:t>
            </w:r>
          </w:p>
        </w:tc>
        <w:tc>
          <w:tcPr>
            <w:tcW w:type="dxa" w:w="2160"/>
          </w:tcPr>
          <w:p>
            <w:r>
              <w:t>文件与描述</w:t>
            </w:r>
          </w:p>
        </w:tc>
        <w:tc>
          <w:tcPr>
            <w:tcW w:type="dxa" w:w="2160"/>
          </w:tcPr>
          <w:p>
            <w:r>
              <w:t>文件状态</w:t>
            </w:r>
          </w:p>
        </w:tc>
        <w:tc>
          <w:tcPr>
            <w:tcW w:type="dxa" w:w="2160"/>
          </w:tcPr>
          <w:p>
            <w:r>
              <w:t>版权状态</w:t>
            </w:r>
          </w:p>
        </w:tc>
      </w:tr>
      <w:tr>
        <w:tc>
          <w:tcPr>
            <w:tcW w:type="dxa" w:w="2160"/>
          </w:tcPr>
          <w:p>
            <w:r>
              <w:t>1</w:t>
            </w:r>
          </w:p>
        </w:tc>
        <w:tc>
          <w:tcPr>
            <w:tcW w:type="dxa" w:w="2160"/>
          </w:tcPr>
          <w:p>
            <w:r>
              <w:t>作品信息概要表 PDF（本草稿整理后导出）</w:t>
            </w:r>
          </w:p>
        </w:tc>
        <w:tc>
          <w:tcPr>
            <w:tcW w:type="dxa" w:w="2160"/>
          </w:tcPr>
          <w:p>
            <w:r>
              <w:t>待导出</w:t>
            </w:r>
          </w:p>
        </w:tc>
        <w:tc>
          <w:tcPr>
            <w:tcW w:type="dxa" w:w="2160"/>
          </w:tcPr>
          <w:p>
            <w:r>
              <w:t>自制</w:t>
            </w:r>
          </w:p>
        </w:tc>
      </w:tr>
      <w:tr>
        <w:tc>
          <w:tcPr>
            <w:tcW w:type="dxa" w:w="2160"/>
          </w:tcPr>
          <w:p>
            <w:r>
              <w:t>2</w:t>
            </w:r>
          </w:p>
        </w:tc>
        <w:tc>
          <w:tcPr>
            <w:tcW w:type="dxa" w:w="2160"/>
          </w:tcPr>
          <w:p>
            <w:r>
              <w:t>作品报告 PDF（按04-3模板整理后导出）</w:t>
            </w:r>
          </w:p>
        </w:tc>
        <w:tc>
          <w:tcPr>
            <w:tcW w:type="dxa" w:w="2160"/>
          </w:tcPr>
          <w:p>
            <w:r>
              <w:t>待导出</w:t>
            </w:r>
          </w:p>
        </w:tc>
        <w:tc>
          <w:tcPr>
            <w:tcW w:type="dxa" w:w="2160"/>
          </w:tcPr>
          <w:p>
            <w:r>
              <w:t>自制</w:t>
            </w:r>
          </w:p>
        </w:tc>
      </w:tr>
      <w:tr>
        <w:tc>
          <w:tcPr>
            <w:tcW w:type="dxa" w:w="2160"/>
          </w:tcPr>
          <w:p>
            <w:r>
              <w:t>3</w:t>
            </w:r>
          </w:p>
        </w:tc>
        <w:tc>
          <w:tcPr>
            <w:tcW w:type="dxa" w:w="2160"/>
          </w:tcPr>
          <w:p>
            <w:r>
              <w:t>网站端源代码与部署说明（根目录 Web）</w:t>
            </w:r>
          </w:p>
        </w:tc>
        <w:tc>
          <w:tcPr>
            <w:tcW w:type="dxa" w:w="2160"/>
          </w:tcPr>
          <w:p>
            <w:r>
              <w:t>待整理</w:t>
            </w:r>
          </w:p>
        </w:tc>
        <w:tc>
          <w:tcPr>
            <w:tcW w:type="dxa" w:w="2160"/>
          </w:tcPr>
          <w:p>
            <w:r>
              <w:t>自制</w:t>
            </w:r>
          </w:p>
        </w:tc>
      </w:tr>
      <w:tr>
        <w:tc>
          <w:tcPr>
            <w:tcW w:type="dxa" w:w="2160"/>
          </w:tcPr>
          <w:p>
            <w:r>
              <w:t>4</w:t>
            </w:r>
          </w:p>
        </w:tc>
        <w:tc>
          <w:tcPr>
            <w:tcW w:type="dxa" w:w="2160"/>
          </w:tcPr>
          <w:p>
            <w:r>
              <w:t>小程序源代码与部署说明（xcx/miniprogram）</w:t>
            </w:r>
          </w:p>
        </w:tc>
        <w:tc>
          <w:tcPr>
            <w:tcW w:type="dxa" w:w="2160"/>
          </w:tcPr>
          <w:p>
            <w:r>
              <w:t>待整理</w:t>
            </w:r>
          </w:p>
        </w:tc>
        <w:tc>
          <w:tcPr>
            <w:tcW w:type="dxa" w:w="2160"/>
          </w:tcPr>
          <w:p>
            <w:r>
              <w:t>自制</w:t>
            </w:r>
          </w:p>
        </w:tc>
      </w:tr>
      <w:tr>
        <w:tc>
          <w:tcPr>
            <w:tcW w:type="dxa" w:w="2160"/>
          </w:tcPr>
          <w:p>
            <w:r>
              <w:t>5</w:t>
            </w:r>
          </w:p>
        </w:tc>
        <w:tc>
          <w:tcPr>
            <w:tcW w:type="dxa" w:w="2160"/>
          </w:tcPr>
          <w:p>
            <w:r>
              <w:t>后端服务源代码与接口说明（xcx/server）</w:t>
            </w:r>
          </w:p>
        </w:tc>
        <w:tc>
          <w:tcPr>
            <w:tcW w:type="dxa" w:w="2160"/>
          </w:tcPr>
          <w:p>
            <w:r>
              <w:t>待整理</w:t>
            </w:r>
          </w:p>
        </w:tc>
        <w:tc>
          <w:tcPr>
            <w:tcW w:type="dxa" w:w="2160"/>
          </w:tcPr>
          <w:p>
            <w:r>
              <w:t>自制</w:t>
            </w:r>
          </w:p>
        </w:tc>
      </w:tr>
      <w:tr>
        <w:tc>
          <w:tcPr>
            <w:tcW w:type="dxa" w:w="2160"/>
          </w:tcPr>
          <w:p>
            <w:r>
              <w:t>6</w:t>
            </w:r>
          </w:p>
        </w:tc>
        <w:tc>
          <w:tcPr>
            <w:tcW w:type="dxa" w:w="2160"/>
          </w:tcPr>
          <w:p>
            <w:r>
              <w:t>模型服务样例与接口说明（xcx/model-service）</w:t>
            </w:r>
          </w:p>
        </w:tc>
        <w:tc>
          <w:tcPr>
            <w:tcW w:type="dxa" w:w="2160"/>
          </w:tcPr>
          <w:p>
            <w:r>
              <w:t>待整理</w:t>
            </w:r>
          </w:p>
        </w:tc>
        <w:tc>
          <w:tcPr>
            <w:tcW w:type="dxa" w:w="2160"/>
          </w:tcPr>
          <w:p>
            <w:r>
              <w:t>自制</w:t>
            </w:r>
          </w:p>
        </w:tc>
      </w:tr>
      <w:tr>
        <w:tc>
          <w:tcPr>
            <w:tcW w:type="dxa" w:w="2160"/>
          </w:tcPr>
          <w:p>
            <w:r>
              <w:t>7</w:t>
            </w:r>
          </w:p>
        </w:tc>
        <w:tc>
          <w:tcPr>
            <w:tcW w:type="dxa" w:w="2160"/>
          </w:tcPr>
          <w:p>
            <w:r>
              <w:t>演示视频与答辩PPT</w:t>
            </w:r>
          </w:p>
        </w:tc>
        <w:tc>
          <w:tcPr>
            <w:tcW w:type="dxa" w:w="2160"/>
          </w:tcPr>
          <w:p>
            <w:r>
              <w:t>待补充</w:t>
            </w:r>
          </w:p>
        </w:tc>
        <w:tc>
          <w:tcPr>
            <w:tcW w:type="dxa" w:w="2160"/>
          </w:tcPr>
          <w:p>
            <w:r>
              <w:t>自制</w:t>
            </w:r>
          </w:p>
        </w:tc>
      </w:tr>
      <w:tr>
        <w:tc>
          <w:tcPr>
            <w:tcW w:type="dxa" w:w="2160"/>
          </w:tcPr>
          <w:p>
            <w:r>
              <w:t>8</w:t>
            </w:r>
          </w:p>
        </w:tc>
        <w:tc>
          <w:tcPr>
            <w:tcW w:type="dxa" w:w="2160"/>
          </w:tcPr>
          <w:p>
            <w:r>
              <w:t>典型样本、模型与数据说明（完整版链接待确认）</w:t>
            </w:r>
          </w:p>
        </w:tc>
        <w:tc>
          <w:tcPr>
            <w:tcW w:type="dxa" w:w="2160"/>
          </w:tcPr>
          <w:p>
            <w:r>
              <w:t>待补充</w:t>
            </w:r>
          </w:p>
        </w:tc>
        <w:tc>
          <w:tcPr>
            <w:tcW w:type="dxa" w:w="2160"/>
          </w:tcPr>
          <w:p>
            <w:r>
              <w:t>混合：自制/需标注来源</w:t>
            </w:r>
          </w:p>
        </w:tc>
      </w:tr>
    </w:tbl>
    <w:p>
      <w:pPr>
        <w:pStyle w:val="Heading1"/>
      </w:pPr>
      <w:r>
        <w:rPr>
          <w:rFonts w:ascii="宋体" w:hAnsi="宋体" w:eastAsia="宋体"/>
        </w:rPr>
        <w:t>待确认项</w:t>
      </w:r>
    </w:p>
    <w:p>
      <w:pPr>
        <w:ind w:firstLine="480"/>
      </w:pPr>
      <w:r>
        <w:rPr>
          <w:rFonts w:ascii="宋体" w:hAnsi="宋体" w:eastAsia="宋体"/>
        </w:rPr>
        <w:t>- 作品编号。</w:t>
      </w:r>
    </w:p>
    <w:p>
      <w:pPr>
        <w:ind w:firstLine="480"/>
      </w:pPr>
      <w:r>
        <w:rPr>
          <w:rFonts w:ascii="宋体" w:hAnsi="宋体" w:eastAsia="宋体"/>
        </w:rPr>
        <w:t>- 最终指导教师名单与勾选项。</w:t>
      </w:r>
    </w:p>
    <w:p>
      <w:pPr>
        <w:ind w:firstLine="480"/>
      </w:pPr>
      <w:r>
        <w:rPr>
          <w:rFonts w:ascii="宋体" w:hAnsi="宋体" w:eastAsia="宋体"/>
        </w:rPr>
        <w:t>- 演示视频、PPT、网盘链接和下载地址。</w:t>
      </w:r>
    </w:p>
    <w:p>
      <w:pPr>
        <w:ind w:firstLine="480"/>
      </w:pPr>
      <w:r>
        <w:rPr>
          <w:rFonts w:ascii="宋体" w:hAnsi="宋体" w:eastAsia="宋体"/>
        </w:rPr>
        <w:t>- 最终提交的典型数据样本、模型文件范围与版权说明。</w:t>
      </w:r>
    </w:p>
    <w:p>
      <w:pPr>
        <w:ind w:firstLine="480"/>
      </w:pPr>
      <w:r>
        <w:rPr>
          <w:rFonts w:ascii="宋体" w:hAnsi="宋体" w:eastAsia="宋体"/>
        </w:rPr>
        <w:t>- 参考作品前三项的正式名称。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eastAsia="宋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eastAsia="宋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宋体" w:hAnsi="宋体" w:eastAsia="宋体"/>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