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项目概述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并不是“缺少数据”，而是样本、检测结果和过程记录彼此分散，难以统一判断，也难以长期留存。围绕这一现实需求，项目选取澄迈福橙与琼中绿橙作为代表样本，构建集数据治理、品质检测、产地溯源、结果解读和报告输出于一体的分析系统，将一次检测形成的结果、依据和记录纳入同一流程。</w:t>
      </w:r>
    </w:p>
    <w:p>
      <w:pPr>
        <w:ind w:firstLine="480"/>
      </w:pPr>
      <w:r>
        <w:rPr>
          <w:rFonts w:ascii="宋体" w:hAnsi="宋体" w:eastAsia="宋体"/>
        </w:rPr>
        <w:t>项目以真实样本和统一实验流程为基础，面向果园、合作社、分选中心和品牌运营等场景提供数字化检测方案。系统以多模态光谱为主要输入，结合滴定法和液质数据建立标签体系，在同一套流程中完成样本接入、分析处理、结果展示、归档和报告生成，既突出检测能力，也强调实际使用效果。</w:t>
      </w:r>
    </w:p>
    <w:p>
      <w:pPr>
        <w:ind w:firstLine="480"/>
      </w:pPr>
      <w:r>
        <w:rPr>
          <w:rFonts w:ascii="宋体" w:hAnsi="宋体" w:eastAsia="宋体"/>
        </w:rPr>
        <w:t>选择澄迈福橙和琼中绿橙作为研究对象，一方面是因为二者具有较强的地域代表性和品牌辨识度，另一方面也因为它们在糖度、糖酸比、VC 等理化指标上具有一定差异，适合开展产地识别与品质分析的联合研究。项目以海南特色果品为切入点，围绕样本整理、智能分析、结果展示和报告输出展开整体设计。</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从使用场景看，系统既能服务实验环境下的系统研究，也能支持现场采样和移动端操作。分析结果不仅体现在页面上，还能整理为结构化记录、历史档案和 PDF 报告，为品控、宣传、验货和复核提供统一依据。</w:t>
      </w:r>
    </w:p>
    <w:p>
      <w:pPr>
        <w:ind w:firstLine="480"/>
      </w:pPr>
      <w:r>
        <w:rPr>
          <w:rFonts w:ascii="宋体" w:hAnsi="宋体" w:eastAsia="宋体"/>
        </w:rPr>
        <w:t>对于果园和合作社而言，系统可以帮助完成样本登记、批次区分和品质初筛；对于分选与验货环节而言，系统能够提供更加直观的品质指标和产地判断；对于品牌展示和科普教学而言，页面化结果与正式报告又能够承担说明和展示任务。不同使用场景下的样本信息、分析结果和输出材料保持统一口径。</w:t>
      </w:r>
    </w:p>
    <w:p>
      <w:pPr>
        <w:pStyle w:val="Heading2"/>
      </w:pPr>
      <w:r>
        <w:rPr>
          <w:rFonts w:ascii="宋体" w:hAnsi="宋体" w:eastAsia="宋体"/>
        </w:rPr>
        <w:t>1.3 系统组成与建设成果</w:t>
      </w:r>
    </w:p>
    <w:p>
      <w:pPr>
        <w:ind w:firstLine="480"/>
      </w:pPr>
      <w:r>
        <w:rPr>
          <w:rFonts w:ascii="宋体" w:hAnsi="宋体" w:eastAsia="宋体"/>
        </w:rPr>
        <w:t>当前项目已经形成网页展示端、移动应用端、分析支撑层和结果输出层相互配合的整体结构。网页端承担项目展示、数据总览、综合分析与历史回看，移动端面向现场采样、快速提交和结果查询，分析支撑层负责组织样本信息、分析请求与结果回传，结果输出层负责生成正式报告与留存记录。四部分围绕同一数据底座运行，保证样本信息、分析结果和展示内容前后一致。</w:t>
      </w:r>
    </w:p>
    <w:p>
      <w:pPr>
        <w:ind w:firstLine="480"/>
      </w:pPr>
      <w:r>
        <w:rPr>
          <w:rFonts w:ascii="宋体" w:hAnsi="宋体" w:eastAsia="宋体"/>
        </w:rPr>
        <w:t>截至 2026 年 4 月 10 日，本项目已完成 9 个网页主要页面、11 个移动端功能页面，并形成覆盖样本管理、分析处理、结果组织、报告生成等环节的 20 项核心服务能力。</w:t>
      </w:r>
    </w:p>
    <w:p>
      <w:pPr>
        <w:ind w:firstLine="480"/>
      </w:pPr>
      <w:r>
        <w:rPr>
          <w:rFonts w:ascii="宋体" w:hAnsi="宋体" w:eastAsia="宋体"/>
        </w:rPr>
        <w:t>表1-1 当前项目总体组成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网页展示端</w:t>
            </w:r>
          </w:p>
        </w:tc>
        <w:tc>
          <w:tcPr>
            <w:tcW w:type="dxa" w:w="2880"/>
          </w:tcPr>
          <w:p>
            <w:r>
              <w:t>项目展示、数据总览、结果回看</w:t>
            </w:r>
          </w:p>
        </w:tc>
        <w:tc>
          <w:tcPr>
            <w:tcW w:type="dxa" w:w="2880"/>
          </w:tcPr>
          <w:p>
            <w:r>
              <w:t>已完成 9 个主要页面</w:t>
            </w:r>
          </w:p>
        </w:tc>
      </w:tr>
      <w:tr>
        <w:tc>
          <w:tcPr>
            <w:tcW w:type="dxa" w:w="2880"/>
          </w:tcPr>
          <w:p>
            <w:r>
              <w:t>移动应用端</w:t>
            </w:r>
          </w:p>
        </w:tc>
        <w:tc>
          <w:tcPr>
            <w:tcW w:type="dxa" w:w="2880"/>
          </w:tcPr>
          <w:p>
            <w:r>
              <w:t>样本上传、分析提交、报告查看</w:t>
            </w:r>
          </w:p>
        </w:tc>
        <w:tc>
          <w:tcPr>
            <w:tcW w:type="dxa" w:w="2880"/>
          </w:tcPr>
          <w:p>
            <w:r>
              <w:t>已完成 11 个功能页面</w:t>
            </w:r>
          </w:p>
        </w:tc>
      </w:tr>
      <w:tr>
        <w:tc>
          <w:tcPr>
            <w:tcW w:type="dxa" w:w="2880"/>
          </w:tcPr>
          <w:p>
            <w:r>
              <w:t>分析支撑层</w:t>
            </w:r>
          </w:p>
        </w:tc>
        <w:tc>
          <w:tcPr>
            <w:tcW w:type="dxa" w:w="2880"/>
          </w:tcPr>
          <w:p>
            <w:r>
              <w:t>样本、文件、分析、结果等流程组织</w:t>
            </w:r>
          </w:p>
        </w:tc>
        <w:tc>
          <w:tcPr>
            <w:tcW w:type="dxa" w:w="2880"/>
          </w:tcPr>
          <w:p>
            <w:r>
              <w:t>已形成 20 项核心服务能力</w:t>
            </w:r>
          </w:p>
        </w:tc>
      </w:tr>
      <w:tr>
        <w:tc>
          <w:tcPr>
            <w:tcW w:type="dxa" w:w="2880"/>
          </w:tcPr>
          <w:p>
            <w:r>
              <w:t>成果输出层</w:t>
            </w:r>
          </w:p>
        </w:tc>
        <w:tc>
          <w:tcPr>
            <w:tcW w:type="dxa" w:w="2880"/>
          </w:tcPr>
          <w:p>
            <w:r>
              <w:t>中文结果整合、报告生成、历史留存</w:t>
            </w:r>
          </w:p>
        </w:tc>
        <w:tc>
          <w:tcPr>
            <w:tcW w:type="dxa" w:w="2880"/>
          </w:tcPr>
          <w:p>
            <w:r>
              <w:t>已支持规范报告导出与记录归档</w:t>
            </w:r>
          </w:p>
        </w:tc>
      </w:tr>
    </w:tbl>
    <w:p/>
    <w:p>
      <w:pPr>
        <w:pStyle w:val="Heading2"/>
      </w:pPr>
      <w:r>
        <w:rPr>
          <w:rFonts w:ascii="宋体" w:hAnsi="宋体" w:eastAsia="宋体"/>
        </w:rPr>
        <w:t>1.4 项目价值与总体定位</w:t>
      </w:r>
    </w:p>
    <w:p>
      <w:pPr>
        <w:ind w:firstLine="480"/>
      </w:pPr>
      <w:r>
        <w:rPr>
          <w:rFonts w:ascii="宋体" w:hAnsi="宋体" w:eastAsia="宋体"/>
        </w:rPr>
        <w:t>项目价值主要体现在三个层面：一是把分散在实验记录、光谱文件和化验结果中的信息整理到同一套样本体系中，提高检测结果的管理效率与说明能力；二是将样本分析、结果展示、档案留存和报告输出整合为统一流程，使检测结果能够直接服务验货、归档和说明场景；三是以海南特色柑橘为起点，为后续扩展到更多品种、更多指标和更多区域任务打下基础。</w:t>
      </w:r>
    </w:p>
    <w:p>
      <w:pPr>
        <w:ind w:firstLine="480"/>
      </w:pPr>
      <w:r>
        <w:rPr>
          <w:rFonts w:ascii="宋体" w:hAnsi="宋体" w:eastAsia="宋体"/>
        </w:rPr>
        <w:t>从项目定位看，橙源智鉴既是一项多模态数据分析实践，也是一项面向特色农产品场景的数字化应用探索。项目围绕“样本可靠、结果可信、展示清楚、材料可留存”四个方面展开组织，将数据整理、分析任务和结果输出贯穿在同一体系中。</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ind w:firstLine="480"/>
      </w:pPr>
      <w:r>
        <w:rPr>
          <w:rFonts w:ascii="宋体" w:hAnsi="宋体" w:eastAsia="宋体"/>
        </w:rPr>
        <w:t>具体到海南柑橘场景，传统检测方式往往更适合回答单点问题，例如糖度是否达标、酸度是否偏高，却难以同时兼顾产地识别、内部成分分析和结果留存等需求。因此，项目从一开始就将问题定义为“如何把检测、识别、说明和留存放进同一条流程中”，而不是单纯追求某一个指标的提升。</w:t>
      </w:r>
    </w:p>
    <w:p>
      <w:pPr>
        <w:ind w:firstLine="480"/>
      </w:pPr>
      <w:r>
        <w:rPr>
          <w:rFonts w:ascii="宋体" w:hAnsi="宋体" w:eastAsia="宋体"/>
        </w:rPr>
        <w:t>已有研究中，柑橘无损检测较常见的技术路线主要集中在三类：一类以理化检测和人工经验为主，适合小规模判定，但效率和标准化程度有限；一类以可见/近红外或高光谱数据结合化学计量学方法预测糖度、可溶性固形物等内部品质指标；另一类围绕产地鉴别、品种识别或来源追溯开展光谱建模。相关研究已经证明光谱技术在柑橘品质检测和产地识别中的可行性[11]-[14]，但大多聚焦于单一任务或单一数据模态，对于样本治理、结果组织和正式报告输出涉及较少。</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从原始资料构成看，项目数据覆盖滴定法化验值、液质成分、R210 光谱、S960 光谱和 HSI 光谱等多类文件。经过清洗与整理后，形成了滴定法指标表、液质平均值表、R210 光谱表、S960 共同波段对齐表以及安全版双光谱主表等多份中间结果和正式数据集，为后续三类任务共用同一数据底座提供了条件。</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ind w:firstLine="480"/>
      </w:pPr>
      <w:r>
        <w:rPr>
          <w:rFonts w:ascii="宋体" w:hAnsi="宋体" w:eastAsia="宋体"/>
        </w:rPr>
        <w:t>表2-2 原始数据与整理结果概况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数据类别</w:t>
            </w:r>
          </w:p>
        </w:tc>
        <w:tc>
          <w:tcPr>
            <w:tcW w:type="dxa" w:w="2880"/>
          </w:tcPr>
          <w:p>
            <w:r>
              <w:t>规模</w:t>
            </w:r>
          </w:p>
        </w:tc>
        <w:tc>
          <w:tcPr>
            <w:tcW w:type="dxa" w:w="2880"/>
          </w:tcPr>
          <w:p>
            <w:r>
              <w:t>说明</w:t>
            </w:r>
          </w:p>
        </w:tc>
      </w:tr>
      <w:tr>
        <w:tc>
          <w:tcPr>
            <w:tcW w:type="dxa" w:w="2880"/>
          </w:tcPr>
          <w:p>
            <w:r>
              <w:t>滴定法指标</w:t>
            </w:r>
          </w:p>
        </w:tc>
        <w:tc>
          <w:tcPr>
            <w:tcW w:type="dxa" w:w="2880"/>
          </w:tcPr>
          <w:p>
            <w:r>
              <w:t>399×7</w:t>
            </w:r>
          </w:p>
        </w:tc>
        <w:tc>
          <w:tcPr>
            <w:tcW w:type="dxa" w:w="2880"/>
          </w:tcPr>
          <w:p>
            <w:r>
              <w:t>4 项品质指标，作为品质评价标签来源</w:t>
            </w:r>
          </w:p>
        </w:tc>
      </w:tr>
      <w:tr>
        <w:tc>
          <w:tcPr>
            <w:tcW w:type="dxa" w:w="2880"/>
          </w:tcPr>
          <w:p>
            <w:r>
              <w:t>液质平均值</w:t>
            </w:r>
          </w:p>
        </w:tc>
        <w:tc>
          <w:tcPr>
            <w:tcW w:type="dxa" w:w="2880"/>
          </w:tcPr>
          <w:p>
            <w:r>
              <w:t>400×39</w:t>
            </w:r>
          </w:p>
        </w:tc>
        <w:tc>
          <w:tcPr>
            <w:tcW w:type="dxa" w:w="2880"/>
          </w:tcPr>
          <w:p>
            <w:r>
              <w:t>36 项液质成分，A/B 平行样求平均</w:t>
            </w:r>
          </w:p>
        </w:tc>
      </w:tr>
      <w:tr>
        <w:tc>
          <w:tcPr>
            <w:tcW w:type="dxa" w:w="2880"/>
          </w:tcPr>
          <w:p>
            <w:r>
              <w:t>R210 光谱</w:t>
            </w:r>
          </w:p>
        </w:tc>
        <w:tc>
          <w:tcPr>
            <w:tcW w:type="dxa" w:w="2880"/>
          </w:tcPr>
          <w:p>
            <w:r>
              <w:t>399×231</w:t>
            </w:r>
          </w:p>
        </w:tc>
        <w:tc>
          <w:tcPr>
            <w:tcW w:type="dxa" w:w="2880"/>
          </w:tcPr>
          <w:p>
            <w:r>
              <w:t>R210 光谱主表，包含 228 维特征</w:t>
            </w:r>
          </w:p>
        </w:tc>
      </w:tr>
      <w:tr>
        <w:tc>
          <w:tcPr>
            <w:tcW w:type="dxa" w:w="2880"/>
          </w:tcPr>
          <w:p>
            <w:r>
              <w:t>S960 共同波段对齐表</w:t>
            </w:r>
          </w:p>
        </w:tc>
        <w:tc>
          <w:tcPr>
            <w:tcW w:type="dxa" w:w="2880"/>
          </w:tcPr>
          <w:p>
            <w:r>
              <w:t>400×1405</w:t>
            </w:r>
          </w:p>
        </w:tc>
        <w:tc>
          <w:tcPr>
            <w:tcW w:type="dxa" w:w="2880"/>
          </w:tcPr>
          <w:p>
            <w:r>
              <w:t>两地产地统一到 1402 个共同波段</w:t>
            </w:r>
          </w:p>
        </w:tc>
      </w:tr>
      <w:tr>
        <w:tc>
          <w:tcPr>
            <w:tcW w:type="dxa" w:w="2880"/>
          </w:tcPr>
          <w:p>
            <w:r>
              <w:t>安全版双光谱主表</w:t>
            </w:r>
          </w:p>
        </w:tc>
        <w:tc>
          <w:tcPr>
            <w:tcW w:type="dxa" w:w="2880"/>
          </w:tcPr>
          <w:p>
            <w:r>
              <w:t>399×1673</w:t>
            </w:r>
          </w:p>
        </w:tc>
        <w:tc>
          <w:tcPr>
            <w:tcW w:type="dxa" w:w="2880"/>
          </w:tcPr>
          <w:p>
            <w:r>
              <w:t>正式实验唯一主表，已完全剔除 HSI</w:t>
            </w:r>
          </w:p>
        </w:tc>
      </w:tr>
    </w:tbl>
    <w:p/>
    <w:p>
      <w:pPr>
        <w:ind w:firstLine="480"/>
      </w:pPr>
      <w:r>
        <w:rPr>
          <w:rFonts w:ascii="宋体" w:hAnsi="宋体" w:eastAsia="宋体"/>
        </w:rPr>
        <w:t>表2-3 样本记录示例</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样本编号</w:t>
            </w:r>
          </w:p>
        </w:tc>
        <w:tc>
          <w:tcPr>
            <w:tcW w:type="dxa" w:w="1234"/>
          </w:tcPr>
          <w:p>
            <w:r>
              <w:t>产地</w:t>
            </w:r>
          </w:p>
        </w:tc>
        <w:tc>
          <w:tcPr>
            <w:tcW w:type="dxa" w:w="1234"/>
          </w:tcPr>
          <w:p>
            <w:r>
              <w:t>序号</w:t>
            </w:r>
          </w:p>
        </w:tc>
        <w:tc>
          <w:tcPr>
            <w:tcW w:type="dxa" w:w="1234"/>
          </w:tcPr>
          <w:p>
            <w:r>
              <w:t>糖度</w:t>
            </w:r>
          </w:p>
        </w:tc>
        <w:tc>
          <w:tcPr>
            <w:tcW w:type="dxa" w:w="1234"/>
          </w:tcPr>
          <w:p>
            <w:r>
              <w:t>酸度</w:t>
            </w:r>
          </w:p>
        </w:tc>
        <w:tc>
          <w:tcPr>
            <w:tcW w:type="dxa" w:w="1234"/>
          </w:tcPr>
          <w:p>
            <w:r>
              <w:t>糖酸比</w:t>
            </w:r>
          </w:p>
        </w:tc>
        <w:tc>
          <w:tcPr>
            <w:tcW w:type="dxa" w:w="1234"/>
          </w:tcPr>
          <w:p>
            <w:r>
              <w:t>VC</w:t>
            </w:r>
          </w:p>
        </w:tc>
      </w:tr>
      <w:tr>
        <w:tc>
          <w:tcPr>
            <w:tcW w:type="dxa" w:w="1234"/>
          </w:tcPr>
          <w:p>
            <w:r>
              <w:t>CM-1</w:t>
            </w:r>
          </w:p>
        </w:tc>
        <w:tc>
          <w:tcPr>
            <w:tcW w:type="dxa" w:w="1234"/>
          </w:tcPr>
          <w:p>
            <w:r>
              <w:t>CM</w:t>
            </w:r>
          </w:p>
        </w:tc>
        <w:tc>
          <w:tcPr>
            <w:tcW w:type="dxa" w:w="1234"/>
          </w:tcPr>
          <w:p>
            <w:r>
              <w:t>1</w:t>
            </w:r>
          </w:p>
        </w:tc>
        <w:tc>
          <w:tcPr>
            <w:tcW w:type="dxa" w:w="1234"/>
          </w:tcPr>
          <w:p>
            <w:r>
              <w:t>7.35</w:t>
            </w:r>
          </w:p>
        </w:tc>
        <w:tc>
          <w:tcPr>
            <w:tcW w:type="dxa" w:w="1234"/>
          </w:tcPr>
          <w:p>
            <w:r>
              <w:t>0.69</w:t>
            </w:r>
          </w:p>
        </w:tc>
        <w:tc>
          <w:tcPr>
            <w:tcW w:type="dxa" w:w="1234"/>
          </w:tcPr>
          <w:p>
            <w:r>
              <w:t>10.65</w:t>
            </w:r>
          </w:p>
        </w:tc>
        <w:tc>
          <w:tcPr>
            <w:tcW w:type="dxa" w:w="1234"/>
          </w:tcPr>
          <w:p>
            <w:r>
              <w:t>46.57</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表2-4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围绕上述问题，项目同步推进样本体系建设、多任务分析、数据治理、系统组织与结果输出，形成了从样本整理、智能分析到报告生成的完整流程。</w:t>
      </w:r>
    </w:p>
    <w:p>
      <w:pPr>
        <w:ind w:firstLine="480"/>
      </w:pPr>
      <w:r>
        <w:rPr>
          <w:rFonts w:ascii="宋体" w:hAnsi="宋体" w:eastAsia="宋体"/>
        </w:rPr>
        <w:t>这一突破点体现在两个方面：其一，先对数据做清理和约束，再开展正式分析，保证后续结果建立在可信样本之上；其二，不把产地识别、品质评价和成分分析割裂开来，而是让三条分析主线共享同一套样本基础和展示出口。</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本项目采用“数据底座、分析引擎、应用呈现”三部分相互衔接的设计。底层以统一整理后的双光谱样本主表为支撑，中层围绕品质评价、产地判别和成分解析组织分析模型，上层通过网页展示、移动应用和正式报告呈现分析结果。这样的组织方式使数据来源、分析过程和展示内容能够相互对应。</w:t>
      </w:r>
    </w:p>
    <w:p>
      <w:pPr>
        <w:ind w:firstLine="480"/>
      </w:pPr>
      <w:r>
        <w:rPr>
          <w:rFonts w:ascii="宋体" w:hAnsi="宋体" w:eastAsia="宋体"/>
        </w:rPr>
        <w:t>在这一结构下，数据治理成果可以直接进入多任务分析，多任务分析结果也可以直接进入展示与报告环节，从而把样本整理、模型分析和实际使用连接起来。</w:t>
      </w:r>
    </w:p>
    <w:p>
      <w:pPr>
        <w:ind w:firstLine="480"/>
      </w:pPr>
      <w:r>
        <w:rPr>
          <w:rFonts w:ascii="宋体" w:hAnsi="宋体" w:eastAsia="宋体"/>
        </w:rPr>
        <w:t>这种架构设计的意义在于，本项目能够同时照顾研究逻辑和展示逻辑。研究层面，它保证了样本来源、分析任务和结果指标之间关系清晰；展示层面，它又能把分析后的结论准确映射到页面、图表和报告中，避免出现“实验是一套话、展示又是另一套话”的割裂现象。</w:t>
      </w:r>
    </w:p>
    <w:p>
      <w:pPr>
        <w:ind w:firstLine="480"/>
      </w:pPr>
      <w:r>
        <w:rPr>
          <w:rFonts w:ascii="宋体" w:hAnsi="宋体" w:eastAsia="宋体"/>
        </w:rPr>
        <w:t>从技术链路上看，项目整体可以概括为“原始数据导入 - 清洗与对齐 - 安全主表构建 - 三类任务分析 - 页面展示与报告输出”。前半部分解决数据可用性问题，后半部分解决结果表达和材料留存问题，两部分在同一体系中顺次衔接。</w:t>
      </w:r>
    </w:p>
    <w:p>
      <w:pPr>
        <w:pStyle w:val="Heading2"/>
      </w:pPr>
      <w:r>
        <w:rPr>
          <w:rFonts w:ascii="宋体" w:hAnsi="宋体" w:eastAsia="宋体"/>
        </w:rPr>
        <w:t>3.2 多模态数据与建模路线</w:t>
      </w:r>
    </w:p>
    <w:p>
      <w:pPr>
        <w:ind w:firstLine="480"/>
      </w:pPr>
      <w:r>
        <w:rPr>
          <w:rFonts w:ascii="宋体" w:hAnsi="宋体" w:eastAsia="宋体"/>
        </w:rPr>
        <w:t>项目以 399 个正式样本构成的双光谱安全主表为分析核心，将 R210 与 S960 光谱信息同糖度、酸度、糖酸比、VC 等品质指标以及 36 项液质成分标签统一组织，形成支撑多任务分析的样本体系。围绕这一数据基础，本项目设置了品质评价、产地溯源和成分解析三条分析主线，使外部表型、产地信息与内部组分之间能够相互对应、相互印证。</w:t>
      </w:r>
    </w:p>
    <w:p>
      <w:pPr>
        <w:ind w:firstLine="480"/>
      </w:pPr>
      <w:r>
        <w:rPr>
          <w:rFonts w:ascii="宋体" w:hAnsi="宋体" w:eastAsia="宋体"/>
        </w:rPr>
        <w:t>在技术路线安排上，项目先完成单光谱与双光谱的对比分析，再引入预处理、降维和多模型组合进行优化，使实验过程和结果变化都更加清晰。</w:t>
      </w:r>
    </w:p>
    <w:p>
      <w:pPr>
        <w:ind w:firstLine="480"/>
      </w:pPr>
      <w:r>
        <w:rPr>
          <w:rFonts w:ascii="宋体" w:hAnsi="宋体" w:eastAsia="宋体"/>
        </w:rPr>
        <w:t>三条分析主线各有侧重。品质评价主要面向糖度、酸度、糖酸比和 VC 等指标；产地溯源强调不同产地样本在光谱空间中的区分能力；液质成分分析则进一步向内部品质延伸，通过多模态数据揭示果品内部成分差异。三者共同组成了从外部品质到内部成分、从表观判断到来源识别的分析框架。</w:t>
      </w:r>
    </w:p>
    <w:p>
      <w:pPr>
        <w:ind w:firstLine="480"/>
      </w:pPr>
      <w:r>
        <w:rPr>
          <w:rFonts w:ascii="宋体" w:hAnsi="宋体" w:eastAsia="宋体"/>
        </w:rPr>
        <w:t>在数据组织方式上，三类任务共享同一套样本编号、产地标记和划分方案，因此每个样本都可以在同一编号下对应到品质标签、成分标签和光谱特征。这样的组织方式既便于统一建模，也便于在页面和报告中把不同任务的结果整合到同一份样本说明中。</w:t>
      </w:r>
    </w:p>
    <w:p>
      <w:pPr>
        <w:pStyle w:val="Heading2"/>
      </w:pPr>
      <w:r>
        <w:rPr>
          <w:rFonts w:ascii="宋体" w:hAnsi="宋体" w:eastAsia="宋体"/>
        </w:rPr>
        <w:t>3.3 关键算法与优化策略</w:t>
      </w:r>
    </w:p>
    <w:p>
      <w:pPr>
        <w:ind w:firstLine="480"/>
      </w:pPr>
      <w:r>
        <w:rPr>
          <w:rFonts w:ascii="宋体" w:hAnsi="宋体" w:eastAsia="宋体"/>
        </w:rPr>
        <w:t>针对高维光谱数据易受散射、基线漂移和维度冗余影响的特点，项目采用 SNV 预处理、特征压缩与多模型组合相结合的方式提升分析效果。在液质成分预测中，优化后验证集平均 R² 提升至 0.7104，最佳测试集平均 R² 达到 0.6975，双光谱融合对内部成分差异表现出较强响应。</w:t>
      </w:r>
    </w:p>
    <w:p>
      <w:pPr>
        <w:ind w:firstLine="480"/>
      </w:pPr>
      <w:r>
        <w:rPr>
          <w:rFonts w:ascii="宋体" w:hAnsi="宋体" w:eastAsia="宋体"/>
        </w:rPr>
        <w:t>在品质评价任务中，糖度指标表现最为突出，最佳测试集 R² 达到 0.7051；在产地判别任务中，S960 单光谱条件下逻辑回归和线性 SVM 的准确率与 F1 值均达到 1.0000。三类结果相互补充，使本项目既能识别“来自哪里”，也能回答“品质如何”“内部成分怎样”。</w:t>
      </w:r>
    </w:p>
    <w:p>
      <w:pPr>
        <w:ind w:firstLine="480"/>
      </w:pPr>
      <w:r>
        <w:rPr>
          <w:rFonts w:ascii="宋体" w:hAnsi="宋体" w:eastAsia="宋体"/>
        </w:rPr>
        <w:t>从结果结构看，产地溯源对应来源判别，糖度预测对应品质判断，液质成分预测对应内部品质分析。三类任务在同一数据底座上展开，形成了层次分明的结果结构。</w:t>
      </w:r>
    </w:p>
    <w:p>
      <w:pPr>
        <w:ind w:firstLine="480"/>
      </w:pPr>
      <w:r>
        <w:rPr>
          <w:rFonts w:ascii="宋体" w:hAnsi="宋体" w:eastAsia="宋体"/>
        </w:rPr>
        <w:t>在模型选择上，分类任务优先采用逻辑回归、线性 SVM 和 LightGBM 等方法，兼顾高维光谱条件下的稳定性与可比性；回归任务则采用 Ridge、PLS、PCA 结合回归器以及 XGBoost 等方法，分别承担线性基线、降维回归和非线性拟合的作用。这样的模型组合既保留了传统化学计量学方法的稳定性，也引入了适合复杂成分响应的非线性方法。</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分析方向</w:t>
            </w:r>
          </w:p>
        </w:tc>
        <w:tc>
          <w:tcPr>
            <w:tcW w:type="dxa" w:w="2160"/>
          </w:tcPr>
          <w:p>
            <w:r>
              <w:t>数据输入</w:t>
            </w:r>
          </w:p>
        </w:tc>
        <w:tc>
          <w:tcPr>
            <w:tcW w:type="dxa" w:w="2160"/>
          </w:tcPr>
          <w:p>
            <w:r>
              <w:t>目标输出</w:t>
            </w:r>
          </w:p>
        </w:tc>
        <w:tc>
          <w:tcPr>
            <w:tcW w:type="dxa" w:w="2160"/>
          </w:tcPr>
          <w:p>
            <w:r>
              <w:t>主要方法</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分析流程与结果呈现</w:t>
      </w:r>
    </w:p>
    <w:p>
      <w:pPr>
        <w:ind w:firstLine="480"/>
      </w:pPr>
      <w:r>
        <w:rPr>
          <w:rFonts w:ascii="宋体" w:hAnsi="宋体" w:eastAsia="宋体"/>
        </w:rPr>
        <w:t>本项目按照“样本整理、光谱接入、智能分析、结果解读、报告生成、历史留存”的顺序组织整体流程。样本信息进入系统后，可结合光谱数据完成自动分析，随后形成产地判断、品质指标和重点成分的综合结果，并整理为页面展示内容和正式报告。这样的设计使分析结果不止停留在数值层面，而是能够直接转化为清晰、完整的展示材料。</w:t>
      </w:r>
    </w:p>
    <w:p>
      <w:pPr>
        <w:ind w:firstLine="480"/>
      </w:pPr>
      <w:r>
        <w:rPr>
          <w:rFonts w:ascii="宋体" w:hAnsi="宋体" w:eastAsia="宋体"/>
        </w:rPr>
        <w:t>这一流程按照样本基础、分析页面、综合结论、正式报告和历史留存依次展开，样本信息、分析结果和输出材料前后对应。</w:t>
      </w:r>
    </w:p>
    <w:p>
      <w:pPr>
        <w:pStyle w:val="Heading1"/>
      </w:pPr>
      <w:r>
        <w:rPr>
          <w:rFonts w:ascii="宋体" w:hAnsi="宋体" w:eastAsia="宋体"/>
        </w:rPr>
        <w:t>第4章 项目实现与展示</w:t>
      </w:r>
    </w:p>
    <w:p>
      <w:pPr>
        <w:pStyle w:val="Heading2"/>
      </w:pPr>
      <w:r>
        <w:rPr>
          <w:rFonts w:ascii="宋体" w:hAnsi="宋体" w:eastAsia="宋体"/>
        </w:rPr>
        <w:t>4.1 展示形态设计</w:t>
      </w:r>
    </w:p>
    <w:p>
      <w:pPr>
        <w:ind w:firstLine="480"/>
      </w:pPr>
      <w:r>
        <w:rPr>
          <w:rFonts w:ascii="宋体" w:hAnsi="宋体" w:eastAsia="宋体"/>
        </w:rPr>
        <w:t>本项目采用网页端与微信小程序双端配合的展示方式。网页端重点呈现项目概貌、数据总览、综合分析和历史结果；移动端面向样本录入、快速查询和结果回看。两类终端围绕同一套样本与分析结果组织内容，保证展示口径统一。</w:t>
      </w:r>
    </w:p>
    <w:p>
      <w:pPr>
        <w:ind w:firstLine="480"/>
      </w:pPr>
      <w:r>
        <w:rPr>
          <w:rFonts w:ascii="宋体" w:hAnsi="宋体" w:eastAsia="宋体"/>
        </w:rPr>
        <w:t>在界面布局上，本项目突出“结果可视、过程可查、结论可读”的表达方式。分析页负责单样本与对比分析，数据展示页突出样本规模、产地差异和关键指标分布，历史页承接报告回看与记录留存，使展示、查询与复核形成连贯闭环。</w:t>
      </w:r>
    </w:p>
    <w:p>
      <w:pPr>
        <w:ind w:firstLine="480"/>
      </w:pPr>
      <w:r>
        <w:rPr>
          <w:rFonts w:ascii="宋体" w:hAnsi="宋体" w:eastAsia="宋体"/>
        </w:rPr>
        <w:t>网页端负责集中展示项目目标、样本规模和核心结果，再展开分析页面、结果对比和历史记录；移动端则承担录入、查询和快速回看等操作入口。两种展示方式围绕同一套数据和结果组织。</w:t>
      </w:r>
    </w:p>
    <w:p>
      <w:pPr>
        <w:pStyle w:val="Heading2"/>
      </w:pPr>
      <w:r>
        <w:rPr>
          <w:rFonts w:ascii="宋体" w:hAnsi="宋体" w:eastAsia="宋体"/>
        </w:rPr>
        <w:t>4.2 核心功能组织</w:t>
      </w:r>
    </w:p>
    <w:p>
      <w:pPr>
        <w:ind w:firstLine="480"/>
      </w:pPr>
      <w:r>
        <w:rPr>
          <w:rFonts w:ascii="宋体" w:hAnsi="宋体" w:eastAsia="宋体"/>
        </w:rPr>
        <w:t>围绕样本采集、数据分析和结果输出三个环节，本项目形成了较完整的功能组织结构。系统能够完成样本信息管理、光谱文件接入、分析处理、结果详情展示、历史记录查询和报告导出等关键操作，并通过统一的数据组织方式保证各环节信息一致。</w:t>
      </w:r>
    </w:p>
    <w:p>
      <w:pPr>
        <w:ind w:firstLine="480"/>
      </w:pPr>
      <w:r>
        <w:rPr>
          <w:rFonts w:ascii="宋体" w:hAnsi="宋体" w:eastAsia="宋体"/>
        </w:rPr>
        <w:t>网页端、移动端与分析支撑层之间形成稳定配合：展示端负责信息呈现与分析提交，分析支撑层负责结果处理与回传，结果输出层负责整理与留存。</w:t>
      </w:r>
    </w:p>
    <w:p>
      <w:pPr>
        <w:ind w:firstLine="480"/>
      </w:pPr>
      <w:r>
        <w:rPr>
          <w:rFonts w:ascii="宋体" w:hAnsi="宋体" w:eastAsia="宋体"/>
        </w:rPr>
        <w:t>样本进入系统后，可以被识别、被分析、被展示，也可以被回查、被归档、被再次说明，形成从输入到输出的完整路径。</w:t>
      </w:r>
    </w:p>
    <w:p>
      <w:pPr>
        <w:ind w:firstLine="480"/>
      </w:pPr>
      <w:r>
        <w:rPr>
          <w:rFonts w:ascii="宋体" w:hAnsi="宋体" w:eastAsia="宋体"/>
        </w:rPr>
        <w:t>实现过程中，项目主要解决了三类问题：一是 HSI 模态存在跨产地重复，导致全模态融合表不能直接进入正式实验；二是 S960 在两地产地之间存在波段数量差异，需要完成共同波段对齐；三是分类结果、回归结果和成分结果来源不同，必须整理为统一的页面结构与报告结构。围绕这三类问题，项目分别通过异常样本剔除、安全主表重建、共同波段裁剪和统一结果模板完成处理。</w:t>
      </w:r>
    </w:p>
    <w:p>
      <w:pPr>
        <w:ind w:firstLine="480"/>
      </w:pPr>
      <w:r>
        <w:rPr>
          <w:rFonts w:ascii="宋体" w:hAnsi="宋体" w:eastAsia="宋体"/>
        </w:rPr>
        <w:t>表4-2 关键实现难点与处理方法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难点</w:t>
            </w:r>
          </w:p>
        </w:tc>
        <w:tc>
          <w:tcPr>
            <w:tcW w:type="dxa" w:w="2880"/>
          </w:tcPr>
          <w:p>
            <w:r>
              <w:t>表现</w:t>
            </w:r>
          </w:p>
        </w:tc>
        <w:tc>
          <w:tcPr>
            <w:tcW w:type="dxa" w:w="2880"/>
          </w:tcPr>
          <w:p>
            <w:r>
              <w:t>处理方法</w:t>
            </w:r>
          </w:p>
        </w:tc>
      </w:tr>
      <w:tr>
        <w:tc>
          <w:tcPr>
            <w:tcW w:type="dxa" w:w="2880"/>
          </w:tcPr>
          <w:p>
            <w:r>
              <w:t>可疑 HSI 模态</w:t>
            </w:r>
          </w:p>
        </w:tc>
        <w:tc>
          <w:tcPr>
            <w:tcW w:type="dxa" w:w="2880"/>
          </w:tcPr>
          <w:p>
            <w:r>
              <w:t>跨产地同编号样本完全重复</w:t>
            </w:r>
          </w:p>
        </w:tc>
        <w:tc>
          <w:tcPr>
            <w:tcW w:type="dxa" w:w="2880"/>
          </w:tcPr>
          <w:p>
            <w:r>
              <w:t>剔除 HSI，重建安全版双光谱主表</w:t>
            </w:r>
          </w:p>
        </w:tc>
      </w:tr>
      <w:tr>
        <w:tc>
          <w:tcPr>
            <w:tcW w:type="dxa" w:w="2880"/>
          </w:tcPr>
          <w:p>
            <w:r>
              <w:t>S960 波段不一致</w:t>
            </w:r>
          </w:p>
        </w:tc>
        <w:tc>
          <w:tcPr>
            <w:tcW w:type="dxa" w:w="2880"/>
          </w:tcPr>
          <w:p>
            <w:r>
              <w:t>CM 与 QZ 原始波段数不同</w:t>
            </w:r>
          </w:p>
        </w:tc>
        <w:tc>
          <w:tcPr>
            <w:tcW w:type="dxa" w:w="2880"/>
          </w:tcPr>
          <w:p>
            <w:r>
              <w:t>统一到 1402 个共同波段</w:t>
            </w:r>
          </w:p>
        </w:tc>
      </w:tr>
      <w:tr>
        <w:tc>
          <w:tcPr>
            <w:tcW w:type="dxa" w:w="2880"/>
          </w:tcPr>
          <w:p>
            <w:r>
              <w:t>多任务结果口径不一</w:t>
            </w:r>
          </w:p>
        </w:tc>
        <w:tc>
          <w:tcPr>
            <w:tcW w:type="dxa" w:w="2880"/>
          </w:tcPr>
          <w:p>
            <w:r>
              <w:t>分类、回归、成分结果格式不同</w:t>
            </w:r>
          </w:p>
        </w:tc>
        <w:tc>
          <w:tcPr>
            <w:tcW w:type="dxa" w:w="2880"/>
          </w:tcPr>
          <w:p>
            <w:r>
              <w:t>统一页面结构与报告模板</w:t>
            </w:r>
          </w:p>
        </w:tc>
      </w:tr>
      <w:tr>
        <w:tc>
          <w:tcPr>
            <w:tcW w:type="dxa" w:w="2880"/>
          </w:tcPr>
          <w:p>
            <w:r>
              <w:t>样本追溯链路不足</w:t>
            </w:r>
          </w:p>
        </w:tc>
        <w:tc>
          <w:tcPr>
            <w:tcW w:type="dxa" w:w="2880"/>
          </w:tcPr>
          <w:p>
            <w:r>
              <w:t>结果难以回查和留档</w:t>
            </w:r>
          </w:p>
        </w:tc>
        <w:tc>
          <w:tcPr>
            <w:tcW w:type="dxa" w:w="2880"/>
          </w:tcPr>
          <w:p>
            <w:r>
              <w:t>建立历史记录与报告归档机制</w:t>
            </w:r>
          </w:p>
        </w:tc>
      </w:tr>
    </w:tbl>
    <w:p/>
    <w:p>
      <w:pPr>
        <w:pStyle w:val="Heading2"/>
      </w:pPr>
      <w:r>
        <w:rPr>
          <w:rFonts w:ascii="宋体" w:hAnsi="宋体" w:eastAsia="宋体"/>
        </w:rPr>
        <w:t>4.3 报告生成与成果留存</w:t>
      </w:r>
    </w:p>
    <w:p>
      <w:pPr>
        <w:ind w:firstLine="480"/>
      </w:pPr>
      <w:r>
        <w:rPr>
          <w:rFonts w:ascii="宋体" w:hAnsi="宋体" w:eastAsia="宋体"/>
        </w:rPr>
        <w:t>分析完成后，系统能够围绕样本基本信息、产地判断、品质指标、重点成分和综合说明形成中文报告，并保留对应的历史记录，方便后续查询、比较和展示。</w:t>
      </w:r>
    </w:p>
    <w:p>
      <w:pPr>
        <w:ind w:firstLine="480"/>
      </w:pPr>
      <w:r>
        <w:rPr>
          <w:rFonts w:ascii="宋体" w:hAnsi="宋体" w:eastAsia="宋体"/>
        </w:rPr>
        <w:t>分析结果由离散数据整理为结构化材料，可用于展示、推广和样本复核等场景。</w:t>
      </w:r>
    </w:p>
    <w:p>
      <w:pPr>
        <w:ind w:firstLine="480"/>
      </w:pPr>
      <w:r>
        <w:rPr>
          <w:rFonts w:ascii="宋体" w:hAnsi="宋体" w:eastAsia="宋体"/>
        </w:rPr>
        <w:t>报告输出将分散在多个页面和多个指标中的信息重新整理为统一文本，可作为批次说明、样本留档和教学展示材料继续使用。</w:t>
      </w:r>
    </w:p>
    <w:p>
      <w:pPr>
        <w:pStyle w:val="Heading2"/>
      </w:pPr>
      <w:r>
        <w:rPr>
          <w:rFonts w:ascii="宋体" w:hAnsi="宋体" w:eastAsia="宋体"/>
        </w:rPr>
        <w:t>4.4 实现成果</w:t>
      </w:r>
    </w:p>
    <w:p>
      <w:pPr>
        <w:ind w:firstLine="480"/>
      </w:pPr>
      <w:r>
        <w:rPr>
          <w:rFonts w:ascii="宋体" w:hAnsi="宋体" w:eastAsia="宋体"/>
        </w:rPr>
        <w:t>截至 2026 年 4 月 10 日，本项目已经形成网页展示、移动应用、分析支撑和结果输出四个层面的实现成果。相关页面、服务能力和报告流程均已整理完成。</w:t>
      </w:r>
    </w:p>
    <w:p>
      <w:pPr>
        <w:ind w:firstLine="480"/>
      </w:pPr>
      <w:r>
        <w:rPr>
          <w:rFonts w:ascii="宋体" w:hAnsi="宋体" w:eastAsia="宋体"/>
        </w:rPr>
        <w:t>当前版本已完成展示骨架、数据基础和核心结果的整体组织，网页、移动端、分析流程和报告输出彼此衔接。</w:t>
      </w:r>
    </w:p>
    <w:p>
      <w:pPr>
        <w:ind w:firstLine="480"/>
      </w:pPr>
      <w:r>
        <w:rPr>
          <w:rFonts w:ascii="宋体" w:hAnsi="宋体" w:eastAsia="宋体"/>
        </w:rPr>
        <w:t>表4-1 项目实现成果概况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已实现内容</w:t>
            </w:r>
          </w:p>
        </w:tc>
        <w:tc>
          <w:tcPr>
            <w:tcW w:type="dxa" w:w="2880"/>
          </w:tcPr>
          <w:p>
            <w:r>
              <w:t>作用</w:t>
            </w:r>
          </w:p>
        </w:tc>
      </w:tr>
      <w:tr>
        <w:tc>
          <w:tcPr>
            <w:tcW w:type="dxa" w:w="2880"/>
          </w:tcPr>
          <w:p>
            <w:r>
              <w:t>网页展示</w:t>
            </w:r>
          </w:p>
        </w:tc>
        <w:tc>
          <w:tcPr>
            <w:tcW w:type="dxa" w:w="2880"/>
          </w:tcPr>
          <w:p>
            <w:r>
              <w:t>首页、分析页、数据大屏、历史页等 9 个主要页面</w:t>
            </w:r>
          </w:p>
        </w:tc>
        <w:tc>
          <w:tcPr>
            <w:tcW w:type="dxa" w:w="2880"/>
          </w:tcPr>
          <w:p>
            <w:r>
              <w:t>支撑综合展示与结果回看</w:t>
            </w:r>
          </w:p>
        </w:tc>
      </w:tr>
      <w:tr>
        <w:tc>
          <w:tcPr>
            <w:tcW w:type="dxa" w:w="2880"/>
          </w:tcPr>
          <w:p>
            <w:r>
              <w:t>移动应用</w:t>
            </w:r>
          </w:p>
        </w:tc>
        <w:tc>
          <w:tcPr>
            <w:tcW w:type="dxa" w:w="2880"/>
          </w:tcPr>
          <w:p>
            <w:r>
              <w:t>上传、查询、分析、报告等 11 个功能页面</w:t>
            </w:r>
          </w:p>
        </w:tc>
        <w:tc>
          <w:tcPr>
            <w:tcW w:type="dxa" w:w="2880"/>
          </w:tcPr>
          <w:p>
            <w:r>
              <w:t>支撑现场采样与移动操作</w:t>
            </w:r>
          </w:p>
        </w:tc>
      </w:tr>
      <w:tr>
        <w:tc>
          <w:tcPr>
            <w:tcW w:type="dxa" w:w="2880"/>
          </w:tcPr>
          <w:p>
            <w:r>
              <w:t>分析支撑</w:t>
            </w:r>
          </w:p>
        </w:tc>
        <w:tc>
          <w:tcPr>
            <w:tcW w:type="dxa" w:w="2880"/>
          </w:tcPr>
          <w:p>
            <w:r>
              <w:t>样本、文件、分析、结果等 20 项核心服务能力</w:t>
            </w:r>
          </w:p>
        </w:tc>
        <w:tc>
          <w:tcPr>
            <w:tcW w:type="dxa" w:w="2880"/>
          </w:tcPr>
          <w:p>
            <w:r>
              <w:t>支撑多任务处理与流程贯通</w:t>
            </w:r>
          </w:p>
        </w:tc>
      </w:tr>
      <w:tr>
        <w:tc>
          <w:tcPr>
            <w:tcW w:type="dxa" w:w="2880"/>
          </w:tcPr>
          <w:p>
            <w:r>
              <w:t>成果输出</w:t>
            </w:r>
          </w:p>
        </w:tc>
        <w:tc>
          <w:tcPr>
            <w:tcW w:type="dxa" w:w="2880"/>
          </w:tcPr>
          <w:p>
            <w:r>
              <w:t>中文报告、PDF 导出、历史记录留存</w:t>
            </w:r>
          </w:p>
        </w:tc>
        <w:tc>
          <w:tcPr>
            <w:tcW w:type="dxa" w:w="2880"/>
          </w:tcPr>
          <w:p>
            <w:r>
              <w:t>支撑正式表达与资料沉淀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实验部分全部基于统一整理后的正式双光谱主表，在同一划分条件下完成对比测试。训练集、验证集、测试集规模分别为 279、60、60；两类产地样本在验证集和测试集中保持均衡分布，从而保证分类与回归结果具有统一、可比的评估基础。整体实验按照“先建立对比基础，再逐步优化提升”的思路展开，能够清楚呈现结果差异与性能变化。</w:t>
      </w:r>
    </w:p>
    <w:p>
      <w:pPr>
        <w:ind w:firstLine="480"/>
      </w:pPr>
      <w:r>
        <w:rPr>
          <w:rFonts w:ascii="宋体" w:hAnsi="宋体" w:eastAsia="宋体"/>
        </w:rPr>
        <w:t>为了保证不同任务之间可以横向比较，项目在产地溯源、品质评价和液质成分分析三类实验中采用统一样本主表和统一划分方案。这样既避免了不同任务各自划分带来的口径差异，也保证了报告中的主要结果能够放在同一框架下解释，从而增强整体验证的连贯性。</w:t>
      </w:r>
    </w:p>
    <w:p>
      <w:pPr>
        <w:ind w:firstLine="480"/>
      </w:pPr>
      <w:r>
        <w:rPr>
          <w:rFonts w:ascii="宋体" w:hAnsi="宋体" w:eastAsia="宋体"/>
        </w:rPr>
        <w:t>实验过程整体按照“基线建立 - 单双光谱对比 - 预处理引入 - 参数优化 - 重点结果筛选”的顺序推进。基线结果主要用于确定各任务的可行性和主要特征方案，优化结果则用于观察在相同数据基础上是否存在进一步提升空间，其中液质成分预测任务表现出较明显的优化增益。</w:t>
      </w:r>
    </w:p>
    <w:p>
      <w:pPr>
        <w:pStyle w:val="Heading2"/>
      </w:pPr>
      <w:r>
        <w:rPr>
          <w:rFonts w:ascii="宋体" w:hAnsi="宋体" w:eastAsia="宋体"/>
        </w:rPr>
        <w:t>5.2 产地溯源结果分析</w:t>
      </w:r>
    </w:p>
    <w:p>
      <w:pPr>
        <w:ind w:firstLine="480"/>
      </w:pPr>
      <w:r>
        <w:rPr>
          <w:rFonts w:ascii="宋体" w:hAnsi="宋体" w:eastAsia="宋体"/>
        </w:rPr>
        <w:t>产地溯源是当前结果最稳定的任务。以 S960单光谱 为输入时，逻辑回归与线性 SVM 在验证集和测试集上的准确率、平衡准确率与 F1_macro 均达到 1.0000，表明两类产地样本在当前光谱空间中具有较高区分度，可为产地鉴别、品牌溯源和批次核验提供直接依据。</w:t>
      </w:r>
    </w:p>
    <w:p>
      <w:pPr>
        <w:ind w:firstLine="480"/>
      </w:pPr>
      <w:r>
        <w:rPr>
          <w:rFonts w:ascii="宋体" w:hAnsi="宋体" w:eastAsia="宋体"/>
        </w:rPr>
        <w:t>这一结果表明，在当前样本条件下，澄迈福橙与琼中绿橙已经能够在关键光谱特征上形成较清晰的产地差异，品牌溯源和批次核验由此获得直接的数据支撑。</w:t>
      </w:r>
    </w:p>
    <w:p>
      <w:pPr>
        <w:ind w:firstLine="480"/>
      </w:pPr>
      <w:r>
        <w:rPr>
          <w:rFonts w:ascii="宋体" w:hAnsi="宋体" w:eastAsia="宋体"/>
        </w:rPr>
        <w:t>从对比结果看，S960 单光谱已经能够达到非常高的区分效果，而 R210+S960 双光谱同样保持较高准确率。这说明产地识别任务中，S960 对产地差异的表征已经较为充分；双光谱路线的意义则更多体现在为品质预测和成分分析提供统一的数据底座。</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品质预测部分使本项目从“产地识别”进一步延伸到“品质判断”。其中糖度与消费者感知和果品分级联系紧密，是品质分析中的核心指标。</w:t>
      </w:r>
    </w:p>
    <w:p>
      <w:pPr>
        <w:ind w:firstLine="480"/>
      </w:pPr>
      <w:r>
        <w:rPr>
          <w:rFonts w:ascii="宋体" w:hAnsi="宋体" w:eastAsia="宋体"/>
        </w:rPr>
        <w:t>与糖度相比，VC、糖酸比和酸度等指标的预测效果相对温和，更适合与产地信息、样本批次和重点成分结果结合起来进行综合解读。这样的结果结构也符合实际使用过程中的常见需求，即以糖度作为核心品质指标，再结合其他理化信息完善样本画像。</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液质成分预测是多模态数据分析的重要部分。基线实验中，双光谱融合岭回归模型已取得验证集平均 R²=0.6811、测试集平均 R²=0.6620。进一步引入 SNV 预处理和参数搜索后，液质成分任务的最佳验证集平均 R² 提升至 0.7104，最佳测试集平均 R² 达到 0.6975。</w:t>
      </w:r>
    </w:p>
    <w:p>
      <w:pPr>
        <w:ind w:firstLine="480"/>
      </w:pPr>
      <w:r>
        <w:rPr>
          <w:rFonts w:ascii="宋体" w:hAnsi="宋体" w:eastAsia="宋体"/>
        </w:rPr>
        <w:t>在重点成分上，异柠檬酸、莽草酸等指标表现尤为突出：异柠檬酸测试集最佳 R² 达到 0.8225，莽草酸达到 0.8024，蔗糖达到 0.6773。这表明系统在内部组分识别与表达方面已经具备较好的分析基础。</w:t>
      </w:r>
    </w:p>
    <w:p>
      <w:pPr>
        <w:ind w:firstLine="480"/>
      </w:pPr>
      <w:r>
        <w:rPr>
          <w:rFonts w:ascii="宋体" w:hAnsi="宋体" w:eastAsia="宋体"/>
        </w:rPr>
        <w:t>液质成分预测将分析范围进一步延伸到内部品质层面，系统对内部成分变化表现出响应能力。</w:t>
      </w:r>
    </w:p>
    <w:p>
      <w:pPr>
        <w:ind w:firstLine="480"/>
      </w:pPr>
      <w:r>
        <w:rPr>
          <w:rFonts w:ascii="宋体" w:hAnsi="宋体" w:eastAsia="宋体"/>
        </w:rPr>
        <w:t>从优化幅度看，液质成分任务的验证集平均 R² 相比基线提升了 0.0294，测试集平均 R² 相比基线提升了 0.0355。这表明预处理和参数优化不仅改善了局部指标，也对整体成分任务的平均表现带来了稳定增益。</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结果表明，项目已经围绕海南柑橘形成较完整的数据整理、智能分析与结果输出体系。产地溯源结果稳定，品质评价在糖度等关键指标上具有较强参考价值，液质成分分析进一步拓展了对内部品质的刻画深度。三类结果共同支撑了本项目从样本到报告的完整展示，也体现出多模态数据在特色果品检测中的应用潜力。</w:t>
      </w:r>
    </w:p>
    <w:p>
      <w:pPr>
        <w:ind w:firstLine="480"/>
      </w:pPr>
      <w:r>
        <w:rPr>
          <w:rFonts w:ascii="宋体" w:hAnsi="宋体" w:eastAsia="宋体"/>
        </w:rPr>
        <w:t>从结果结构上看，本项目形成了产地溯源、糖度预测和液质成分分析三层结果，相互衔接、彼此支撑。</w:t>
      </w:r>
    </w:p>
    <w:p>
      <w:pPr>
        <w:ind w:firstLine="480"/>
      </w:pPr>
      <w:r>
        <w:rPr>
          <w:rFonts w:ascii="宋体" w:hAnsi="宋体" w:eastAsia="宋体"/>
        </w:rPr>
        <w:t>表5-4 主要结果与应用含义归纳</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任务</w:t>
            </w:r>
          </w:p>
        </w:tc>
        <w:tc>
          <w:tcPr>
            <w:tcW w:type="dxa" w:w="2880"/>
          </w:tcPr>
          <w:p>
            <w:r>
              <w:t>代表结果</w:t>
            </w:r>
          </w:p>
        </w:tc>
        <w:tc>
          <w:tcPr>
            <w:tcW w:type="dxa" w:w="2880"/>
          </w:tcPr>
          <w:p>
            <w:r>
              <w:t>对应含义</w:t>
            </w:r>
          </w:p>
        </w:tc>
      </w:tr>
      <w:tr>
        <w:tc>
          <w:tcPr>
            <w:tcW w:type="dxa" w:w="2880"/>
          </w:tcPr>
          <w:p>
            <w:r>
              <w:t>产地溯源</w:t>
            </w:r>
          </w:p>
        </w:tc>
        <w:tc>
          <w:tcPr>
            <w:tcW w:type="dxa" w:w="2880"/>
          </w:tcPr>
          <w:p>
            <w:r>
              <w:t>S960 单光谱逻辑回归/线性SVM 准确率 1.0000</w:t>
            </w:r>
          </w:p>
        </w:tc>
        <w:tc>
          <w:tcPr>
            <w:tcW w:type="dxa" w:w="2880"/>
          </w:tcPr>
          <w:p>
            <w:r>
              <w:t>可支撑产地识别、品牌溯源和批次核验</w:t>
            </w:r>
          </w:p>
        </w:tc>
      </w:tr>
      <w:tr>
        <w:tc>
          <w:tcPr>
            <w:tcW w:type="dxa" w:w="2880"/>
          </w:tcPr>
          <w:p>
            <w:r>
              <w:t>品质预测</w:t>
            </w:r>
          </w:p>
        </w:tc>
        <w:tc>
          <w:tcPr>
            <w:tcW w:type="dxa" w:w="2880"/>
          </w:tcPr>
          <w:p>
            <w:r>
              <w:t>糖度预测测试集 R² 0.7051</w:t>
            </w:r>
          </w:p>
        </w:tc>
        <w:tc>
          <w:tcPr>
            <w:tcW w:type="dxa" w:w="2880"/>
          </w:tcPr>
          <w:p>
            <w:r>
              <w:t>可支撑果品分级与品质判断</w:t>
            </w:r>
          </w:p>
        </w:tc>
      </w:tr>
      <w:tr>
        <w:tc>
          <w:tcPr>
            <w:tcW w:type="dxa" w:w="2880"/>
          </w:tcPr>
          <w:p>
            <w:r>
              <w:t>液质成分预测</w:t>
            </w:r>
          </w:p>
        </w:tc>
        <w:tc>
          <w:tcPr>
            <w:tcW w:type="dxa" w:w="2880"/>
          </w:tcPr>
          <w:p>
            <w:r>
              <w:t>异柠檬酸 R² 0.8225，莽草酸 R² 0.8024</w:t>
            </w:r>
          </w:p>
        </w:tc>
        <w:tc>
          <w:tcPr>
            <w:tcW w:type="dxa" w:w="2880"/>
          </w:tcPr>
          <w:p>
            <w:r>
              <w:t>可支撑内部品质分析与重点成分表达</w:t>
            </w:r>
          </w:p>
        </w:tc>
      </w:tr>
    </w:tbl>
    <w:p/>
    <w:p>
      <w:pPr>
        <w:pStyle w:val="Heading1"/>
      </w:pPr>
      <w:r>
        <w:rPr>
          <w:rFonts w:ascii="宋体" w:hAnsi="宋体" w:eastAsia="宋体"/>
        </w:rPr>
        <w:t>第6章 特色创新与推广前景</w:t>
      </w:r>
    </w:p>
    <w:p>
      <w:pPr>
        <w:pStyle w:val="Heading2"/>
      </w:pPr>
      <w:r>
        <w:rPr>
          <w:rFonts w:ascii="宋体" w:hAnsi="宋体" w:eastAsia="宋体"/>
        </w:rPr>
        <w:t>6.1 项目特色与创新点</w:t>
      </w:r>
    </w:p>
    <w:p>
      <w:pPr>
        <w:ind w:firstLine="480"/>
      </w:pPr>
      <w:r>
        <w:rPr>
          <w:rFonts w:ascii="宋体" w:hAnsi="宋体" w:eastAsia="宋体"/>
        </w:rPr>
        <w:t>本项目的创新首先体现在先把数据基础做实，再开展正式分析。针对多模态样本中存在的异常重复问题，项目先完成异常识别、波段统一与安全主表构建，再在同一数据底座上展开品质评价、产地判别和液质成分分析，使各项结果都建立在统一、清晰的数据依据之上。</w:t>
      </w:r>
    </w:p>
    <w:p>
      <w:pPr>
        <w:ind w:firstLine="480"/>
      </w:pPr>
      <w:r>
        <w:rPr>
          <w:rFonts w:ascii="宋体" w:hAnsi="宋体" w:eastAsia="宋体"/>
        </w:rPr>
        <w:t>本项目的另一项创新，在于把分析结果整理为一体化展示内容与正式报告。产地、品质、成分和样本信息在同一套输出材料中统一组织，可直接用于展示说明、品牌传播和批次留存。</w:t>
      </w:r>
    </w:p>
    <w:p>
      <w:pPr>
        <w:ind w:firstLine="480"/>
      </w:pPr>
      <w:r>
        <w:rPr>
          <w:rFonts w:ascii="宋体" w:hAnsi="宋体" w:eastAsia="宋体"/>
        </w:rPr>
        <w:t>此外，本项目还体现在多任务协同上的完整性。三类分析任务并不是各自孤立存在，而是共用同一套样本基础、同一套展示逻辑和同一套结果出口，使整套分析链路围绕同一个主题集中展开。</w:t>
      </w:r>
    </w:p>
    <w:p>
      <w:pPr>
        <w:ind w:firstLine="480"/>
      </w:pPr>
      <w:r>
        <w:rPr>
          <w:rFonts w:ascii="宋体" w:hAnsi="宋体" w:eastAsia="宋体"/>
        </w:rPr>
        <w:t>表6-1 项目创新点概述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可信数据底座创新</w:t>
            </w:r>
          </w:p>
        </w:tc>
        <w:tc>
          <w:tcPr>
            <w:tcW w:type="dxa" w:w="4320"/>
          </w:tcPr>
          <w:p>
            <w:r>
              <w:t>完成异常样本识别、HSI 剔除与安全主表重建</w:t>
            </w:r>
          </w:p>
        </w:tc>
      </w:tr>
      <w:tr>
        <w:tc>
          <w:tcPr>
            <w:tcW w:type="dxa" w:w="4320"/>
          </w:tcPr>
          <w:p>
            <w:r>
              <w:t>多维协同分析创新</w:t>
            </w:r>
          </w:p>
        </w:tc>
        <w:tc>
          <w:tcPr>
            <w:tcW w:type="dxa" w:w="4320"/>
          </w:tcPr>
          <w:p>
            <w:r>
              <w:t>以同一数据底座同时支撑品质评价、产地判别与成分解析</w:t>
            </w:r>
          </w:p>
        </w:tc>
      </w:tr>
      <w:tr>
        <w:tc>
          <w:tcPr>
            <w:tcW w:type="dxa" w:w="4320"/>
          </w:tcPr>
          <w:p>
            <w:r>
              <w:t>结果组织创新</w:t>
            </w:r>
          </w:p>
        </w:tc>
        <w:tc>
          <w:tcPr>
            <w:tcW w:type="dxa" w:w="4320"/>
          </w:tcPr>
          <w:p>
            <w:r>
              <w:t>将分析结果组织为页面展示、历史记录和正式报告</w:t>
            </w:r>
          </w:p>
        </w:tc>
      </w:tr>
      <w:tr>
        <w:tc>
          <w:tcPr>
            <w:tcW w:type="dxa" w:w="4320"/>
          </w:tcPr>
          <w:p>
            <w:r>
              <w:t>场景贯通创新</w:t>
            </w:r>
          </w:p>
        </w:tc>
        <w:tc>
          <w:tcPr>
            <w:tcW w:type="dxa" w:w="4320"/>
          </w:tcPr>
          <w:p>
            <w:r>
              <w:t>兼顾集中展示与移动使用，形成从采集到留存的完整流程</w:t>
            </w:r>
          </w:p>
        </w:tc>
      </w:tr>
    </w:tbl>
    <w:p/>
    <w:p>
      <w:pPr>
        <w:pStyle w:val="Heading2"/>
      </w:pPr>
      <w:r>
        <w:rPr>
          <w:rFonts w:ascii="宋体" w:hAnsi="宋体" w:eastAsia="宋体"/>
        </w:rPr>
        <w:t>6.2 应用推广前景</w:t>
      </w:r>
    </w:p>
    <w:p>
      <w:pPr>
        <w:ind w:firstLine="480"/>
      </w:pPr>
      <w:r>
        <w:rPr>
          <w:rFonts w:ascii="宋体" w:hAnsi="宋体" w:eastAsia="宋体"/>
        </w:rPr>
        <w:t>项目面向海南特色果品数字化检测与品牌化建设，适用于品质分级、产地核验、品牌展示、教学演示等多类场景。以澄迈福橙和琼中绿橙为示范对象，本项目已经展示出多模态数据在区域特色农产品识别中的实际作用。后续还可向更多柑橘品类和其他特色农产品延展，为区域农业数字化、标准化和品牌化提供可复用的方法参考。</w:t>
      </w:r>
    </w:p>
    <w:p>
      <w:pPr>
        <w:ind w:firstLine="480"/>
      </w:pPr>
      <w:r>
        <w:rPr>
          <w:rFonts w:ascii="宋体" w:hAnsi="宋体" w:eastAsia="宋体"/>
        </w:rPr>
        <w:t>从推广路径看，本项目既可以在校内作为大数据实践与农产品智能检测的综合案例，也可以在区域特色农业展示、品牌推介和样本教学中发挥作用。后续随着样本规模扩大和品类补充，应用范围还可以继续延展。</w:t>
      </w:r>
    </w:p>
    <w:p>
      <w:pPr>
        <w:pStyle w:val="Heading2"/>
      </w:pPr>
      <w:r>
        <w:rPr>
          <w:rFonts w:ascii="宋体" w:hAnsi="宋体" w:eastAsia="宋体"/>
        </w:rPr>
        <w:t>6.3 总结</w:t>
      </w:r>
    </w:p>
    <w:p>
      <w:pPr>
        <w:ind w:firstLine="480"/>
      </w:pPr>
      <w:r>
        <w:rPr>
          <w:rFonts w:ascii="宋体" w:hAnsi="宋体" w:eastAsia="宋体"/>
        </w:rPr>
        <w:t>橙源智鉴以海南柑橘为对象，将样本治理、多模态分析、品质评价、产地溯源与报告输出整合为一体。基于 399 个正式样本和双光谱数据底座，本项目在产地判别、糖度预测和液质成分分析上取得了较为突出的结果，并形成了可展示、可查询、可留存的一套完整成果，体现了特色农产品智能检测的实际意义。</w:t>
      </w:r>
    </w:p>
    <w:p>
      <w:pPr>
        <w:ind w:firstLine="480"/>
      </w:pPr>
      <w:r>
        <w:rPr>
          <w:rFonts w:ascii="宋体" w:hAnsi="宋体" w:eastAsia="宋体"/>
        </w:rPr>
        <w:t>橙源智鉴围绕海南柑橘形成了从样本整理、数据治理、模型分析到页面展示和报告输出的完整组织。多模态数据在特色农产品检测中的作用，通过产地溯源、糖度预测和液质成分分析三部分结果得到集中体现。</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正式实验/划分方案/统一样本划分.csv</w:t>
      </w:r>
    </w:p>
    <w:p>
      <w:pPr>
        <w:ind w:firstLine="480"/>
      </w:pPr>
      <w:r>
        <w:rPr>
          <w:rFonts w:ascii="宋体" w:hAnsi="宋体" w:eastAsia="宋体"/>
        </w:rPr>
        <w:t>[7] 正式实验/数据集/双光谱安全主表.csv</w:t>
      </w:r>
    </w:p>
    <w:p>
      <w:pPr>
        <w:ind w:firstLine="480"/>
      </w:pPr>
      <w:r>
        <w:rPr>
          <w:rFonts w:ascii="宋体" w:hAnsi="宋体" w:eastAsia="宋体"/>
        </w:rPr>
        <w:t>[8] 正式实验/基线结果/任务1_品质预测/逐目标结果.csv</w:t>
      </w:r>
    </w:p>
    <w:p>
      <w:pPr>
        <w:ind w:firstLine="480"/>
      </w:pPr>
      <w:r>
        <w:rPr>
          <w:rFonts w:ascii="宋体" w:hAnsi="宋体" w:eastAsia="宋体"/>
        </w:rPr>
        <w:t>[9] 正式实验/基线结果/任务2_产地溯源/模型汇总.csv</w:t>
      </w:r>
    </w:p>
    <w:p>
      <w:pPr>
        <w:ind w:firstLine="480"/>
      </w:pPr>
      <w:r>
        <w:rPr>
          <w:rFonts w:ascii="宋体" w:hAnsi="宋体" w:eastAsia="宋体"/>
        </w:rPr>
        <w:t>[10] 正式实验/基线结果/任务3_液质成分预测/逐目标结果.csv</w:t>
      </w:r>
    </w:p>
    <w:p>
      <w:pPr>
        <w:ind w:firstLine="480"/>
      </w:pPr>
      <w:r>
        <w:rPr>
          <w:rFonts w:ascii="宋体" w:hAnsi="宋体" w:eastAsia="宋体"/>
        </w:rPr>
        <w:t>[11] Lu Z, Jia K, Zhang H, et al. Geographical Origin Identification of Citrus Fruits Based on Near-Infrared Spectroscopy Combined with Convolutional Neural Network and Data Augmentation[J]. Agriculture, 2025, 15(22):2350.</w:t>
      </w:r>
    </w:p>
    <w:p>
      <w:pPr>
        <w:ind w:firstLine="480"/>
      </w:pPr>
      <w:r>
        <w:rPr>
          <w:rFonts w:ascii="宋体" w:hAnsi="宋体" w:eastAsia="宋体"/>
        </w:rPr>
        <w:t>[12] Wu D, Sun D W. Advanced applications of hyperspectral imaging technology for food quality and safety analysis and assessment: A review[J]. Part I: Fundamentals. Innovative Food Science and Emerging Technologies, 2013, 19: 1-14.</w:t>
      </w:r>
    </w:p>
    <w:p>
      <w:pPr>
        <w:ind w:firstLine="480"/>
      </w:pPr>
      <w:r>
        <w:rPr>
          <w:rFonts w:ascii="宋体" w:hAnsi="宋体" w:eastAsia="宋体"/>
        </w:rPr>
        <w:t>[13] Liu Y, Sun X, Ouyang A. Nondestructive measurement of soluble solid content of navel orange fruit by visible-NIR spectrometric technique with PLSR and PCA-BPNN[J]. LWT - Food Science and Technology, 2010, 43(4): 602-607.</w:t>
      </w:r>
    </w:p>
    <w:p>
      <w:pPr>
        <w:ind w:firstLine="480"/>
      </w:pPr>
      <w:r>
        <w:rPr>
          <w:rFonts w:ascii="宋体" w:hAnsi="宋体" w:eastAsia="宋体"/>
        </w:rPr>
        <w:t>[14] Liu Y, Chen S, Zhang F, et al. Simultaneous detection of citrus internal quality attributes based on near-infrared spectroscopy and hyperspectral imaging with multi-task deep learning and instrumental transfer learning[J]. Food Chemistry, 2025, 472: 144337.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