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宋体" w:hAnsi="宋体" w:eastAsia="宋体"/>
          <w:b/>
        </w:rPr>
        <w:t>2023年（第16届）中国大学生计算机设计大赛</w:t>
      </w:r>
    </w:p>
    <w:p>
      <w:pPr>
        <w:jc w:val="center"/>
      </w:pPr>
      <w:r>
        <w:rPr>
          <w:rFonts w:ascii="宋体" w:hAnsi="宋体" w:eastAsia="宋体"/>
        </w:rPr>
        <w:t>大数据实践赛作品报告</w:t>
      </w:r>
    </w:p>
    <w:p>
      <w:pPr>
        <w:jc w:val="center"/>
      </w:pPr>
      <w:r>
        <w:rPr>
          <w:rFonts w:ascii="宋体" w:hAnsi="宋体" w:eastAsia="宋体"/>
        </w:rPr>
        <w:t>作品名称：橙源智鉴——基于多模态光谱融合的海南柑橘品质智能检测与产地溯源项目</w:t>
      </w:r>
    </w:p>
    <w:p>
      <w:pPr>
        <w:jc w:val="center"/>
      </w:pPr>
      <w:r>
        <w:rPr>
          <w:rFonts w:ascii="宋体" w:hAnsi="宋体" w:eastAsia="宋体"/>
        </w:rPr>
        <w:t>作品编号：待确认</w:t>
      </w:r>
    </w:p>
    <w:p>
      <w:pPr>
        <w:jc w:val="center"/>
      </w:pPr>
      <w:r>
        <w:rPr>
          <w:rFonts w:ascii="宋体" w:hAnsi="宋体" w:eastAsia="宋体"/>
        </w:rPr>
        <w:t>填写日期：2026年4月10日</w:t>
      </w:r>
    </w:p>
    <w:p>
      <w:r>
        <w:rPr>
          <w:rFonts w:ascii="宋体" w:hAnsi="宋体" w:eastAsia="宋体"/>
        </w:rPr>
      </w:r>
    </w:p>
    <w:p>
      <w:pPr>
        <w:pStyle w:val="Heading1"/>
      </w:pPr>
      <w:r>
        <w:rPr>
          <w:rFonts w:ascii="宋体" w:hAnsi="宋体" w:eastAsia="宋体"/>
        </w:rPr>
        <w:t>第一章 项目概述</w:t>
      </w:r>
    </w:p>
    <w:p>
      <w:pPr>
        <w:pStyle w:val="Heading2"/>
      </w:pPr>
      <w:r>
        <w:rPr>
          <w:rFonts w:ascii="宋体" w:hAnsi="宋体" w:eastAsia="宋体"/>
        </w:rPr>
        <w:t>1.1 项目背景与创意来源</w:t>
      </w:r>
    </w:p>
    <w:p>
      <w:pPr>
        <w:ind w:firstLine="480"/>
      </w:pPr>
      <w:r>
        <w:rPr>
          <w:rFonts w:ascii="宋体" w:hAnsi="宋体" w:eastAsia="宋体"/>
        </w:rPr>
        <w:t>海南柑橘在产地品牌建设、分级流通和质量说明环节，对检测结果的及时性、可读性和可追溯性提出了更高要求。传统做法往往把样本登记、理化检测、光谱分析和报告整理分散在不同表格和不同人员手中，现场能看到样本，实验室能拿到指标，真正到展示、验货和归档环节时，信息却很难重新对齐。本项目围绕这一现实问题展开，尝试把样本、数据、结果和正式文本放回同一条链路中。</w:t>
      </w:r>
    </w:p>
    <w:p>
      <w:pPr>
        <w:ind w:firstLine="480"/>
      </w:pPr>
      <w:r>
        <w:rPr>
          <w:rFonts w:ascii="宋体" w:hAnsi="宋体" w:eastAsia="宋体"/>
        </w:rPr>
        <w:t>项目以澄迈福橙和琼中绿橙为研究对象，围绕两类样本构建多模态检测与分析流程。两地柑橘具有较强的地域代表性，样本在糖度、糖酸比、VC 以及部分液质成分上存在稳定差异，既适合开展产地判别，也适合承载品质评价和内部成分解析。本项目由此形成了“数据治理+多任务分析+结果表达”的整体思路，目标不是给出孤立指标，而是形成一套可用于比赛展示、场景说明和后续推广的项目成果。</w:t>
      </w:r>
    </w:p>
    <w:p>
      <w:pPr>
        <w:pStyle w:val="Heading2"/>
      </w:pPr>
      <w:r>
        <w:rPr>
          <w:rFonts w:ascii="宋体" w:hAnsi="宋体" w:eastAsia="宋体"/>
        </w:rPr>
        <w:t>1.2 面向对象与应用价值</w:t>
      </w:r>
    </w:p>
    <w:p>
      <w:pPr>
        <w:ind w:firstLine="480"/>
      </w:pPr>
      <w:r>
        <w:rPr>
          <w:rFonts w:ascii="宋体" w:hAnsi="宋体" w:eastAsia="宋体"/>
        </w:rPr>
        <w:t>本项目主要面向果园与合作社、产地质检与分选环节、品牌展示与渠道验货场景，以及教学与科研演示场景。对果园和合作社而言，项目关注样本登记、批次区分和品质初判；对分选和验货环节而言，项目关注产地核验、糖度判断和重点成分说明；对品牌展示而言，项目关注结果表达、批次留档和正式报告输出；对教学与科研场景而言，项目关注数据组织、分析过程和结果对比的完整呈现。</w:t>
      </w:r>
    </w:p>
    <w:p>
      <w:pPr>
        <w:ind w:firstLine="480"/>
      </w:pPr>
      <w:r>
        <w:rPr>
          <w:rFonts w:ascii="宋体" w:hAnsi="宋体" w:eastAsia="宋体"/>
        </w:rPr>
        <w:t>与单一指标检测相比，本项目更强调结果之间的对应关系。产地判别说明“来自哪里”，品质预测回答“表现怎样”，液质成分分析补充“内部成分有什么差异”，三类结果最终围绕同一编号样本展开，比赛展示、样本回查和正式说明因此可以使用同一套材料。</w:t>
      </w:r>
    </w:p>
    <w:p>
      <w:pPr>
        <w:ind w:firstLine="480"/>
      </w:pPr>
      <w:r>
        <w:rPr>
          <w:rFonts w:ascii="宋体" w:hAnsi="宋体" w:eastAsia="宋体"/>
        </w:rPr>
        <w:t>表1-1 项目主要服务场景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场景</w:t>
            </w:r>
          </w:p>
        </w:tc>
        <w:tc>
          <w:tcPr>
            <w:tcW w:type="dxa" w:w="2880"/>
          </w:tcPr>
          <w:p>
            <w:r>
              <w:t>关注内容</w:t>
            </w:r>
          </w:p>
        </w:tc>
        <w:tc>
          <w:tcPr>
            <w:tcW w:type="dxa" w:w="2880"/>
          </w:tcPr>
          <w:p>
            <w:r>
              <w:t>项目输出</w:t>
            </w:r>
          </w:p>
        </w:tc>
      </w:tr>
      <w:tr>
        <w:tc>
          <w:tcPr>
            <w:tcW w:type="dxa" w:w="2880"/>
          </w:tcPr>
          <w:p>
            <w:r>
              <w:t>果园与合作社</w:t>
            </w:r>
          </w:p>
        </w:tc>
        <w:tc>
          <w:tcPr>
            <w:tcW w:type="dxa" w:w="2880"/>
          </w:tcPr>
          <w:p>
            <w:r>
              <w:t>批次登记、初步分级、样本留档</w:t>
            </w:r>
          </w:p>
        </w:tc>
        <w:tc>
          <w:tcPr>
            <w:tcW w:type="dxa" w:w="2880"/>
          </w:tcPr>
          <w:p>
            <w:r>
              <w:t>样本信息、品质结果、历史记录</w:t>
            </w:r>
          </w:p>
        </w:tc>
      </w:tr>
      <w:tr>
        <w:tc>
          <w:tcPr>
            <w:tcW w:type="dxa" w:w="2880"/>
          </w:tcPr>
          <w:p>
            <w:r>
              <w:t>质检与分选</w:t>
            </w:r>
          </w:p>
        </w:tc>
        <w:tc>
          <w:tcPr>
            <w:tcW w:type="dxa" w:w="2880"/>
          </w:tcPr>
          <w:p>
            <w:r>
              <w:t>产地核验、糖度判断、重点成分说明</w:t>
            </w:r>
          </w:p>
        </w:tc>
        <w:tc>
          <w:tcPr>
            <w:tcW w:type="dxa" w:w="2880"/>
          </w:tcPr>
          <w:p>
            <w:r>
              <w:t>分析结果页、对比结果、批次报告</w:t>
            </w:r>
          </w:p>
        </w:tc>
      </w:tr>
      <w:tr>
        <w:tc>
          <w:tcPr>
            <w:tcW w:type="dxa" w:w="2880"/>
          </w:tcPr>
          <w:p>
            <w:r>
              <w:t>品牌展示与渠道验货</w:t>
            </w:r>
          </w:p>
        </w:tc>
        <w:tc>
          <w:tcPr>
            <w:tcW w:type="dxa" w:w="2880"/>
          </w:tcPr>
          <w:p>
            <w:r>
              <w:t>产地说明、品质说明、结果留存</w:t>
            </w:r>
          </w:p>
        </w:tc>
        <w:tc>
          <w:tcPr>
            <w:tcW w:type="dxa" w:w="2880"/>
          </w:tcPr>
          <w:p>
            <w:r>
              <w:t>正式中文报告、可回看记录</w:t>
            </w:r>
          </w:p>
        </w:tc>
      </w:tr>
      <w:tr>
        <w:tc>
          <w:tcPr>
            <w:tcW w:type="dxa" w:w="2880"/>
          </w:tcPr>
          <w:p>
            <w:r>
              <w:t>教学与科研演示</w:t>
            </w:r>
          </w:p>
        </w:tc>
        <w:tc>
          <w:tcPr>
            <w:tcW w:type="dxa" w:w="2880"/>
          </w:tcPr>
          <w:p>
            <w:r>
              <w:t>数据治理、任务对比、结果展示</w:t>
            </w:r>
          </w:p>
        </w:tc>
        <w:tc>
          <w:tcPr>
            <w:tcW w:type="dxa" w:w="2880"/>
          </w:tcPr>
          <w:p>
            <w:r>
              <w:t>多任务实验结果与系统演示页面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</w:rPr>
        <w:t>1.3 项目组成与主要功能</w:t>
      </w:r>
    </w:p>
    <w:p>
      <w:pPr>
        <w:ind w:firstLine="480"/>
      </w:pPr>
      <w:r>
        <w:rPr>
          <w:rFonts w:ascii="宋体" w:hAnsi="宋体" w:eastAsia="宋体"/>
        </w:rPr>
        <w:t>本项目由网页端、移动端、分析支撑层和结果输出模块四部分组成。网页端放置项目展示、数据总览、结果对比和历史回看页面；移动端放置样本录入、分析提交、结果查询和报告查看页面；分析支撑层负责样本管理、文件处理、任务调度和结果整理；结果输出模块负责把样本信息、产地判别、品质指标和重点成分整理为正式文本。</w:t>
      </w:r>
    </w:p>
    <w:p>
      <w:pPr>
        <w:ind w:firstLine="480"/>
      </w:pPr>
      <w:r>
        <w:rPr>
          <w:rFonts w:ascii="宋体" w:hAnsi="宋体" w:eastAsia="宋体"/>
        </w:rPr>
        <w:t>截至 2026 年 4 月 10 日，项目已完成 9 个网页主要页面、11 个移动端功能页面，并形成覆盖样本、分析、结果、报告四个环节的 20 项核心能力。当前版本已经能够围绕同一批样本完成录入、分析、展示、回看和报告输出。</w:t>
      </w:r>
    </w:p>
    <w:p>
      <w:pPr>
        <w:ind w:firstLine="480"/>
      </w:pPr>
      <w:r>
        <w:rPr>
          <w:rFonts w:ascii="宋体" w:hAnsi="宋体" w:eastAsia="宋体"/>
        </w:rPr>
        <w:t>表1-2 项目当前组成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模块</w:t>
            </w:r>
          </w:p>
        </w:tc>
        <w:tc>
          <w:tcPr>
            <w:tcW w:type="dxa" w:w="2880"/>
          </w:tcPr>
          <w:p>
            <w:r>
              <w:t>主要内容</w:t>
            </w:r>
          </w:p>
        </w:tc>
        <w:tc>
          <w:tcPr>
            <w:tcW w:type="dxa" w:w="2880"/>
          </w:tcPr>
          <w:p>
            <w:r>
              <w:t>当前完成情况</w:t>
            </w:r>
          </w:p>
        </w:tc>
      </w:tr>
      <w:tr>
        <w:tc>
          <w:tcPr>
            <w:tcW w:type="dxa" w:w="2880"/>
          </w:tcPr>
          <w:p>
            <w:r>
              <w:t>网页端</w:t>
            </w:r>
          </w:p>
        </w:tc>
        <w:tc>
          <w:tcPr>
            <w:tcW w:type="dxa" w:w="2880"/>
          </w:tcPr>
          <w:p>
            <w:r>
              <w:t>首页、分析页、数据总览、历史页等</w:t>
            </w:r>
          </w:p>
        </w:tc>
        <w:tc>
          <w:tcPr>
            <w:tcW w:type="dxa" w:w="2880"/>
          </w:tcPr>
          <w:p>
            <w:r>
              <w:t>已完成 9 个主要页面</w:t>
            </w:r>
          </w:p>
        </w:tc>
      </w:tr>
      <w:tr>
        <w:tc>
          <w:tcPr>
            <w:tcW w:type="dxa" w:w="2880"/>
          </w:tcPr>
          <w:p>
            <w:r>
              <w:t>移动端</w:t>
            </w:r>
          </w:p>
        </w:tc>
        <w:tc>
          <w:tcPr>
            <w:tcW w:type="dxa" w:w="2880"/>
          </w:tcPr>
          <w:p>
            <w:r>
              <w:t>上传、查询、分析、报告查看等</w:t>
            </w:r>
          </w:p>
        </w:tc>
        <w:tc>
          <w:tcPr>
            <w:tcW w:type="dxa" w:w="2880"/>
          </w:tcPr>
          <w:p>
            <w:r>
              <w:t>已完成 11 个功能页面</w:t>
            </w:r>
          </w:p>
        </w:tc>
      </w:tr>
      <w:tr>
        <w:tc>
          <w:tcPr>
            <w:tcW w:type="dxa" w:w="2880"/>
          </w:tcPr>
          <w:p>
            <w:r>
              <w:t>分析支撑层</w:t>
            </w:r>
          </w:p>
        </w:tc>
        <w:tc>
          <w:tcPr>
            <w:tcW w:type="dxa" w:w="2880"/>
          </w:tcPr>
          <w:p>
            <w:r>
              <w:t>样本、文件、分析、结果等流程组织</w:t>
            </w:r>
          </w:p>
        </w:tc>
        <w:tc>
          <w:tcPr>
            <w:tcW w:type="dxa" w:w="2880"/>
          </w:tcPr>
          <w:p>
            <w:r>
              <w:t>已形成 20 项核心能力</w:t>
            </w:r>
          </w:p>
        </w:tc>
      </w:tr>
      <w:tr>
        <w:tc>
          <w:tcPr>
            <w:tcW w:type="dxa" w:w="2880"/>
          </w:tcPr>
          <w:p>
            <w:r>
              <w:t>结果输出</w:t>
            </w:r>
          </w:p>
        </w:tc>
        <w:tc>
          <w:tcPr>
            <w:tcW w:type="dxa" w:w="2880"/>
          </w:tcPr>
          <w:p>
            <w:r>
              <w:t>历史归档、正式报告、中文结果整理</w:t>
            </w:r>
          </w:p>
        </w:tc>
        <w:tc>
          <w:tcPr>
            <w:tcW w:type="dxa" w:w="2880"/>
          </w:tcPr>
          <w:p>
            <w:r>
              <w:t>已支持结构化结果输出与报告生成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</w:rPr>
        <w:t>1.4 项目定位</w:t>
      </w:r>
    </w:p>
    <w:p>
      <w:pPr>
        <w:ind w:firstLine="480"/>
      </w:pPr>
      <w:r>
        <w:rPr>
          <w:rFonts w:ascii="宋体" w:hAnsi="宋体" w:eastAsia="宋体"/>
        </w:rPr>
        <w:t>本项目定位于海南特色农产品场景下的大数据实践项目。围绕海南柑橘这一具体对象，项目把数据治理、多任务分析和正式结果表达放到同一份成果中，评审既能看到正式实验数据，也能看到围绕样本展开的系统展示与报告输出。</w:t>
      </w:r>
    </w:p>
    <w:p>
      <w:pPr>
        <w:pStyle w:val="Heading1"/>
      </w:pPr>
      <w:r>
        <w:rPr>
          <w:rFonts w:ascii="宋体" w:hAnsi="宋体" w:eastAsia="宋体"/>
        </w:rPr>
        <w:t>第二章 问题分析</w:t>
      </w:r>
    </w:p>
    <w:p>
      <w:pPr>
        <w:pStyle w:val="Heading2"/>
      </w:pPr>
      <w:r>
        <w:rPr>
          <w:rFonts w:ascii="宋体" w:hAnsi="宋体" w:eastAsia="宋体"/>
        </w:rPr>
        <w:t>2.1 问题来源</w:t>
      </w:r>
    </w:p>
    <w:p>
      <w:pPr>
        <w:ind w:firstLine="480"/>
      </w:pPr>
      <w:r>
        <w:rPr>
          <w:rFonts w:ascii="宋体" w:hAnsi="宋体" w:eastAsia="宋体"/>
        </w:rPr>
        <w:t>海南柑橘进入品牌化和区域化发展阶段后，单纯依靠经验判断已难以满足产地辨识、品质说明和批次追溯的需求。果品进入流通、展示和验货环节时，现场最常见的问题并不是“有没有检测结果”，而是“结果分散在哪里、依据是否统一、样本能否回查、文字如何对外说明”。如果样本信息、检测数据和结论文本不能围绕同一编号重新组织，结果再多也难以转化为稳定的使用价值。</w:t>
      </w:r>
    </w:p>
    <w:p>
      <w:pPr>
        <w:ind w:firstLine="480"/>
      </w:pPr>
      <w:r>
        <w:rPr>
          <w:rFonts w:ascii="宋体" w:hAnsi="宋体" w:eastAsia="宋体"/>
        </w:rPr>
        <w:t>本项目把问题落在海南柑橘这一具体场景上，原因在于两类样本既有区域品牌属性，又有可量化的理化和成分差异，适合作为数据实践项目的承载对象。围绕澄迈福橙和琼中绿橙，项目需要解决的不是单点识别，而是从样本整理、数据建模、结果比较到报告输出的整条链路问题。</w:t>
      </w:r>
    </w:p>
    <w:p>
      <w:pPr>
        <w:pStyle w:val="Heading2"/>
      </w:pPr>
      <w:r>
        <w:rPr>
          <w:rFonts w:ascii="宋体" w:hAnsi="宋体" w:eastAsia="宋体"/>
        </w:rPr>
        <w:t>2.2 现有解决方案</w:t>
      </w:r>
    </w:p>
    <w:p>
      <w:pPr>
        <w:ind w:firstLine="480"/>
      </w:pPr>
      <w:r>
        <w:rPr>
          <w:rFonts w:ascii="宋体" w:hAnsi="宋体" w:eastAsia="宋体"/>
        </w:rPr>
        <w:t>围绕果品产地识别和品质检测，现有路线大致分为三类。第一类是人工经验和理化检测，结论直观，但效率低、对批次留档支持有限；第二类是面向单一任务的光谱建模研究，通常围绕糖度、可溶性固形物、产地类别等指标展开，已经证明光谱技术在柑橘场景中的可行性[11]-[14]；第三类是强调展示或管理的单项系统，具备页面形态，但往往难以与正式实验数据和多任务结果形成强绑定。</w:t>
      </w:r>
    </w:p>
    <w:p>
      <w:pPr>
        <w:ind w:firstLine="480"/>
      </w:pPr>
      <w:r>
        <w:rPr>
          <w:rFonts w:ascii="宋体" w:hAnsi="宋体" w:eastAsia="宋体"/>
        </w:rPr>
        <w:t>现有研究为本项目提供了很好的方法参考，但在比赛稿表达上仍有两个明显空缺：其一，多数成果聚焦单一任务，较少把产地、品质和成分结果放到同一套样本体系中讨论；其二，很多结果停留在数值表层，缺少面向展示、回查和正式说明的组织方式。本项目正是在这两处空缺上继续推进。</w:t>
      </w:r>
    </w:p>
    <w:p>
      <w:pPr>
        <w:ind w:firstLine="480"/>
      </w:pPr>
      <w:r>
        <w:rPr>
          <w:rFonts w:ascii="宋体" w:hAnsi="宋体" w:eastAsia="宋体"/>
        </w:rPr>
        <w:t>表2-1 现有解决方案对比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解决路线</w:t>
            </w:r>
          </w:p>
        </w:tc>
        <w:tc>
          <w:tcPr>
            <w:tcW w:type="dxa" w:w="2160"/>
          </w:tcPr>
          <w:p>
            <w:r>
              <w:t>优势</w:t>
            </w:r>
          </w:p>
        </w:tc>
        <w:tc>
          <w:tcPr>
            <w:tcW w:type="dxa" w:w="2160"/>
          </w:tcPr>
          <w:p>
            <w:r>
              <w:t>局限</w:t>
            </w:r>
          </w:p>
        </w:tc>
        <w:tc>
          <w:tcPr>
            <w:tcW w:type="dxa" w:w="2160"/>
          </w:tcPr>
          <w:p>
            <w:r>
              <w:t>本项目对应处理</w:t>
            </w:r>
          </w:p>
        </w:tc>
      </w:tr>
      <w:tr>
        <w:tc>
          <w:tcPr>
            <w:tcW w:type="dxa" w:w="2160"/>
          </w:tcPr>
          <w:p>
            <w:r>
              <w:t>人工经验与理化检测</w:t>
            </w:r>
          </w:p>
        </w:tc>
        <w:tc>
          <w:tcPr>
            <w:tcW w:type="dxa" w:w="2160"/>
          </w:tcPr>
          <w:p>
            <w:r>
              <w:t>指标直观，便于小规模判断</w:t>
            </w:r>
          </w:p>
        </w:tc>
        <w:tc>
          <w:tcPr>
            <w:tcW w:type="dxa" w:w="2160"/>
          </w:tcPr>
          <w:p>
            <w:r>
              <w:t>周期较长，批次信息和说明材料分散</w:t>
            </w:r>
          </w:p>
        </w:tc>
        <w:tc>
          <w:tcPr>
            <w:tcW w:type="dxa" w:w="2160"/>
          </w:tcPr>
          <w:p>
            <w:r>
              <w:t>保留理化标签作为依据，同时引入统一样本管理与结果输出</w:t>
            </w:r>
          </w:p>
        </w:tc>
      </w:tr>
      <w:tr>
        <w:tc>
          <w:tcPr>
            <w:tcW w:type="dxa" w:w="2160"/>
          </w:tcPr>
          <w:p>
            <w:r>
              <w:t>单一光谱建模研究</w:t>
            </w:r>
          </w:p>
        </w:tc>
        <w:tc>
          <w:tcPr>
            <w:tcW w:type="dxa" w:w="2160"/>
          </w:tcPr>
          <w:p>
            <w:r>
              <w:t>对产地或品质单项任务有效，方法成熟</w:t>
            </w:r>
          </w:p>
        </w:tc>
        <w:tc>
          <w:tcPr>
            <w:tcW w:type="dxa" w:w="2160"/>
          </w:tcPr>
          <w:p>
            <w:r>
              <w:t>任务之间相互分离，结果难统一表达</w:t>
            </w:r>
          </w:p>
        </w:tc>
        <w:tc>
          <w:tcPr>
            <w:tcW w:type="dxa" w:w="2160"/>
          </w:tcPr>
          <w:p>
            <w:r>
              <w:t>围绕同一主表组织产地、品质、成分三类任务</w:t>
            </w:r>
          </w:p>
        </w:tc>
      </w:tr>
      <w:tr>
        <w:tc>
          <w:tcPr>
            <w:tcW w:type="dxa" w:w="2160"/>
          </w:tcPr>
          <w:p>
            <w:r>
              <w:t>单项展示或管理系统</w:t>
            </w:r>
          </w:p>
        </w:tc>
        <w:tc>
          <w:tcPr>
            <w:tcW w:type="dxa" w:w="2160"/>
          </w:tcPr>
          <w:p>
            <w:r>
              <w:t>页面形态完整，适合演示</w:t>
            </w:r>
          </w:p>
        </w:tc>
        <w:tc>
          <w:tcPr>
            <w:tcW w:type="dxa" w:w="2160"/>
          </w:tcPr>
          <w:p>
            <w:r>
              <w:t>与实验数据联系不紧，缺少正式结果支撑</w:t>
            </w:r>
          </w:p>
        </w:tc>
        <w:tc>
          <w:tcPr>
            <w:tcW w:type="dxa" w:w="2160"/>
          </w:tcPr>
          <w:p>
            <w:r>
              <w:t>将正式实验、页面展示和中文报告放到同一链路中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</w:rPr>
        <w:t>2.3 本项目要解决的痛点问题</w:t>
      </w:r>
    </w:p>
    <w:p>
      <w:pPr>
        <w:ind w:firstLine="480"/>
      </w:pPr>
      <w:r>
        <w:rPr>
          <w:rFonts w:ascii="宋体" w:hAnsi="宋体" w:eastAsia="宋体"/>
        </w:rPr>
        <w:t>基于前述对比，本项目聚焦四个核心痛点。第一，样本编号、实验指标和多模态光谱未形成统一主表，数据难以横向比较；第二，多模态数据中存在异常模态和波段不一致问题，不适合直接进入正式实验；第三，产地、品质和液质成分常被拆成三套独立结果，缺少统一口径；第四，检测结果停留在数值层面，难以直接转化为可展示、可传递、可归档的正式材料。</w:t>
      </w:r>
    </w:p>
    <w:p>
      <w:pPr>
        <w:ind w:firstLine="480"/>
      </w:pPr>
      <w:r>
        <w:rPr>
          <w:rFonts w:ascii="宋体" w:hAnsi="宋体" w:eastAsia="宋体"/>
        </w:rPr>
        <w:t>表2-2 本项目聚焦的痛点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痛点</w:t>
            </w:r>
          </w:p>
        </w:tc>
        <w:tc>
          <w:tcPr>
            <w:tcW w:type="dxa" w:w="2880"/>
          </w:tcPr>
          <w:p>
            <w:r>
              <w:t>具体表现</w:t>
            </w:r>
          </w:p>
        </w:tc>
        <w:tc>
          <w:tcPr>
            <w:tcW w:type="dxa" w:w="2880"/>
          </w:tcPr>
          <w:p>
            <w:r>
              <w:t>比赛展示中的影响</w:t>
            </w:r>
          </w:p>
        </w:tc>
      </w:tr>
      <w:tr>
        <w:tc>
          <w:tcPr>
            <w:tcW w:type="dxa" w:w="2880"/>
          </w:tcPr>
          <w:p>
            <w:r>
              <w:t>数据底座不统一</w:t>
            </w:r>
          </w:p>
        </w:tc>
        <w:tc>
          <w:tcPr>
            <w:tcW w:type="dxa" w:w="2880"/>
          </w:tcPr>
          <w:p>
            <w:r>
              <w:t>样本、标签、光谱分散在不同文件中</w:t>
            </w:r>
          </w:p>
        </w:tc>
        <w:tc>
          <w:tcPr>
            <w:tcW w:type="dxa" w:w="2880"/>
          </w:tcPr>
          <w:p>
            <w:r>
              <w:t>结果难以在同一条叙事线中展开</w:t>
            </w:r>
          </w:p>
        </w:tc>
      </w:tr>
      <w:tr>
        <w:tc>
          <w:tcPr>
            <w:tcW w:type="dxa" w:w="2880"/>
          </w:tcPr>
          <w:p>
            <w:r>
              <w:t>异常模态干扰正式实验</w:t>
            </w:r>
          </w:p>
        </w:tc>
        <w:tc>
          <w:tcPr>
            <w:tcW w:type="dxa" w:w="2880"/>
          </w:tcPr>
          <w:p>
            <w:r>
              <w:t>HSI 存在跨产地同编号完全重复</w:t>
            </w:r>
          </w:p>
        </w:tc>
        <w:tc>
          <w:tcPr>
            <w:tcW w:type="dxa" w:w="2880"/>
          </w:tcPr>
          <w:p>
            <w:r>
              <w:t>会影响正式建模的可信度</w:t>
            </w:r>
          </w:p>
        </w:tc>
      </w:tr>
      <w:tr>
        <w:tc>
          <w:tcPr>
            <w:tcW w:type="dxa" w:w="2880"/>
          </w:tcPr>
          <w:p>
            <w:r>
              <w:t>多任务结果彼此割裂</w:t>
            </w:r>
          </w:p>
        </w:tc>
        <w:tc>
          <w:tcPr>
            <w:tcW w:type="dxa" w:w="2880"/>
          </w:tcPr>
          <w:p>
            <w:r>
              <w:t>产地、品质、成分结论分开陈列</w:t>
            </w:r>
          </w:p>
        </w:tc>
        <w:tc>
          <w:tcPr>
            <w:tcW w:type="dxa" w:w="2880"/>
          </w:tcPr>
          <w:p>
            <w:r>
              <w:t>评审难以看到项目的整体价值</w:t>
            </w:r>
          </w:p>
        </w:tc>
      </w:tr>
      <w:tr>
        <w:tc>
          <w:tcPr>
            <w:tcW w:type="dxa" w:w="2880"/>
          </w:tcPr>
          <w:p>
            <w:r>
              <w:t>结果表达停留在数值层面</w:t>
            </w:r>
          </w:p>
        </w:tc>
        <w:tc>
          <w:tcPr>
            <w:tcW w:type="dxa" w:w="2880"/>
          </w:tcPr>
          <w:p>
            <w:r>
              <w:t>缺少面向展示和归档的正式文本</w:t>
            </w:r>
          </w:p>
        </w:tc>
        <w:tc>
          <w:tcPr>
            <w:tcW w:type="dxa" w:w="2880"/>
          </w:tcPr>
          <w:p>
            <w:r>
              <w:t>现场演示容易停留在模型分数说明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</w:rPr>
        <w:t>2.4 解决问题的思路</w:t>
      </w:r>
    </w:p>
    <w:p>
      <w:pPr>
        <w:ind w:firstLine="480"/>
      </w:pPr>
      <w:r>
        <w:rPr>
          <w:rFonts w:ascii="宋体" w:hAnsi="宋体" w:eastAsia="宋体"/>
        </w:rPr>
        <w:t>本项目首先重建数据底座。原始资料覆盖滴定法指标、液质成分、R210 光谱、S960 光谱和 HSI 光谱等多类数据，经过清洗整理后，正式实验统一建立在 399 个安全样本上。项目在正式建模前完成 HSI 异常排查、S960 共同波段对齐、统一样本划分和安全主表重建，随后围绕同一主表开展产地溯源、品质预测和液质成分预测三类任务。</w:t>
      </w:r>
    </w:p>
    <w:p>
      <w:pPr>
        <w:ind w:firstLine="480"/>
      </w:pPr>
      <w:r>
        <w:rPr>
          <w:rFonts w:ascii="宋体" w:hAnsi="宋体" w:eastAsia="宋体"/>
        </w:rPr>
        <w:t>正式主表共包含 399 个样本、1630 维双光谱特征，其中 R210 为 228 维，S960 为 1402 维；标签侧包含 4 项滴定法指标和 36 项液质成分指标。统一划分后，训练集、验证集、测试集规模分别为 279、60、60。在此基础上，项目把结果重新组织为页面展示、历史记录和正式报告三类输出，使实验结果能够直接进入比赛展示和应用说明环节。</w:t>
      </w:r>
    </w:p>
    <w:p>
      <w:pPr>
        <w:ind w:firstLine="480"/>
      </w:pPr>
      <w:r>
        <w:rPr>
          <w:rFonts w:ascii="宋体" w:hAnsi="宋体" w:eastAsia="宋体"/>
        </w:rPr>
        <w:t>表2-3 正式实验数据概况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项目</w:t>
            </w:r>
          </w:p>
        </w:tc>
        <w:tc>
          <w:tcPr>
            <w:tcW w:type="dxa" w:w="2880"/>
          </w:tcPr>
          <w:p>
            <w:r>
              <w:t>规模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正式安全样本</w:t>
            </w:r>
          </w:p>
        </w:tc>
        <w:tc>
          <w:tcPr>
            <w:tcW w:type="dxa" w:w="2880"/>
          </w:tcPr>
          <w:p>
            <w:r>
              <w:t>399</w:t>
            </w:r>
          </w:p>
        </w:tc>
        <w:tc>
          <w:tcPr>
            <w:tcW w:type="dxa" w:w="2880"/>
          </w:tcPr>
          <w:p>
            <w:r>
              <w:t>正式建模唯一主表样本数</w:t>
            </w:r>
          </w:p>
        </w:tc>
      </w:tr>
      <w:tr>
        <w:tc>
          <w:tcPr>
            <w:tcW w:type="dxa" w:w="2880"/>
          </w:tcPr>
          <w:p>
            <w:r>
              <w:t>双光谱特征数</w:t>
            </w:r>
          </w:p>
        </w:tc>
        <w:tc>
          <w:tcPr>
            <w:tcW w:type="dxa" w:w="2880"/>
          </w:tcPr>
          <w:p>
            <w:r>
              <w:t>1630</w:t>
            </w:r>
          </w:p>
        </w:tc>
        <w:tc>
          <w:tcPr>
            <w:tcW w:type="dxa" w:w="2880"/>
          </w:tcPr>
          <w:p>
            <w:r>
              <w:t>R210 228 + S960 1402</w:t>
            </w:r>
          </w:p>
        </w:tc>
      </w:tr>
      <w:tr>
        <w:tc>
          <w:tcPr>
            <w:tcW w:type="dxa" w:w="2880"/>
          </w:tcPr>
          <w:p>
            <w:r>
              <w:t>滴定法指标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糖度、酸度、糖酸比、VC</w:t>
            </w:r>
          </w:p>
        </w:tc>
      </w:tr>
      <w:tr>
        <w:tc>
          <w:tcPr>
            <w:tcW w:type="dxa" w:w="2880"/>
          </w:tcPr>
          <w:p>
            <w:r>
              <w:t>液质成分指标</w:t>
            </w:r>
          </w:p>
        </w:tc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用于内部成分预测的 36 项标签</w:t>
            </w:r>
          </w:p>
        </w:tc>
      </w:tr>
      <w:tr>
        <w:tc>
          <w:tcPr>
            <w:tcW w:type="dxa" w:w="2880"/>
          </w:tcPr>
          <w:p>
            <w:r>
              <w:t>统一样本划分</w:t>
            </w:r>
          </w:p>
        </w:tc>
        <w:tc>
          <w:tcPr>
            <w:tcW w:type="dxa" w:w="2880"/>
          </w:tcPr>
          <w:p>
            <w:r>
              <w:t>279/60/60</w:t>
            </w:r>
          </w:p>
        </w:tc>
        <w:tc>
          <w:tcPr>
            <w:tcW w:type="dxa" w:w="2880"/>
          </w:tcPr>
          <w:p>
            <w:r>
              <w:t>训练集/验证集/测试集</w:t>
            </w:r>
          </w:p>
        </w:tc>
      </w:tr>
    </w:tbl>
    <w:p/>
    <w:p>
      <w:pPr>
        <w:ind w:firstLine="480"/>
      </w:pPr>
      <w:r>
        <w:rPr>
          <w:rFonts w:ascii="宋体" w:hAnsi="宋体" w:eastAsia="宋体"/>
        </w:rPr>
        <w:t>表2-4 样本记录示例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样本编号</w:t>
            </w:r>
          </w:p>
        </w:tc>
        <w:tc>
          <w:tcPr>
            <w:tcW w:type="dxa" w:w="1234"/>
          </w:tcPr>
          <w:p>
            <w:r>
              <w:t>产地</w:t>
            </w:r>
          </w:p>
        </w:tc>
        <w:tc>
          <w:tcPr>
            <w:tcW w:type="dxa" w:w="1234"/>
          </w:tcPr>
          <w:p>
            <w:r>
              <w:t>序号</w:t>
            </w:r>
          </w:p>
        </w:tc>
        <w:tc>
          <w:tcPr>
            <w:tcW w:type="dxa" w:w="1234"/>
          </w:tcPr>
          <w:p>
            <w:r>
              <w:t>糖度</w:t>
            </w:r>
          </w:p>
        </w:tc>
        <w:tc>
          <w:tcPr>
            <w:tcW w:type="dxa" w:w="1234"/>
          </w:tcPr>
          <w:p>
            <w:r>
              <w:t>酸度</w:t>
            </w:r>
          </w:p>
        </w:tc>
        <w:tc>
          <w:tcPr>
            <w:tcW w:type="dxa" w:w="1234"/>
          </w:tcPr>
          <w:p>
            <w:r>
              <w:t>糖酸比</w:t>
            </w:r>
          </w:p>
        </w:tc>
        <w:tc>
          <w:tcPr>
            <w:tcW w:type="dxa" w:w="1234"/>
          </w:tcPr>
          <w:p>
            <w:r>
              <w:t>VC</w:t>
            </w:r>
          </w:p>
        </w:tc>
      </w:tr>
      <w:tr>
        <w:tc>
          <w:tcPr>
            <w:tcW w:type="dxa" w:w="1234"/>
          </w:tcPr>
          <w:p>
            <w:r>
              <w:t>CM-1</w:t>
            </w:r>
          </w:p>
        </w:tc>
        <w:tc>
          <w:tcPr>
            <w:tcW w:type="dxa" w:w="1234"/>
          </w:tcPr>
          <w:p>
            <w:r>
              <w:t>CM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7.35</w:t>
            </w:r>
          </w:p>
        </w:tc>
        <w:tc>
          <w:tcPr>
            <w:tcW w:type="dxa" w:w="1234"/>
          </w:tcPr>
          <w:p>
            <w:r>
              <w:t>0.69</w:t>
            </w:r>
          </w:p>
        </w:tc>
        <w:tc>
          <w:tcPr>
            <w:tcW w:type="dxa" w:w="1234"/>
          </w:tcPr>
          <w:p>
            <w:r>
              <w:t>10.65</w:t>
            </w:r>
          </w:p>
        </w:tc>
        <w:tc>
          <w:tcPr>
            <w:tcW w:type="dxa" w:w="1234"/>
          </w:tcPr>
          <w:p>
            <w:r>
              <w:t>46.57</w:t>
            </w:r>
          </w:p>
        </w:tc>
      </w:tr>
    </w:tbl>
    <w:p/>
    <w:p>
      <w:pPr>
        <w:pStyle w:val="Heading1"/>
      </w:pPr>
      <w:r>
        <w:rPr>
          <w:rFonts w:ascii="宋体" w:hAnsi="宋体" w:eastAsia="宋体"/>
        </w:rPr>
        <w:t>第三章 技术方案</w:t>
      </w:r>
    </w:p>
    <w:p>
      <w:pPr>
        <w:pStyle w:val="Heading2"/>
      </w:pPr>
      <w:r>
        <w:rPr>
          <w:rFonts w:ascii="宋体" w:hAnsi="宋体" w:eastAsia="宋体"/>
        </w:rPr>
        <w:t>3.1 总体技术路线</w:t>
      </w:r>
    </w:p>
    <w:p>
      <w:pPr>
        <w:ind w:firstLine="480"/>
      </w:pPr>
      <w:r>
        <w:rPr>
          <w:rFonts w:ascii="宋体" w:hAnsi="宋体" w:eastAsia="宋体"/>
        </w:rPr>
        <w:t>本项目的技术路线按照“样本治理、任务建模、结果组织、系统呈现”四个阶段推进。项目先完成数据清洗、异常排查和主表重建，再组织三类正式实验，随后把结果回连到样本编号，最后在网页端、移动端和正式报告中统一呈现。</w:t>
      </w:r>
    </w:p>
    <w:p>
      <w:pPr>
        <w:ind w:firstLine="480"/>
      </w:pPr>
      <w:r>
        <w:rPr>
          <w:rFonts w:ascii="宋体" w:hAnsi="宋体" w:eastAsia="宋体"/>
        </w:rPr>
        <w:t>表3-1 总体技术路线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阶段</w:t>
            </w:r>
          </w:p>
        </w:tc>
        <w:tc>
          <w:tcPr>
            <w:tcW w:type="dxa" w:w="2880"/>
          </w:tcPr>
          <w:p>
            <w:r>
              <w:t>核心工作</w:t>
            </w:r>
          </w:p>
        </w:tc>
        <w:tc>
          <w:tcPr>
            <w:tcW w:type="dxa" w:w="2880"/>
          </w:tcPr>
          <w:p>
            <w:r>
              <w:t>产出</w:t>
            </w:r>
          </w:p>
        </w:tc>
      </w:tr>
      <w:tr>
        <w:tc>
          <w:tcPr>
            <w:tcW w:type="dxa" w:w="2880"/>
          </w:tcPr>
          <w:p>
            <w:r>
              <w:t>阶段一：样本治理</w:t>
            </w:r>
          </w:p>
        </w:tc>
        <w:tc>
          <w:tcPr>
            <w:tcW w:type="dxa" w:w="2880"/>
          </w:tcPr>
          <w:p>
            <w:r>
              <w:t>清洗原始数据、排查异常模态、完成对齐</w:t>
            </w:r>
          </w:p>
        </w:tc>
        <w:tc>
          <w:tcPr>
            <w:tcW w:type="dxa" w:w="2880"/>
          </w:tcPr>
          <w:p>
            <w:r>
              <w:t>安全主表与统一样本体系</w:t>
            </w:r>
          </w:p>
        </w:tc>
      </w:tr>
      <w:tr>
        <w:tc>
          <w:tcPr>
            <w:tcW w:type="dxa" w:w="2880"/>
          </w:tcPr>
          <w:p>
            <w:r>
              <w:t>阶段二：任务建模</w:t>
            </w:r>
          </w:p>
        </w:tc>
        <w:tc>
          <w:tcPr>
            <w:tcW w:type="dxa" w:w="2880"/>
          </w:tcPr>
          <w:p>
            <w:r>
              <w:t>组织产地、品质、液质成分三类实验</w:t>
            </w:r>
          </w:p>
        </w:tc>
        <w:tc>
          <w:tcPr>
            <w:tcW w:type="dxa" w:w="2880"/>
          </w:tcPr>
          <w:p>
            <w:r>
              <w:t>多任务测试结果</w:t>
            </w:r>
          </w:p>
        </w:tc>
      </w:tr>
      <w:tr>
        <w:tc>
          <w:tcPr>
            <w:tcW w:type="dxa" w:w="2880"/>
          </w:tcPr>
          <w:p>
            <w:r>
              <w:t>阶段三：结果组织</w:t>
            </w:r>
          </w:p>
        </w:tc>
        <w:tc>
          <w:tcPr>
            <w:tcW w:type="dxa" w:w="2880"/>
          </w:tcPr>
          <w:p>
            <w:r>
              <w:t>把结果回连到样本编号和批次信息</w:t>
            </w:r>
          </w:p>
        </w:tc>
        <w:tc>
          <w:tcPr>
            <w:tcW w:type="dxa" w:w="2880"/>
          </w:tcPr>
          <w:p>
            <w:r>
              <w:t>结构化结果说明与历史记录</w:t>
            </w:r>
          </w:p>
        </w:tc>
      </w:tr>
      <w:tr>
        <w:tc>
          <w:tcPr>
            <w:tcW w:type="dxa" w:w="2880"/>
          </w:tcPr>
          <w:p>
            <w:r>
              <w:t>阶段四：系统呈现</w:t>
            </w:r>
          </w:p>
        </w:tc>
        <w:tc>
          <w:tcPr>
            <w:tcW w:type="dxa" w:w="2880"/>
          </w:tcPr>
          <w:p>
            <w:r>
              <w:t>在网页端与移动端完成展示和查询</w:t>
            </w:r>
          </w:p>
        </w:tc>
        <w:tc>
          <w:tcPr>
            <w:tcW w:type="dxa" w:w="2880"/>
          </w:tcPr>
          <w:p>
            <w:r>
              <w:t>比赛可演示的项目形态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</w:rPr>
        <w:t>3.2 数据路线</w:t>
      </w:r>
    </w:p>
    <w:p>
      <w:pPr>
        <w:ind w:firstLine="480"/>
      </w:pPr>
      <w:r>
        <w:rPr>
          <w:rFonts w:ascii="宋体" w:hAnsi="宋体" w:eastAsia="宋体"/>
        </w:rPr>
        <w:t>项目原始数据由滴定法、液质和多模态光谱三部分组成。清洗后发现，HSI 数据中存在 199 对跨产地同编号完全重复样本，无法作为正式跨产地实验依据；S960 两地产地原始波段数量不同，其中琼中样本较澄迈多出 50 个尾部波段，必须先完成共同波段对齐。项目据此剔除 HSI，保留 R210 与 S960 双光谱作为正式建模基础，并重建“安全版_去除HSI融合表”，保证正式实验口径统一。</w:t>
      </w:r>
    </w:p>
    <w:p>
      <w:pPr>
        <w:ind w:firstLine="480"/>
      </w:pPr>
      <w:r>
        <w:rPr>
          <w:rFonts w:ascii="宋体" w:hAnsi="宋体" w:eastAsia="宋体"/>
        </w:rPr>
        <w:t>在波段处理上，S960 共同波段数量为 1402，琼中额外波段为 50；在样本控制上，全部正式实验使用固定随机种子 20260409 完成统一划分；在样本完整性上，仅有 CM-34 因模态缺失未进入全模态流程。三类任务因此能够在同一数据底座上展开比较。</w:t>
      </w:r>
    </w:p>
    <w:p>
      <w:pPr>
        <w:ind w:firstLine="480"/>
      </w:pPr>
      <w:r>
        <w:rPr>
          <w:rFonts w:ascii="宋体" w:hAnsi="宋体" w:eastAsia="宋体"/>
        </w:rPr>
        <w:t>表3-2 数据治理要点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治理项</w:t>
            </w:r>
          </w:p>
        </w:tc>
        <w:tc>
          <w:tcPr>
            <w:tcW w:type="dxa" w:w="2880"/>
          </w:tcPr>
          <w:p>
            <w:r>
              <w:t>结果</w:t>
            </w:r>
          </w:p>
        </w:tc>
        <w:tc>
          <w:tcPr>
            <w:tcW w:type="dxa" w:w="2880"/>
          </w:tcPr>
          <w:p>
            <w:r>
              <w:t>作用</w:t>
            </w:r>
          </w:p>
        </w:tc>
      </w:tr>
      <w:tr>
        <w:tc>
          <w:tcPr>
            <w:tcW w:type="dxa" w:w="2880"/>
          </w:tcPr>
          <w:p>
            <w:r>
              <w:t>HSI 异常排查</w:t>
            </w:r>
          </w:p>
        </w:tc>
        <w:tc>
          <w:tcPr>
            <w:tcW w:type="dxa" w:w="2880"/>
          </w:tcPr>
          <w:p>
            <w:r>
              <w:t>识别 199 对跨产地完全重复样本</w:t>
            </w:r>
          </w:p>
        </w:tc>
        <w:tc>
          <w:tcPr>
            <w:tcW w:type="dxa" w:w="2880"/>
          </w:tcPr>
          <w:p>
            <w:r>
              <w:t>排除异常模态对正式实验的干扰</w:t>
            </w:r>
          </w:p>
        </w:tc>
      </w:tr>
      <w:tr>
        <w:tc>
          <w:tcPr>
            <w:tcW w:type="dxa" w:w="2880"/>
          </w:tcPr>
          <w:p>
            <w:r>
              <w:t>正式建模主表</w:t>
            </w:r>
          </w:p>
        </w:tc>
        <w:tc>
          <w:tcPr>
            <w:tcW w:type="dxa" w:w="2880"/>
          </w:tcPr>
          <w:p>
            <w:r>
              <w:t>399 个安全样本</w:t>
            </w:r>
          </w:p>
        </w:tc>
        <w:tc>
          <w:tcPr>
            <w:tcW w:type="dxa" w:w="2880"/>
          </w:tcPr>
          <w:p>
            <w:r>
              <w:t>作为三类任务的唯一正式主表</w:t>
            </w:r>
          </w:p>
        </w:tc>
      </w:tr>
      <w:tr>
        <w:tc>
          <w:tcPr>
            <w:tcW w:type="dxa" w:w="2880"/>
          </w:tcPr>
          <w:p>
            <w:r>
              <w:t>S960 波段对齐</w:t>
            </w:r>
          </w:p>
        </w:tc>
        <w:tc>
          <w:tcPr>
            <w:tcW w:type="dxa" w:w="2880"/>
          </w:tcPr>
          <w:p>
            <w:r>
              <w:t>1402 个共同波段</w:t>
            </w:r>
          </w:p>
        </w:tc>
        <w:tc>
          <w:tcPr>
            <w:tcW w:type="dxa" w:w="2880"/>
          </w:tcPr>
          <w:p>
            <w:r>
              <w:t>保证两地产地数据可直接比较</w:t>
            </w:r>
          </w:p>
        </w:tc>
      </w:tr>
      <w:tr>
        <w:tc>
          <w:tcPr>
            <w:tcW w:type="dxa" w:w="2880"/>
          </w:tcPr>
          <w:p>
            <w:r>
              <w:t>统一样本划分</w:t>
            </w:r>
          </w:p>
        </w:tc>
        <w:tc>
          <w:tcPr>
            <w:tcW w:type="dxa" w:w="2880"/>
          </w:tcPr>
          <w:p>
            <w:r>
              <w:t>279/60/60</w:t>
            </w:r>
          </w:p>
        </w:tc>
        <w:tc>
          <w:tcPr>
            <w:tcW w:type="dxa" w:w="2880"/>
          </w:tcPr>
          <w:p>
            <w:r>
              <w:t>保证多任务结果可在同一框架下解释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</w:rPr>
        <w:t>3.3 模型与关键方法</w:t>
      </w:r>
    </w:p>
    <w:p>
      <w:pPr>
        <w:ind w:firstLine="480"/>
      </w:pPr>
      <w:r>
        <w:rPr>
          <w:rFonts w:ascii="宋体" w:hAnsi="宋体" w:eastAsia="宋体"/>
        </w:rPr>
        <w:t>三类任务采用统一主表、分任务建模的方式推进。产地溯源任务以分类模型为主，重点比较单光谱与双光谱方案在区分不同产地时的稳定性；品质预测任务以回归模型为主，围绕糖度、糖酸比、VC 等指标展开；液质成分预测任务面对的是更多目标和更高维数据，因而在基线实验之外进一步引入 SNV 预处理、PCA 降维和参数搜索，以提升整体平均表现。</w:t>
      </w:r>
    </w:p>
    <w:p>
      <w:pPr>
        <w:ind w:firstLine="480"/>
      </w:pPr>
      <w:r>
        <w:rPr>
          <w:rFonts w:ascii="宋体" w:hAnsi="宋体" w:eastAsia="宋体"/>
        </w:rPr>
        <w:t>模型安排遵循“先比较、后优化”的顺序。分类侧采用逻辑回归、线性 SVM 等方法建立基线；回归侧采用岭回归、PLS 回归、随机森林、XGBoost 等方法比较不同指标的拟合情况；优化侧重点放在液质任务，通过 SNV 去除散射影响、通过 PCA 压缩高维冗余，再用参数搜索寻找更合适的组合。正文同时保留基线结果与优化结果，便于呈现改进轨迹。</w:t>
      </w:r>
    </w:p>
    <w:p>
      <w:pPr>
        <w:ind w:firstLine="480"/>
      </w:pPr>
      <w:r>
        <w:rPr>
          <w:rFonts w:ascii="宋体" w:hAnsi="宋体" w:eastAsia="宋体"/>
        </w:rPr>
        <w:t>表3-3 三类任务技术安排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任务</w:t>
            </w:r>
          </w:p>
        </w:tc>
        <w:tc>
          <w:tcPr>
            <w:tcW w:type="dxa" w:w="2160"/>
          </w:tcPr>
          <w:p>
            <w:r>
              <w:t>输入与标签</w:t>
            </w:r>
          </w:p>
        </w:tc>
        <w:tc>
          <w:tcPr>
            <w:tcW w:type="dxa" w:w="2160"/>
          </w:tcPr>
          <w:p>
            <w:r>
              <w:t>主要方法</w:t>
            </w:r>
          </w:p>
        </w:tc>
        <w:tc>
          <w:tcPr>
            <w:tcW w:type="dxa" w:w="2160"/>
          </w:tcPr>
          <w:p>
            <w:r>
              <w:t>关注重点</w:t>
            </w:r>
          </w:p>
        </w:tc>
      </w:tr>
      <w:tr>
        <w:tc>
          <w:tcPr>
            <w:tcW w:type="dxa" w:w="2160"/>
          </w:tcPr>
          <w:p>
            <w:r>
              <w:t>产地溯源</w:t>
            </w:r>
          </w:p>
        </w:tc>
        <w:tc>
          <w:tcPr>
            <w:tcW w:type="dxa" w:w="2160"/>
          </w:tcPr>
          <w:p>
            <w:r>
              <w:t>双光谱特征 + origin 标签</w:t>
            </w:r>
          </w:p>
        </w:tc>
        <w:tc>
          <w:tcPr>
            <w:tcW w:type="dxa" w:w="2160"/>
          </w:tcPr>
          <w:p>
            <w:r>
              <w:t>逻辑回归、线性 SVM、集成分类模型</w:t>
            </w:r>
          </w:p>
        </w:tc>
        <w:tc>
          <w:tcPr>
            <w:tcW w:type="dxa" w:w="2160"/>
          </w:tcPr>
          <w:p>
            <w:r>
              <w:t>比较单光谱与双光谱的区分效果</w:t>
            </w:r>
          </w:p>
        </w:tc>
      </w:tr>
      <w:tr>
        <w:tc>
          <w:tcPr>
            <w:tcW w:type="dxa" w:w="2160"/>
          </w:tcPr>
          <w:p>
            <w:r>
              <w:t>品质预测</w:t>
            </w:r>
          </w:p>
        </w:tc>
        <w:tc>
          <w:tcPr>
            <w:tcW w:type="dxa" w:w="2160"/>
          </w:tcPr>
          <w:p>
            <w:r>
              <w:t>双光谱特征 + 糖度/糖酸比/VC 等标签</w:t>
            </w:r>
          </w:p>
        </w:tc>
        <w:tc>
          <w:tcPr>
            <w:tcW w:type="dxa" w:w="2160"/>
          </w:tcPr>
          <w:p>
            <w:r>
              <w:t>岭回归、PLS 回归等</w:t>
            </w:r>
          </w:p>
        </w:tc>
        <w:tc>
          <w:tcPr>
            <w:tcW w:type="dxa" w:w="2160"/>
          </w:tcPr>
          <w:p>
            <w:r>
              <w:t>锁定最具代表性的品质指标</w:t>
            </w:r>
          </w:p>
        </w:tc>
      </w:tr>
      <w:tr>
        <w:tc>
          <w:tcPr>
            <w:tcW w:type="dxa" w:w="2160"/>
          </w:tcPr>
          <w:p>
            <w:r>
              <w:t>液质成分预测</w:t>
            </w:r>
          </w:p>
        </w:tc>
        <w:tc>
          <w:tcPr>
            <w:tcW w:type="dxa" w:w="2160"/>
          </w:tcPr>
          <w:p>
            <w:r>
              <w:t>双光谱特征 + 36 项液质标签</w:t>
            </w:r>
          </w:p>
        </w:tc>
        <w:tc>
          <w:tcPr>
            <w:tcW w:type="dxa" w:w="2160"/>
          </w:tcPr>
          <w:p>
            <w:r>
              <w:t>基线回归 + SNV + PCA + 参数搜索</w:t>
            </w:r>
          </w:p>
        </w:tc>
        <w:tc>
          <w:tcPr>
            <w:tcW w:type="dxa" w:w="2160"/>
          </w:tcPr>
          <w:p>
            <w:r>
              <w:t>提升多目标任务的整体平均表现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</w:rPr>
        <w:t>3.4 结果组织与输出方案</w:t>
      </w:r>
    </w:p>
    <w:p>
      <w:pPr>
        <w:ind w:firstLine="480"/>
      </w:pPr>
      <w:r>
        <w:rPr>
          <w:rFonts w:ascii="宋体" w:hAnsi="宋体" w:eastAsia="宋体"/>
        </w:rPr>
        <w:t>本项目把三类任务的结果都回连到同一编号样本，不把产地、品质和成分分成彼此孤立的三份材料。页面展示围绕样本信息、批次信息、分析结果和历史记录展开，正式报告围绕产地判别、关键品质指标和重点成分结果组织语言。这样处理后，同一条实验结果能够直接进入比赛讲解、场景说明和资料留档。</w:t>
      </w:r>
    </w:p>
    <w:p>
      <w:pPr>
        <w:pStyle w:val="Heading1"/>
      </w:pPr>
      <w:r>
        <w:rPr>
          <w:rFonts w:ascii="宋体" w:hAnsi="宋体" w:eastAsia="宋体"/>
        </w:rPr>
        <w:t>第四章 系统实现</w:t>
      </w:r>
    </w:p>
    <w:p>
      <w:pPr>
        <w:pStyle w:val="Heading2"/>
      </w:pPr>
      <w:r>
        <w:rPr>
          <w:rFonts w:ascii="宋体" w:hAnsi="宋体" w:eastAsia="宋体"/>
        </w:rPr>
        <w:t>4.1 展示端实现</w:t>
      </w:r>
    </w:p>
    <w:p>
      <w:pPr>
        <w:ind w:firstLine="480"/>
      </w:pPr>
      <w:r>
        <w:rPr>
          <w:rFonts w:ascii="宋体" w:hAnsi="宋体" w:eastAsia="宋体"/>
        </w:rPr>
        <w:t>展示端分为网页端和移动端两部分。网页端放置首页、数据总览、分析页、历史页等主要页面，用于集中展示样本规模、实验结果和项目成果；移动端放置上传、分析、查询、报告查看等页面，用于样本录入和结果回看。两端围绕同一套样本与结果组织，入口不同，结果口径一致。</w:t>
      </w:r>
    </w:p>
    <w:p>
      <w:pPr>
        <w:ind w:firstLine="480"/>
      </w:pPr>
      <w:r>
        <w:rPr>
          <w:rFonts w:ascii="宋体" w:hAnsi="宋体" w:eastAsia="宋体"/>
        </w:rPr>
        <w:t>在页面表达上，项目重点突出样本编号、产地信息、关键指标和正式结果，不把展示页写成开发说明页。评审在演示过程中能够直接看到样本规模、产地差异、糖度结果、液质成分结果和历史报告。</w:t>
      </w:r>
    </w:p>
    <w:p>
      <w:pPr>
        <w:pStyle w:val="Heading2"/>
      </w:pPr>
      <w:r>
        <w:rPr>
          <w:rFonts w:ascii="宋体" w:hAnsi="宋体" w:eastAsia="宋体"/>
        </w:rPr>
        <w:t>4.2 分析流程实现</w:t>
      </w:r>
    </w:p>
    <w:p>
      <w:pPr>
        <w:ind w:firstLine="480"/>
      </w:pPr>
      <w:r>
        <w:rPr>
          <w:rFonts w:ascii="宋体" w:hAnsi="宋体" w:eastAsia="宋体"/>
        </w:rPr>
        <w:t>系统流程按照样本录入、文件接收、任务处理、结果整理、历史归档五个环节展开。样本进入系统后先绑定编号和批次信息，再进入分析流程；分析完成后，结果围绕该样本编号回写到结果页和历史页；报告模块从结构化结果中抽取产地、品质和重点成分信息，生成正式文本。整个过程始终以样本编号为主线。</w:t>
      </w:r>
    </w:p>
    <w:p>
      <w:pPr>
        <w:ind w:firstLine="480"/>
      </w:pPr>
      <w:r>
        <w:rPr>
          <w:rFonts w:ascii="宋体" w:hAnsi="宋体" w:eastAsia="宋体"/>
        </w:rPr>
        <w:t>网页展示、移动操作、分析处理和报告输出围绕同一数据结构展开。比赛现场展示的是同一批样本的不同结果，而不是来自不同来源、不同口径的零散材料。</w:t>
      </w:r>
    </w:p>
    <w:p>
      <w:pPr>
        <w:pStyle w:val="Heading2"/>
      </w:pPr>
      <w:r>
        <w:rPr>
          <w:rFonts w:ascii="宋体" w:hAnsi="宋体" w:eastAsia="宋体"/>
        </w:rPr>
        <w:t>4.3 关键难点与解决方法</w:t>
      </w:r>
    </w:p>
    <w:p>
      <w:pPr>
        <w:ind w:firstLine="480"/>
      </w:pPr>
      <w:r>
        <w:rPr>
          <w:rFonts w:ascii="宋体" w:hAnsi="宋体" w:eastAsia="宋体"/>
        </w:rPr>
        <w:t>系统实现过程中，难点主要集中在数据治理与结果统一表达两处。项目针对这些问题逐项给出处理方案，并把处理结果写进正式主表和正式流程中。</w:t>
      </w:r>
    </w:p>
    <w:p>
      <w:pPr>
        <w:ind w:firstLine="480"/>
      </w:pPr>
      <w:r>
        <w:rPr>
          <w:rFonts w:ascii="宋体" w:hAnsi="宋体" w:eastAsia="宋体"/>
        </w:rPr>
        <w:t>表4-1 关键难点与解决方法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难点</w:t>
            </w:r>
          </w:p>
        </w:tc>
        <w:tc>
          <w:tcPr>
            <w:tcW w:type="dxa" w:w="2880"/>
          </w:tcPr>
          <w:p>
            <w:r>
              <w:t>具体表现</w:t>
            </w:r>
          </w:p>
        </w:tc>
        <w:tc>
          <w:tcPr>
            <w:tcW w:type="dxa" w:w="2880"/>
          </w:tcPr>
          <w:p>
            <w:r>
              <w:t>解决方法</w:t>
            </w:r>
          </w:p>
        </w:tc>
      </w:tr>
      <w:tr>
        <w:tc>
          <w:tcPr>
            <w:tcW w:type="dxa" w:w="2880"/>
          </w:tcPr>
          <w:p>
            <w:r>
              <w:t>异常模态干扰</w:t>
            </w:r>
          </w:p>
        </w:tc>
        <w:tc>
          <w:tcPr>
            <w:tcW w:type="dxa" w:w="2880"/>
          </w:tcPr>
          <w:p>
            <w:r>
              <w:t>HSI 出现跨产地同编号完全重复</w:t>
            </w:r>
          </w:p>
        </w:tc>
        <w:tc>
          <w:tcPr>
            <w:tcW w:type="dxa" w:w="2880"/>
          </w:tcPr>
          <w:p>
            <w:r>
              <w:t>剔除 HSI，重建双光谱安全主表</w:t>
            </w:r>
          </w:p>
        </w:tc>
      </w:tr>
      <w:tr>
        <w:tc>
          <w:tcPr>
            <w:tcW w:type="dxa" w:w="2880"/>
          </w:tcPr>
          <w:p>
            <w:r>
              <w:t>波段口径不统一</w:t>
            </w:r>
          </w:p>
        </w:tc>
        <w:tc>
          <w:tcPr>
            <w:tcW w:type="dxa" w:w="2880"/>
          </w:tcPr>
          <w:p>
            <w:r>
              <w:t>S960 两地产地原始波段数量不同</w:t>
            </w:r>
          </w:p>
        </w:tc>
        <w:tc>
          <w:tcPr>
            <w:tcW w:type="dxa" w:w="2880"/>
          </w:tcPr>
          <w:p>
            <w:r>
              <w:t>统一裁剪为共同波段对齐表</w:t>
            </w:r>
          </w:p>
        </w:tc>
      </w:tr>
      <w:tr>
        <w:tc>
          <w:tcPr>
            <w:tcW w:type="dxa" w:w="2880"/>
          </w:tcPr>
          <w:p>
            <w:r>
              <w:t>多任务结果分散</w:t>
            </w:r>
          </w:p>
        </w:tc>
        <w:tc>
          <w:tcPr>
            <w:tcW w:type="dxa" w:w="2880"/>
          </w:tcPr>
          <w:p>
            <w:r>
              <w:t>分类、回归、成分结果来源不同</w:t>
            </w:r>
          </w:p>
        </w:tc>
        <w:tc>
          <w:tcPr>
            <w:tcW w:type="dxa" w:w="2880"/>
          </w:tcPr>
          <w:p>
            <w:r>
              <w:t>围绕样本编号统一页面结构和报告模板</w:t>
            </w:r>
          </w:p>
        </w:tc>
      </w:tr>
      <w:tr>
        <w:tc>
          <w:tcPr>
            <w:tcW w:type="dxa" w:w="2880"/>
          </w:tcPr>
          <w:p>
            <w:r>
              <w:t>历史回查困难</w:t>
            </w:r>
          </w:p>
        </w:tc>
        <w:tc>
          <w:tcPr>
            <w:tcW w:type="dxa" w:w="2880"/>
          </w:tcPr>
          <w:p>
            <w:r>
              <w:t>结果难形成正式留档材料</w:t>
            </w:r>
          </w:p>
        </w:tc>
        <w:tc>
          <w:tcPr>
            <w:tcW w:type="dxa" w:w="2880"/>
          </w:tcPr>
          <w:p>
            <w:r>
              <w:t>建立历史记录与中文报告输出链路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</w:rPr>
        <w:t>4.4 项目完成情况</w:t>
      </w:r>
    </w:p>
    <w:p>
      <w:pPr>
        <w:ind w:firstLine="480"/>
      </w:pPr>
      <w:r>
        <w:rPr>
          <w:rFonts w:ascii="宋体" w:hAnsi="宋体" w:eastAsia="宋体"/>
        </w:rPr>
        <w:t>截至当前版本，项目已完成从样本组织、分析处理到展示输出的主要建设内容。网页端形成 9 个主要页面，移动端形成 11 个功能页面，分析支撑层形成 20 项核心能力，正式实验数据、展示页面和报告输出已经能够围绕同一主线联动。</w:t>
      </w:r>
    </w:p>
    <w:p>
      <w:pPr>
        <w:ind w:firstLine="480"/>
      </w:pPr>
      <w:r>
        <w:rPr>
          <w:rFonts w:ascii="宋体" w:hAnsi="宋体" w:eastAsia="宋体"/>
        </w:rPr>
        <w:t>表4-2 项目完成情况概览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建设内容</w:t>
            </w:r>
          </w:p>
        </w:tc>
        <w:tc>
          <w:tcPr>
            <w:tcW w:type="dxa" w:w="2880"/>
          </w:tcPr>
          <w:p>
            <w:r>
              <w:t>完成情况</w:t>
            </w:r>
          </w:p>
        </w:tc>
        <w:tc>
          <w:tcPr>
            <w:tcW w:type="dxa" w:w="2880"/>
          </w:tcPr>
          <w:p>
            <w:r>
              <w:t>对应作用</w:t>
            </w:r>
          </w:p>
        </w:tc>
      </w:tr>
      <w:tr>
        <w:tc>
          <w:tcPr>
            <w:tcW w:type="dxa" w:w="2880"/>
          </w:tcPr>
          <w:p>
            <w:r>
              <w:t>正式实验数据</w:t>
            </w:r>
          </w:p>
        </w:tc>
        <w:tc>
          <w:tcPr>
            <w:tcW w:type="dxa" w:w="2880"/>
          </w:tcPr>
          <w:p>
            <w:r>
              <w:t>399 个安全样本与三类任务数据集</w:t>
            </w:r>
          </w:p>
        </w:tc>
        <w:tc>
          <w:tcPr>
            <w:tcW w:type="dxa" w:w="2880"/>
          </w:tcPr>
          <w:p>
            <w:r>
              <w:t>支撑测试分析与结果对比</w:t>
            </w:r>
          </w:p>
        </w:tc>
      </w:tr>
      <w:tr>
        <w:tc>
          <w:tcPr>
            <w:tcW w:type="dxa" w:w="2880"/>
          </w:tcPr>
          <w:p>
            <w:r>
              <w:t>网页展示</w:t>
            </w:r>
          </w:p>
        </w:tc>
        <w:tc>
          <w:tcPr>
            <w:tcW w:type="dxa" w:w="2880"/>
          </w:tcPr>
          <w:p>
            <w:r>
              <w:t>9 个主要页面</w:t>
            </w:r>
          </w:p>
        </w:tc>
        <w:tc>
          <w:tcPr>
            <w:tcW w:type="dxa" w:w="2880"/>
          </w:tcPr>
          <w:p>
            <w:r>
              <w:t>支撑比赛展示与集中讲解</w:t>
            </w:r>
          </w:p>
        </w:tc>
      </w:tr>
      <w:tr>
        <w:tc>
          <w:tcPr>
            <w:tcW w:type="dxa" w:w="2880"/>
          </w:tcPr>
          <w:p>
            <w:r>
              <w:t>移动端使用</w:t>
            </w:r>
          </w:p>
        </w:tc>
        <w:tc>
          <w:tcPr>
            <w:tcW w:type="dxa" w:w="2880"/>
          </w:tcPr>
          <w:p>
            <w:r>
              <w:t>11 个功能页面</w:t>
            </w:r>
          </w:p>
        </w:tc>
        <w:tc>
          <w:tcPr>
            <w:tcW w:type="dxa" w:w="2880"/>
          </w:tcPr>
          <w:p>
            <w:r>
              <w:t>支撑现场录入、查询与回看</w:t>
            </w:r>
          </w:p>
        </w:tc>
      </w:tr>
      <w:tr>
        <w:tc>
          <w:tcPr>
            <w:tcW w:type="dxa" w:w="2880"/>
          </w:tcPr>
          <w:p>
            <w:r>
              <w:t>分析与输出</w:t>
            </w:r>
          </w:p>
        </w:tc>
        <w:tc>
          <w:tcPr>
            <w:tcW w:type="dxa" w:w="2880"/>
          </w:tcPr>
          <w:p>
            <w:r>
              <w:t>20 项核心能力</w:t>
            </w:r>
          </w:p>
        </w:tc>
        <w:tc>
          <w:tcPr>
            <w:tcW w:type="dxa" w:w="2880"/>
          </w:tcPr>
          <w:p>
            <w:r>
              <w:t>支撑任务处理、历史归档与报告生成</w:t>
            </w:r>
          </w:p>
        </w:tc>
      </w:tr>
    </w:tbl>
    <w:p/>
    <w:p>
      <w:pPr>
        <w:pStyle w:val="Heading1"/>
      </w:pPr>
      <w:r>
        <w:rPr>
          <w:rFonts w:ascii="宋体" w:hAnsi="宋体" w:eastAsia="宋体"/>
        </w:rPr>
        <w:t>第五章 测试分析</w:t>
      </w:r>
    </w:p>
    <w:p>
      <w:pPr>
        <w:pStyle w:val="Heading2"/>
      </w:pPr>
      <w:r>
        <w:rPr>
          <w:rFonts w:ascii="宋体" w:hAnsi="宋体" w:eastAsia="宋体"/>
        </w:rPr>
        <w:t>5.1 测试设置</w:t>
      </w:r>
    </w:p>
    <w:p>
      <w:pPr>
        <w:ind w:firstLine="480"/>
      </w:pPr>
      <w:r>
        <w:rPr>
          <w:rFonts w:ascii="宋体" w:hAnsi="宋体" w:eastAsia="宋体"/>
        </w:rPr>
        <w:t>测试部分全部建立在统一安全主表之上，正式实验样本数为 399，训练集、验证集、测试集规模分别为 279、60、60。澄迈福橙与琼中绿橙在验证集和测试集中均保持 30:30 与 30:30 的平衡分布，保证分类与回归任务处在一致的评估条件下。</w:t>
      </w:r>
    </w:p>
    <w:p>
      <w:pPr>
        <w:ind w:firstLine="480"/>
      </w:pPr>
      <w:r>
        <w:rPr>
          <w:rFonts w:ascii="宋体" w:hAnsi="宋体" w:eastAsia="宋体"/>
        </w:rPr>
        <w:t>测试流程采用基线比较与优化比较并行的方式。分类任务重点看准确率、平衡准确率和 F1；回归任务重点看 R² 和 RMSE；液质成分任务在单项结果之外还关注平均 R² 的变化，以判断预处理和参数搜索是否带来稳定增益。所有结论均以正式实验结果为依据，不使用临时口径和零散结果替代正式测试。</w:t>
      </w:r>
    </w:p>
    <w:p>
      <w:pPr>
        <w:ind w:firstLine="480"/>
      </w:pPr>
      <w:r>
        <w:rPr>
          <w:rFonts w:ascii="宋体" w:hAnsi="宋体" w:eastAsia="宋体"/>
        </w:rPr>
        <w:t>表5-1 测试设置概况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测试项</w:t>
            </w:r>
          </w:p>
        </w:tc>
        <w:tc>
          <w:tcPr>
            <w:tcW w:type="dxa" w:w="2880"/>
          </w:tcPr>
          <w:p>
            <w:r>
              <w:t>设置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正式样本数</w:t>
            </w:r>
          </w:p>
        </w:tc>
        <w:tc>
          <w:tcPr>
            <w:tcW w:type="dxa" w:w="2880"/>
          </w:tcPr>
          <w:p>
            <w:r>
              <w:t>399</w:t>
            </w:r>
          </w:p>
        </w:tc>
        <w:tc>
          <w:tcPr>
            <w:tcW w:type="dxa" w:w="2880"/>
          </w:tcPr>
          <w:p>
            <w:r>
              <w:t>统一安全主表</w:t>
            </w:r>
          </w:p>
        </w:tc>
      </w:tr>
      <w:tr>
        <w:tc>
          <w:tcPr>
            <w:tcW w:type="dxa" w:w="2880"/>
          </w:tcPr>
          <w:p>
            <w:r>
              <w:t>数据划分</w:t>
            </w:r>
          </w:p>
        </w:tc>
        <w:tc>
          <w:tcPr>
            <w:tcW w:type="dxa" w:w="2880"/>
          </w:tcPr>
          <w:p>
            <w:r>
              <w:t>279/60/60</w:t>
            </w:r>
          </w:p>
        </w:tc>
        <w:tc>
          <w:tcPr>
            <w:tcW w:type="dxa" w:w="2880"/>
          </w:tcPr>
          <w:p>
            <w:r>
              <w:t>训练集/验证集/测试集</w:t>
            </w:r>
          </w:p>
        </w:tc>
      </w:tr>
      <w:tr>
        <w:tc>
          <w:tcPr>
            <w:tcW w:type="dxa" w:w="2880"/>
          </w:tcPr>
          <w:p>
            <w:r>
              <w:t>分类评估</w:t>
            </w:r>
          </w:p>
        </w:tc>
        <w:tc>
          <w:tcPr>
            <w:tcW w:type="dxa" w:w="2880"/>
          </w:tcPr>
          <w:p>
            <w:r>
              <w:t>准确率、平衡准确率、F1</w:t>
            </w:r>
          </w:p>
        </w:tc>
        <w:tc>
          <w:tcPr>
            <w:tcW w:type="dxa" w:w="2880"/>
          </w:tcPr>
          <w:p>
            <w:r>
              <w:t>用于产地溯源任务</w:t>
            </w:r>
          </w:p>
        </w:tc>
      </w:tr>
      <w:tr>
        <w:tc>
          <w:tcPr>
            <w:tcW w:type="dxa" w:w="2880"/>
          </w:tcPr>
          <w:p>
            <w:r>
              <w:t>回归评估</w:t>
            </w:r>
          </w:p>
        </w:tc>
        <w:tc>
          <w:tcPr>
            <w:tcW w:type="dxa" w:w="2880"/>
          </w:tcPr>
          <w:p>
            <w:r>
              <w:t>R²、RMSE</w:t>
            </w:r>
          </w:p>
        </w:tc>
        <w:tc>
          <w:tcPr>
            <w:tcW w:type="dxa" w:w="2880"/>
          </w:tcPr>
          <w:p>
            <w:r>
              <w:t>用于品质预测和液质成分预测任务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</w:rPr>
        <w:t>5.2 产地溯源对比分析</w:t>
      </w:r>
    </w:p>
    <w:p>
      <w:pPr>
        <w:ind w:firstLine="480"/>
      </w:pPr>
      <w:r>
        <w:rPr>
          <w:rFonts w:ascii="宋体" w:hAnsi="宋体" w:eastAsia="宋体"/>
        </w:rPr>
        <w:t>产地溯源是本项目当前表现最稳定的任务。以 S960单光谱 为输入时，逻辑回归 在验证集和测试集上的准确率、平衡准确率和 F1_macro 均达到 1.0000。对比赛展示而言，这一结果具备很强的说服力，因为它直接对应产地识别、批次核验和品牌溯源三个使用场景。</w:t>
      </w:r>
    </w:p>
    <w:p>
      <w:pPr>
        <w:ind w:firstLine="480"/>
      </w:pPr>
      <w:r>
        <w:rPr>
          <w:rFonts w:ascii="宋体" w:hAnsi="宋体" w:eastAsia="宋体"/>
        </w:rPr>
        <w:t>对比结果说明，S960 单光谱已经能够完整捕捉两地产地样本的区分信息；双光谱方案同样保持很高水平，并为后续品质预测和液质成分预测保留统一输入基础。也就是说，单光谱在产地判别上足够强，双光谱在全项目任务体系中更利于统一组织，这正是本项目多任务路线的实际价值所在。</w:t>
      </w:r>
    </w:p>
    <w:p>
      <w:pPr>
        <w:ind w:firstLine="480"/>
      </w:pPr>
      <w:r>
        <w:rPr>
          <w:rFonts w:ascii="宋体" w:hAnsi="宋体" w:eastAsia="宋体"/>
        </w:rPr>
        <w:t>表5-2 产地溯源代表性结果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特征方案</w:t>
            </w:r>
          </w:p>
        </w:tc>
        <w:tc>
          <w:tcPr>
            <w:tcW w:type="dxa" w:w="1728"/>
          </w:tcPr>
          <w:p>
            <w:r>
              <w:t>模型</w:t>
            </w:r>
          </w:p>
        </w:tc>
        <w:tc>
          <w:tcPr>
            <w:tcW w:type="dxa" w:w="1728"/>
          </w:tcPr>
          <w:p>
            <w:r>
              <w:t>验证集准确率</w:t>
            </w:r>
          </w:p>
        </w:tc>
        <w:tc>
          <w:tcPr>
            <w:tcW w:type="dxa" w:w="1728"/>
          </w:tcPr>
          <w:p>
            <w:r>
              <w:t>测试集准确率</w:t>
            </w:r>
          </w:p>
        </w:tc>
        <w:tc>
          <w:tcPr>
            <w:tcW w:type="dxa" w:w="1728"/>
          </w:tcPr>
          <w:p>
            <w:r>
              <w:t>测试集F1_macro</w:t>
            </w:r>
          </w:p>
        </w:tc>
      </w:tr>
      <w:tr>
        <w:tc>
          <w:tcPr>
            <w:tcW w:type="dxa" w:w="1728"/>
          </w:tcPr>
          <w:p>
            <w:r>
              <w:t>S960单光谱</w:t>
            </w:r>
          </w:p>
        </w:tc>
        <w:tc>
          <w:tcPr>
            <w:tcW w:type="dxa" w:w="1728"/>
          </w:tcPr>
          <w:p>
            <w:r>
              <w:t>逻辑回归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</w:tr>
      <w:tr>
        <w:tc>
          <w:tcPr>
            <w:tcW w:type="dxa" w:w="1728"/>
          </w:tcPr>
          <w:p>
            <w:r>
              <w:t>S960单光谱</w:t>
            </w:r>
          </w:p>
        </w:tc>
        <w:tc>
          <w:tcPr>
            <w:tcW w:type="dxa" w:w="1728"/>
          </w:tcPr>
          <w:p>
            <w:r>
              <w:t>线性SVM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</w:tr>
      <w:tr>
        <w:tc>
          <w:tcPr>
            <w:tcW w:type="dxa" w:w="1728"/>
          </w:tcPr>
          <w:p>
            <w:r>
              <w:t>R210+S960双光谱</w:t>
            </w:r>
          </w:p>
        </w:tc>
        <w:tc>
          <w:tcPr>
            <w:tcW w:type="dxa" w:w="1728"/>
          </w:tcPr>
          <w:p>
            <w:r>
              <w:t>LightGBM分类</w:t>
            </w:r>
          </w:p>
        </w:tc>
        <w:tc>
          <w:tcPr>
            <w:tcW w:type="dxa" w:w="1728"/>
          </w:tcPr>
          <w:p>
            <w:r>
              <w:t>0.9833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</w:rPr>
        <w:t>5.3 品质预测对比分析</w:t>
      </w:r>
    </w:p>
    <w:p>
      <w:pPr>
        <w:ind w:firstLine="480"/>
      </w:pPr>
      <w:r>
        <w:rPr>
          <w:rFonts w:ascii="宋体" w:hAnsi="宋体" w:eastAsia="宋体"/>
        </w:rPr>
        <w:t>品质预测任务中，糖度是当前最具代表性的指标。R210+S960双光谱 条件下的 岭回归 在测试集上取得 R²=0.7051、RMSE=0.8071，说明双光谱方案对糖度变化具有较好的响应能力。糖度结果直接对应果品分级和品质判断，也是比赛展示中最容易被理解和验证的一项结果。</w:t>
      </w:r>
    </w:p>
    <w:p>
      <w:pPr>
        <w:ind w:firstLine="480"/>
      </w:pPr>
      <w:r>
        <w:rPr>
          <w:rFonts w:ascii="宋体" w:hAnsi="宋体" w:eastAsia="宋体"/>
        </w:rPr>
        <w:t>从样本均值看，琼中绿橙平均糖度为 10.79，平均糖酸比为 18.11；澄迈福橙平均 VC 为 40.80。这些差异与页面展示和文字结论中的主要描述保持一致，使品质分析部分不仅有模型分数，也有可追溯到样本统计的事实支撑。VC 和糖酸比在测试中同样给出了可用信息，适合作为糖度结论的补充说明。</w:t>
      </w:r>
    </w:p>
    <w:p>
      <w:pPr>
        <w:ind w:firstLine="480"/>
      </w:pPr>
      <w:r>
        <w:rPr>
          <w:rFonts w:ascii="宋体" w:hAnsi="宋体" w:eastAsia="宋体"/>
        </w:rPr>
        <w:t>表5-3 品质预测代表性结果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指标</w:t>
            </w:r>
          </w:p>
        </w:tc>
        <w:tc>
          <w:tcPr>
            <w:tcW w:type="dxa" w:w="1728"/>
          </w:tcPr>
          <w:p>
            <w:r>
              <w:t>最佳模型</w:t>
            </w:r>
          </w:p>
        </w:tc>
        <w:tc>
          <w:tcPr>
            <w:tcW w:type="dxa" w:w="1728"/>
          </w:tcPr>
          <w:p>
            <w:r>
              <w:t>特征方案</w:t>
            </w:r>
          </w:p>
        </w:tc>
        <w:tc>
          <w:tcPr>
            <w:tcW w:type="dxa" w:w="1728"/>
          </w:tcPr>
          <w:p>
            <w:r>
              <w:t>测试集R²</w:t>
            </w:r>
          </w:p>
        </w:tc>
        <w:tc>
          <w:tcPr>
            <w:tcW w:type="dxa" w:w="1728"/>
          </w:tcPr>
          <w:p>
            <w:r>
              <w:t>测试集RMSE</w:t>
            </w:r>
          </w:p>
        </w:tc>
      </w:tr>
      <w:tr>
        <w:tc>
          <w:tcPr>
            <w:tcW w:type="dxa" w:w="1728"/>
          </w:tcPr>
          <w:p>
            <w:r>
              <w:t>糖度</w:t>
            </w:r>
          </w:p>
        </w:tc>
        <w:tc>
          <w:tcPr>
            <w:tcW w:type="dxa" w:w="1728"/>
          </w:tcPr>
          <w:p>
            <w:r>
              <w:t>岭回归</w:t>
            </w:r>
          </w:p>
        </w:tc>
        <w:tc>
          <w:tcPr>
            <w:tcW w:type="dxa" w:w="1728"/>
          </w:tcPr>
          <w:p>
            <w:r>
              <w:t>R210+S960双光谱</w:t>
            </w:r>
          </w:p>
        </w:tc>
        <w:tc>
          <w:tcPr>
            <w:tcW w:type="dxa" w:w="1728"/>
          </w:tcPr>
          <w:p>
            <w:r>
              <w:t>0.7051</w:t>
            </w:r>
          </w:p>
        </w:tc>
        <w:tc>
          <w:tcPr>
            <w:tcW w:type="dxa" w:w="1728"/>
          </w:tcPr>
          <w:p>
            <w:r>
              <w:t>0.8071</w:t>
            </w:r>
          </w:p>
        </w:tc>
      </w:tr>
      <w:tr>
        <w:tc>
          <w:tcPr>
            <w:tcW w:type="dxa" w:w="1728"/>
          </w:tcPr>
          <w:p>
            <w:r>
              <w:t>VC</w:t>
            </w:r>
          </w:p>
        </w:tc>
        <w:tc>
          <w:tcPr>
            <w:tcW w:type="dxa" w:w="1728"/>
          </w:tcPr>
          <w:p>
            <w:r>
              <w:t>PLS回归</w:t>
            </w:r>
          </w:p>
        </w:tc>
        <w:tc>
          <w:tcPr>
            <w:tcW w:type="dxa" w:w="1728"/>
          </w:tcPr>
          <w:p>
            <w:r>
              <w:t>R210单光谱</w:t>
            </w:r>
          </w:p>
        </w:tc>
        <w:tc>
          <w:tcPr>
            <w:tcW w:type="dxa" w:w="1728"/>
          </w:tcPr>
          <w:p>
            <w:r>
              <w:t>0.3778</w:t>
            </w:r>
          </w:p>
        </w:tc>
        <w:tc>
          <w:tcPr>
            <w:tcW w:type="dxa" w:w="1728"/>
          </w:tcPr>
          <w:p>
            <w:r>
              <w:t>5.7642</w:t>
            </w:r>
          </w:p>
        </w:tc>
      </w:tr>
      <w:tr>
        <w:tc>
          <w:tcPr>
            <w:tcW w:type="dxa" w:w="1728"/>
          </w:tcPr>
          <w:p>
            <w:r>
              <w:t>糖酸比</w:t>
            </w:r>
          </w:p>
        </w:tc>
        <w:tc>
          <w:tcPr>
            <w:tcW w:type="dxa" w:w="1728"/>
          </w:tcPr>
          <w:p>
            <w:r>
              <w:t>PLS回归</w:t>
            </w:r>
          </w:p>
        </w:tc>
        <w:tc>
          <w:tcPr>
            <w:tcW w:type="dxa" w:w="1728"/>
          </w:tcPr>
          <w:p>
            <w:r>
              <w:t>R210单光谱</w:t>
            </w:r>
          </w:p>
        </w:tc>
        <w:tc>
          <w:tcPr>
            <w:tcW w:type="dxa" w:w="1728"/>
          </w:tcPr>
          <w:p>
            <w:r>
              <w:t>0.3654</w:t>
            </w:r>
          </w:p>
        </w:tc>
        <w:tc>
          <w:tcPr>
            <w:tcW w:type="dxa" w:w="1728"/>
          </w:tcPr>
          <w:p>
            <w:r>
              <w:t>2.9632</w:t>
            </w:r>
          </w:p>
        </w:tc>
      </w:tr>
    </w:tbl>
    <w:p/>
    <w:p>
      <w:pPr>
        <w:ind w:firstLine="480"/>
      </w:pPr>
      <w:r>
        <w:rPr>
          <w:rFonts w:ascii="宋体" w:hAnsi="宋体" w:eastAsia="宋体"/>
        </w:rPr>
        <w:t>表5-4 两地产地部分指标均值对比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产地</w:t>
            </w:r>
          </w:p>
        </w:tc>
        <w:tc>
          <w:tcPr>
            <w:tcW w:type="dxa" w:w="2160"/>
          </w:tcPr>
          <w:p>
            <w:r>
              <w:t>平均糖度</w:t>
            </w:r>
          </w:p>
        </w:tc>
        <w:tc>
          <w:tcPr>
            <w:tcW w:type="dxa" w:w="2160"/>
          </w:tcPr>
          <w:p>
            <w:r>
              <w:t>平均糖酸比</w:t>
            </w:r>
          </w:p>
        </w:tc>
        <w:tc>
          <w:tcPr>
            <w:tcW w:type="dxa" w:w="2160"/>
          </w:tcPr>
          <w:p>
            <w:r>
              <w:t>平均VC</w:t>
            </w:r>
          </w:p>
        </w:tc>
      </w:tr>
      <w:tr>
        <w:tc>
          <w:tcPr>
            <w:tcW w:type="dxa" w:w="2160"/>
          </w:tcPr>
          <w:p>
            <w:r>
              <w:t>澄迈福橙</w:t>
            </w:r>
          </w:p>
        </w:tc>
        <w:tc>
          <w:tcPr>
            <w:tcW w:type="dxa" w:w="2160"/>
          </w:tcPr>
          <w:p>
            <w:r>
              <w:t>9.72</w:t>
            </w:r>
          </w:p>
        </w:tc>
        <w:tc>
          <w:tcPr>
            <w:tcW w:type="dxa" w:w="2160"/>
          </w:tcPr>
          <w:p>
            <w:r>
              <w:t>15.35</w:t>
            </w:r>
          </w:p>
        </w:tc>
        <w:tc>
          <w:tcPr>
            <w:tcW w:type="dxa" w:w="2160"/>
          </w:tcPr>
          <w:p>
            <w:r>
              <w:t>40.80</w:t>
            </w:r>
          </w:p>
        </w:tc>
      </w:tr>
      <w:tr>
        <w:tc>
          <w:tcPr>
            <w:tcW w:type="dxa" w:w="2160"/>
          </w:tcPr>
          <w:p>
            <w:r>
              <w:t>琼中绿橙</w:t>
            </w:r>
          </w:p>
        </w:tc>
        <w:tc>
          <w:tcPr>
            <w:tcW w:type="dxa" w:w="2160"/>
          </w:tcPr>
          <w:p>
            <w:r>
              <w:t>10.79</w:t>
            </w:r>
          </w:p>
        </w:tc>
        <w:tc>
          <w:tcPr>
            <w:tcW w:type="dxa" w:w="2160"/>
          </w:tcPr>
          <w:p>
            <w:r>
              <w:t>18.11</w:t>
            </w:r>
          </w:p>
        </w:tc>
        <w:tc>
          <w:tcPr>
            <w:tcW w:type="dxa" w:w="2160"/>
          </w:tcPr>
          <w:p>
            <w:r>
              <w:t>31.00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</w:rPr>
        <w:t>5.4 液质成分对比分析</w:t>
      </w:r>
    </w:p>
    <w:p>
      <w:pPr>
        <w:ind w:firstLine="480"/>
      </w:pPr>
      <w:r>
        <w:rPr>
          <w:rFonts w:ascii="宋体" w:hAnsi="宋体" w:eastAsia="宋体"/>
        </w:rPr>
        <w:t>液质成分预测是本项目最能体现多模态分析价值的部分。基线实验中，R210+S960双光谱 + 岭回归 已取得验证集平均 R²=0.6811、测试集平均 R²=0.6620。在此基础上，项目继续引入 SNV 预处理、PCA 降维和参数搜索后，验证集平均 R² 提升到 0.7104，测试集平均 R² 提升到 0.6975，增益分别达到 0.0294 和 0.0355。</w:t>
      </w:r>
    </w:p>
    <w:p>
      <w:pPr>
        <w:ind w:firstLine="480"/>
      </w:pPr>
      <w:r>
        <w:rPr>
          <w:rFonts w:ascii="宋体" w:hAnsi="宋体" w:eastAsia="宋体"/>
        </w:rPr>
        <w:t>单项结果中，异柠檬酸测试集 R² 达到 0.8225，莽草酸达到 0.8024，蔗糖达到 0.6773，E-1-丙烯-1,2,3-三羧酸达到 0.7943。这些成分结果把项目分析范围从宏观品质指标推进到内部成分层面，使“来自哪里”和“内部有什么差异”两类问题可以在同一项目中同时得到回应。</w:t>
      </w:r>
    </w:p>
    <w:p>
      <w:pPr>
        <w:ind w:firstLine="480"/>
      </w:pPr>
      <w:r>
        <w:rPr>
          <w:rFonts w:ascii="宋体" w:hAnsi="宋体" w:eastAsia="宋体"/>
        </w:rPr>
        <w:t>从样本统计看，澄迈福橙在异柠檬酸均值上更高，平均为 2513.34；琼中绿橙在蔗糖均值上更高，平均为 25.19。因此，液质成分部分并不是孤立的高分结果，而是与两地产地差异、品质差异一起构成了可解释的项目内容。</w:t>
      </w:r>
    </w:p>
    <w:p>
      <w:pPr>
        <w:ind w:firstLine="480"/>
      </w:pPr>
      <w:r>
        <w:rPr>
          <w:rFonts w:ascii="宋体" w:hAnsi="宋体" w:eastAsia="宋体"/>
        </w:rPr>
        <w:t>表5-5 液质成分任务整体增益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阶段</w:t>
            </w:r>
          </w:p>
        </w:tc>
        <w:tc>
          <w:tcPr>
            <w:tcW w:type="dxa" w:w="2160"/>
          </w:tcPr>
          <w:p>
            <w:r>
              <w:t>验证集平均R²</w:t>
            </w:r>
          </w:p>
        </w:tc>
        <w:tc>
          <w:tcPr>
            <w:tcW w:type="dxa" w:w="2160"/>
          </w:tcPr>
          <w:p>
            <w:r>
              <w:t>测试集平均R²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基线实验</w:t>
            </w:r>
          </w:p>
        </w:tc>
        <w:tc>
          <w:tcPr>
            <w:tcW w:type="dxa" w:w="2160"/>
          </w:tcPr>
          <w:p>
            <w:r>
              <w:t>0.6811</w:t>
            </w:r>
          </w:p>
        </w:tc>
        <w:tc>
          <w:tcPr>
            <w:tcW w:type="dxa" w:w="2160"/>
          </w:tcPr>
          <w:p>
            <w:r>
              <w:t>0.6620</w:t>
            </w:r>
          </w:p>
        </w:tc>
        <w:tc>
          <w:tcPr>
            <w:tcW w:type="dxa" w:w="2160"/>
          </w:tcPr>
          <w:p>
            <w:r>
              <w:t>R210+S960双光谱 + 岭回归</w:t>
            </w:r>
          </w:p>
        </w:tc>
      </w:tr>
      <w:tr>
        <w:tc>
          <w:tcPr>
            <w:tcW w:type="dxa" w:w="2160"/>
          </w:tcPr>
          <w:p>
            <w:r>
              <w:t>优化后最优验证方案</w:t>
            </w:r>
          </w:p>
        </w:tc>
        <w:tc>
          <w:tcPr>
            <w:tcW w:type="dxa" w:w="2160"/>
          </w:tcPr>
          <w:p>
            <w:r>
              <w:t>0.7104</w:t>
            </w:r>
          </w:p>
        </w:tc>
        <w:tc>
          <w:tcPr>
            <w:tcW w:type="dxa" w:w="2160"/>
          </w:tcPr>
          <w:p>
            <w:r>
              <w:t>0.6803</w:t>
            </w:r>
          </w:p>
        </w:tc>
        <w:tc>
          <w:tcPr>
            <w:tcW w:type="dxa" w:w="2160"/>
          </w:tcPr>
          <w:p>
            <w:r>
              <w:t>路线2: SNV_PCA降维_Ridge搜索</w:t>
            </w:r>
          </w:p>
        </w:tc>
      </w:tr>
      <w:tr>
        <w:tc>
          <w:tcPr>
            <w:tcW w:type="dxa" w:w="2160"/>
          </w:tcPr>
          <w:p>
            <w:r>
              <w:t>优化后最优测试方案</w:t>
            </w:r>
          </w:p>
        </w:tc>
        <w:tc>
          <w:tcPr>
            <w:tcW w:type="dxa" w:w="2160"/>
          </w:tcPr>
          <w:p>
            <w:r>
              <w:t>0.7048</w:t>
            </w:r>
          </w:p>
        </w:tc>
        <w:tc>
          <w:tcPr>
            <w:tcW w:type="dxa" w:w="2160"/>
          </w:tcPr>
          <w:p>
            <w:r>
              <w:t>0.6975</w:t>
            </w:r>
          </w:p>
        </w:tc>
        <w:tc>
          <w:tcPr>
            <w:tcW w:type="dxa" w:w="2160"/>
          </w:tcPr>
          <w:p>
            <w:r>
              <w:t>路线2: SNV_PCA降维_Ridge搜索</w:t>
            </w:r>
          </w:p>
        </w:tc>
      </w:tr>
    </w:tbl>
    <w:p/>
    <w:p>
      <w:pPr>
        <w:ind w:firstLine="480"/>
      </w:pPr>
      <w:r>
        <w:rPr>
          <w:rFonts w:ascii="宋体" w:hAnsi="宋体" w:eastAsia="宋体"/>
        </w:rPr>
        <w:t>表5-6 液质成分代表性结果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指标</w:t>
            </w:r>
          </w:p>
        </w:tc>
        <w:tc>
          <w:tcPr>
            <w:tcW w:type="dxa" w:w="2160"/>
          </w:tcPr>
          <w:p>
            <w:r>
              <w:t>最佳模型</w:t>
            </w:r>
          </w:p>
        </w:tc>
        <w:tc>
          <w:tcPr>
            <w:tcW w:type="dxa" w:w="2160"/>
          </w:tcPr>
          <w:p>
            <w:r>
              <w:t>特征方案</w:t>
            </w:r>
          </w:p>
        </w:tc>
        <w:tc>
          <w:tcPr>
            <w:tcW w:type="dxa" w:w="2160"/>
          </w:tcPr>
          <w:p>
            <w:r>
              <w:t>测试集R²</w:t>
            </w:r>
          </w:p>
        </w:tc>
      </w:tr>
      <w:tr>
        <w:tc>
          <w:tcPr>
            <w:tcW w:type="dxa" w:w="2160"/>
          </w:tcPr>
          <w:p>
            <w:r>
              <w:t>异柠檬酸</w:t>
            </w:r>
          </w:p>
        </w:tc>
        <w:tc>
          <w:tcPr>
            <w:tcW w:type="dxa" w:w="2160"/>
          </w:tcPr>
          <w:p>
            <w:r>
              <w:t>XGBoost回归</w:t>
            </w:r>
          </w:p>
        </w:tc>
        <w:tc>
          <w:tcPr>
            <w:tcW w:type="dxa" w:w="2160"/>
          </w:tcPr>
          <w:p>
            <w:r>
              <w:t>R210+S960双光谱</w:t>
            </w:r>
          </w:p>
        </w:tc>
        <w:tc>
          <w:tcPr>
            <w:tcW w:type="dxa" w:w="2160"/>
          </w:tcPr>
          <w:p>
            <w:r>
              <w:t>0.8225</w:t>
            </w:r>
          </w:p>
        </w:tc>
      </w:tr>
      <w:tr>
        <w:tc>
          <w:tcPr>
            <w:tcW w:type="dxa" w:w="2160"/>
          </w:tcPr>
          <w:p>
            <w:r>
              <w:t>莽草酸</w:t>
            </w:r>
          </w:p>
        </w:tc>
        <w:tc>
          <w:tcPr>
            <w:tcW w:type="dxa" w:w="2160"/>
          </w:tcPr>
          <w:p>
            <w:r>
              <w:t>XGBoost回归</w:t>
            </w:r>
          </w:p>
        </w:tc>
        <w:tc>
          <w:tcPr>
            <w:tcW w:type="dxa" w:w="2160"/>
          </w:tcPr>
          <w:p>
            <w:r>
              <w:t>R210+S960双光谱</w:t>
            </w:r>
          </w:p>
        </w:tc>
        <w:tc>
          <w:tcPr>
            <w:tcW w:type="dxa" w:w="2160"/>
          </w:tcPr>
          <w:p>
            <w:r>
              <w:t>0.8024</w:t>
            </w:r>
          </w:p>
        </w:tc>
      </w:tr>
      <w:tr>
        <w:tc>
          <w:tcPr>
            <w:tcW w:type="dxa" w:w="2160"/>
          </w:tcPr>
          <w:p>
            <w:r>
              <w:t>蔗糖</w:t>
            </w:r>
          </w:p>
        </w:tc>
        <w:tc>
          <w:tcPr>
            <w:tcW w:type="dxa" w:w="2160"/>
          </w:tcPr>
          <w:p>
            <w:r>
              <w:t>随机森林回归</w:t>
            </w:r>
          </w:p>
        </w:tc>
        <w:tc>
          <w:tcPr>
            <w:tcW w:type="dxa" w:w="2160"/>
          </w:tcPr>
          <w:p>
            <w:r>
              <w:t>R210+S960双光谱</w:t>
            </w:r>
          </w:p>
        </w:tc>
        <w:tc>
          <w:tcPr>
            <w:tcW w:type="dxa" w:w="2160"/>
          </w:tcPr>
          <w:p>
            <w:r>
              <w:t>0.6773</w:t>
            </w:r>
          </w:p>
        </w:tc>
      </w:tr>
      <w:tr>
        <w:tc>
          <w:tcPr>
            <w:tcW w:type="dxa" w:w="2160"/>
          </w:tcPr>
          <w:p>
            <w:r>
              <w:t>E-1-丙烯-1,2,3-三羧酸</w:t>
            </w:r>
          </w:p>
        </w:tc>
        <w:tc>
          <w:tcPr>
            <w:tcW w:type="dxa" w:w="2160"/>
          </w:tcPr>
          <w:p>
            <w:r>
              <w:t>岭回归</w:t>
            </w:r>
          </w:p>
        </w:tc>
        <w:tc>
          <w:tcPr>
            <w:tcW w:type="dxa" w:w="2160"/>
          </w:tcPr>
          <w:p>
            <w:r>
              <w:t>S960单光谱</w:t>
            </w:r>
          </w:p>
        </w:tc>
        <w:tc>
          <w:tcPr>
            <w:tcW w:type="dxa" w:w="2160"/>
          </w:tcPr>
          <w:p>
            <w:r>
              <w:t>0.7943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</w:rPr>
        <w:t>5.5 综合测试结论</w:t>
      </w:r>
    </w:p>
    <w:p>
      <w:pPr>
        <w:ind w:firstLine="480"/>
      </w:pPr>
      <w:r>
        <w:rPr>
          <w:rFonts w:ascii="宋体" w:hAnsi="宋体" w:eastAsia="宋体"/>
        </w:rPr>
        <w:t>测试部分最终形成了三组核心结果：产地溯源在测试集上实现稳定区分，糖度预测给出了可直接用于品质说明的关键指标，液质成分预测补充了内部成分差异信息。三类结果全部来自同一安全主表和同一套样本划分，能够在同一份项目报告中并列呈现。</w:t>
      </w:r>
    </w:p>
    <w:p>
      <w:pPr>
        <w:ind w:firstLine="480"/>
      </w:pPr>
      <w:r>
        <w:rPr>
          <w:rFonts w:ascii="宋体" w:hAnsi="宋体" w:eastAsia="宋体"/>
        </w:rPr>
        <w:t>表5-7 主要测试结论与应用对应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任务</w:t>
            </w:r>
          </w:p>
        </w:tc>
        <w:tc>
          <w:tcPr>
            <w:tcW w:type="dxa" w:w="2880"/>
          </w:tcPr>
          <w:p>
            <w:r>
              <w:t>代表结果</w:t>
            </w:r>
          </w:p>
        </w:tc>
        <w:tc>
          <w:tcPr>
            <w:tcW w:type="dxa" w:w="2880"/>
          </w:tcPr>
          <w:p>
            <w:r>
              <w:t>对应应用</w:t>
            </w:r>
          </w:p>
        </w:tc>
      </w:tr>
      <w:tr>
        <w:tc>
          <w:tcPr>
            <w:tcW w:type="dxa" w:w="2880"/>
          </w:tcPr>
          <w:p>
            <w:r>
              <w:t>产地溯源</w:t>
            </w:r>
          </w:p>
        </w:tc>
        <w:tc>
          <w:tcPr>
            <w:tcW w:type="dxa" w:w="2880"/>
          </w:tcPr>
          <w:p>
            <w:r>
              <w:t>S960 单光谱逻辑回归/线性SVM 测试准确率 1.0000</w:t>
            </w:r>
          </w:p>
        </w:tc>
        <w:tc>
          <w:tcPr>
            <w:tcW w:type="dxa" w:w="2880"/>
          </w:tcPr>
          <w:p>
            <w:r>
              <w:t>产地识别、品牌溯源、批次核验</w:t>
            </w:r>
          </w:p>
        </w:tc>
      </w:tr>
      <w:tr>
        <w:tc>
          <w:tcPr>
            <w:tcW w:type="dxa" w:w="2880"/>
          </w:tcPr>
          <w:p>
            <w:r>
              <w:t>品质预测</w:t>
            </w:r>
          </w:p>
        </w:tc>
        <w:tc>
          <w:tcPr>
            <w:tcW w:type="dxa" w:w="2880"/>
          </w:tcPr>
          <w:p>
            <w:r>
              <w:t>糖度预测测试集 R² 0.7051</w:t>
            </w:r>
          </w:p>
        </w:tc>
        <w:tc>
          <w:tcPr>
            <w:tcW w:type="dxa" w:w="2880"/>
          </w:tcPr>
          <w:p>
            <w:r>
              <w:t>果品分级、品质判断、批次说明</w:t>
            </w:r>
          </w:p>
        </w:tc>
      </w:tr>
      <w:tr>
        <w:tc>
          <w:tcPr>
            <w:tcW w:type="dxa" w:w="2880"/>
          </w:tcPr>
          <w:p>
            <w:r>
              <w:t>液质成分预测</w:t>
            </w:r>
          </w:p>
        </w:tc>
        <w:tc>
          <w:tcPr>
            <w:tcW w:type="dxa" w:w="2880"/>
          </w:tcPr>
          <w:p>
            <w:r>
              <w:t>异柠檬酸 R² 0.8225，莽草酸 R² 0.8024</w:t>
            </w:r>
          </w:p>
        </w:tc>
        <w:tc>
          <w:tcPr>
            <w:tcW w:type="dxa" w:w="2880"/>
          </w:tcPr>
          <w:p>
            <w:r>
              <w:t>内部成分解析、差异说明、重点结果展示</w:t>
            </w:r>
          </w:p>
        </w:tc>
      </w:tr>
    </w:tbl>
    <w:p/>
    <w:p>
      <w:pPr>
        <w:pStyle w:val="Heading1"/>
      </w:pPr>
      <w:r>
        <w:rPr>
          <w:rFonts w:ascii="宋体" w:hAnsi="宋体" w:eastAsia="宋体"/>
        </w:rPr>
        <w:t>第六章 项目总结</w:t>
      </w:r>
    </w:p>
    <w:p>
      <w:pPr>
        <w:pStyle w:val="Heading2"/>
      </w:pPr>
      <w:r>
        <w:rPr>
          <w:rFonts w:ascii="宋体" w:hAnsi="宋体" w:eastAsia="宋体"/>
        </w:rPr>
        <w:t>6.1 项目特色与创新点</w:t>
      </w:r>
    </w:p>
    <w:p>
      <w:pPr>
        <w:ind w:firstLine="480"/>
      </w:pPr>
      <w:r>
        <w:rPr>
          <w:rFonts w:ascii="宋体" w:hAnsi="宋体" w:eastAsia="宋体"/>
        </w:rPr>
        <w:t>本项目在正式实验前完成 HSI 排查、S960 共同波段对齐和安全主表重建，正式测试全部建立在 399 个安全样本上。面对多模态资料中的异常模态和跨产地重复问题，项目没有把全部数据直接送入建模，而是先完成数据治理，再进入正式实验。</w:t>
      </w:r>
    </w:p>
    <w:p>
      <w:pPr>
        <w:ind w:firstLine="480"/>
      </w:pPr>
      <w:r>
        <w:rPr>
          <w:rFonts w:ascii="宋体" w:hAnsi="宋体" w:eastAsia="宋体"/>
        </w:rPr>
        <w:t>产地判别、品质评价和液质成分预测共用统一编号、统一主表和统一划分方案，结果在页面和报告中围绕同一编号样本展开。查看单个样本时，产地、糖度、VC 和重点成分结果能够同时对应到同一份记录中。</w:t>
      </w:r>
    </w:p>
    <w:p>
      <w:pPr>
        <w:ind w:firstLine="480"/>
      </w:pPr>
      <w:r>
        <w:rPr>
          <w:rFonts w:ascii="宋体" w:hAnsi="宋体" w:eastAsia="宋体"/>
        </w:rPr>
        <w:t>项目输出覆盖页面展示、历史记录、中文结果说明和正式报告文本，检测结果可以直接进入验货、展示、归档和教学说明等环节。比赛现场展示时，评审看到的不再是零散指标，而是围绕样本组织好的成套结果。</w:t>
      </w:r>
    </w:p>
    <w:p>
      <w:pPr>
        <w:ind w:firstLine="480"/>
      </w:pPr>
      <w:r>
        <w:rPr>
          <w:rFonts w:ascii="宋体" w:hAnsi="宋体" w:eastAsia="宋体"/>
        </w:rPr>
        <w:t>表6-1 项目特色与创新点概述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创新点</w:t>
            </w:r>
          </w:p>
        </w:tc>
        <w:tc>
          <w:tcPr>
            <w:tcW w:type="dxa" w:w="4320"/>
          </w:tcPr>
          <w:p>
            <w:r>
              <w:t>具体体现</w:t>
            </w:r>
          </w:p>
        </w:tc>
      </w:tr>
      <w:tr>
        <w:tc>
          <w:tcPr>
            <w:tcW w:type="dxa" w:w="4320"/>
          </w:tcPr>
          <w:p>
            <w:r>
              <w:t>数据治理创新</w:t>
            </w:r>
          </w:p>
        </w:tc>
        <w:tc>
          <w:tcPr>
            <w:tcW w:type="dxa" w:w="4320"/>
          </w:tcPr>
          <w:p>
            <w:r>
              <w:t>识别 HSI 跨产地完全重复问题，剔除异常模态并重建安全主表</w:t>
            </w:r>
          </w:p>
        </w:tc>
      </w:tr>
      <w:tr>
        <w:tc>
          <w:tcPr>
            <w:tcW w:type="dxa" w:w="4320"/>
          </w:tcPr>
          <w:p>
            <w:r>
              <w:t>多任务协同创新</w:t>
            </w:r>
          </w:p>
        </w:tc>
        <w:tc>
          <w:tcPr>
            <w:tcW w:type="dxa" w:w="4320"/>
          </w:tcPr>
          <w:p>
            <w:r>
              <w:t>产地、品质、液质成分三类任务共用统一样本体系和统一划分方案</w:t>
            </w:r>
          </w:p>
        </w:tc>
      </w:tr>
      <w:tr>
        <w:tc>
          <w:tcPr>
            <w:tcW w:type="dxa" w:w="4320"/>
          </w:tcPr>
          <w:p>
            <w:r>
              <w:t>结果组织创新</w:t>
            </w:r>
          </w:p>
        </w:tc>
        <w:tc>
          <w:tcPr>
            <w:tcW w:type="dxa" w:w="4320"/>
          </w:tcPr>
          <w:p>
            <w:r>
              <w:t>分析结果围绕样本编号组织为页面展示、历史记录和正式报告</w:t>
            </w:r>
          </w:p>
        </w:tc>
      </w:tr>
      <w:tr>
        <w:tc>
          <w:tcPr>
            <w:tcW w:type="dxa" w:w="4320"/>
          </w:tcPr>
          <w:p>
            <w:r>
              <w:t>场景贯通创新</w:t>
            </w:r>
          </w:p>
        </w:tc>
        <w:tc>
          <w:tcPr>
            <w:tcW w:type="dxa" w:w="4320"/>
          </w:tcPr>
          <w:p>
            <w:r>
              <w:t>把样本录入、分析处理、结果说明和留档放到同一条项目链路中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</w:rPr>
        <w:t>6.2 应用推广</w:t>
      </w:r>
    </w:p>
    <w:p>
      <w:pPr>
        <w:ind w:firstLine="480"/>
      </w:pPr>
      <w:r>
        <w:rPr>
          <w:rFonts w:ascii="宋体" w:hAnsi="宋体" w:eastAsia="宋体"/>
        </w:rPr>
        <w:t>本项目最适合首先落在海南特色柑橘的品质检测与产地说明场景。对产地和合作社而言，项目可用于样本登记、批次对比和品质初判；对品牌和渠道而言，项目可用于产地核验、结果展示和批次说明；对区域展馆和教学场景而言，项目可作为海南特色果品数字化检测的展示案例。当前项目已经具备稳定的数据底座、明确的测试结果和成形的系统展示界面，具备开展区域试点和赛事展示的现实基础。</w:t>
      </w:r>
    </w:p>
    <w:p>
      <w:pPr>
        <w:ind w:firstLine="480"/>
      </w:pPr>
      <w:r>
        <w:rPr>
          <w:rFonts w:ascii="宋体" w:hAnsi="宋体" w:eastAsia="宋体"/>
        </w:rPr>
        <w:t>随着样本规模扩大和品类继续接入，本项目的推广对象不局限于两类柑橘样本。以当前的数据治理方法、多任务分析流程和结果组织方式为基础，项目可继续扩展到更多柑橘品种及其他特色农产品场景，在区域农业数字化、标准化和品牌化建设中形成可复用的方法模板。</w:t>
      </w:r>
    </w:p>
    <w:p>
      <w:pPr>
        <w:ind w:firstLine="480"/>
      </w:pPr>
      <w:r>
        <w:rPr>
          <w:rFonts w:ascii="宋体" w:hAnsi="宋体" w:eastAsia="宋体"/>
        </w:rPr>
        <w:t>表6-2 应用推广方向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推广方向</w:t>
            </w:r>
          </w:p>
        </w:tc>
        <w:tc>
          <w:tcPr>
            <w:tcW w:type="dxa" w:w="2880"/>
          </w:tcPr>
          <w:p>
            <w:r>
              <w:t>落地场景</w:t>
            </w:r>
          </w:p>
        </w:tc>
        <w:tc>
          <w:tcPr>
            <w:tcW w:type="dxa" w:w="2880"/>
          </w:tcPr>
          <w:p>
            <w:r>
              <w:t>项目价值</w:t>
            </w:r>
          </w:p>
        </w:tc>
      </w:tr>
      <w:tr>
        <w:tc>
          <w:tcPr>
            <w:tcW w:type="dxa" w:w="2880"/>
          </w:tcPr>
          <w:p>
            <w:r>
              <w:t>品质检测</w:t>
            </w:r>
          </w:p>
        </w:tc>
        <w:tc>
          <w:tcPr>
            <w:tcW w:type="dxa" w:w="2880"/>
          </w:tcPr>
          <w:p>
            <w:r>
              <w:t>果园、合作社、分选环节</w:t>
            </w:r>
          </w:p>
        </w:tc>
        <w:tc>
          <w:tcPr>
            <w:tcW w:type="dxa" w:w="2880"/>
          </w:tcPr>
          <w:p>
            <w:r>
              <w:t>辅助分级、批次说明、结果留档</w:t>
            </w:r>
          </w:p>
        </w:tc>
      </w:tr>
      <w:tr>
        <w:tc>
          <w:tcPr>
            <w:tcW w:type="dxa" w:w="2880"/>
          </w:tcPr>
          <w:p>
            <w:r>
              <w:t>产地核验</w:t>
            </w:r>
          </w:p>
        </w:tc>
        <w:tc>
          <w:tcPr>
            <w:tcW w:type="dxa" w:w="2880"/>
          </w:tcPr>
          <w:p>
            <w:r>
              <w:t>品牌展示、渠道验货</w:t>
            </w:r>
          </w:p>
        </w:tc>
        <w:tc>
          <w:tcPr>
            <w:tcW w:type="dxa" w:w="2880"/>
          </w:tcPr>
          <w:p>
            <w:r>
              <w:t>支撑产地识别与批次核验</w:t>
            </w:r>
          </w:p>
        </w:tc>
      </w:tr>
      <w:tr>
        <w:tc>
          <w:tcPr>
            <w:tcW w:type="dxa" w:w="2880"/>
          </w:tcPr>
          <w:p>
            <w:r>
              <w:t>教学展示</w:t>
            </w:r>
          </w:p>
        </w:tc>
        <w:tc>
          <w:tcPr>
            <w:tcW w:type="dxa" w:w="2880"/>
          </w:tcPr>
          <w:p>
            <w:r>
              <w:t>课程实践、成果展示</w:t>
            </w:r>
          </w:p>
        </w:tc>
        <w:tc>
          <w:tcPr>
            <w:tcW w:type="dxa" w:w="2880"/>
          </w:tcPr>
          <w:p>
            <w:r>
              <w:t>支撑数据治理与多任务分析演示</w:t>
            </w:r>
          </w:p>
        </w:tc>
      </w:tr>
      <w:tr>
        <w:tc>
          <w:tcPr>
            <w:tcW w:type="dxa" w:w="2880"/>
          </w:tcPr>
          <w:p>
            <w:r>
              <w:t>区域拓展</w:t>
            </w:r>
          </w:p>
        </w:tc>
        <w:tc>
          <w:tcPr>
            <w:tcW w:type="dxa" w:w="2880"/>
          </w:tcPr>
          <w:p>
            <w:r>
              <w:t>更多柑橘和特色农产品</w:t>
            </w:r>
          </w:p>
        </w:tc>
        <w:tc>
          <w:tcPr>
            <w:tcW w:type="dxa" w:w="2880"/>
          </w:tcPr>
          <w:p>
            <w:r>
              <w:t>复用数据治理方法和结果输出方式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</w:rPr>
        <w:t>6.3 项目展望</w:t>
      </w:r>
    </w:p>
    <w:p>
      <w:pPr>
        <w:ind w:firstLine="480"/>
      </w:pPr>
      <w:r>
        <w:rPr>
          <w:rFonts w:ascii="宋体" w:hAnsi="宋体" w:eastAsia="宋体"/>
        </w:rPr>
        <w:t>下一阶段，项目将继续围绕样本扩充、品类扩展和结果表达深化三条线推进。样本侧将引入更多批次和季节数据，增强模型对实际生产场景的覆盖；任务侧将把现有双光谱分析方法推广到更多柑橘与特色农产品；表达侧将继续丰富图表展示、报告模板和场景化说明，使项目在比赛展示之外，也能更好服务于区域品牌建设和农业数字化应用。</w:t>
      </w:r>
    </w:p>
    <w:p>
      <w:pPr>
        <w:pStyle w:val="Heading1"/>
      </w:pPr>
      <w:r>
        <w:rPr>
          <w:rFonts w:ascii="宋体" w:hAnsi="宋体" w:eastAsia="宋体"/>
        </w:rPr>
        <w:t>参考文献</w:t>
      </w:r>
    </w:p>
    <w:p>
      <w:pPr>
        <w:ind w:firstLine="480"/>
      </w:pPr>
      <w:r>
        <w:rPr>
          <w:rFonts w:ascii="宋体" w:hAnsi="宋体" w:eastAsia="宋体"/>
        </w:rPr>
        <w:t>[1] 正式实验/研究记录/正式实验概览.json</w:t>
      </w:r>
    </w:p>
    <w:p>
      <w:pPr>
        <w:ind w:firstLine="480"/>
      </w:pPr>
      <w:r>
        <w:rPr>
          <w:rFonts w:ascii="宋体" w:hAnsi="宋体" w:eastAsia="宋体"/>
        </w:rPr>
        <w:t>[2] 正式实验/研究记录/双光谱正式研究顺序记录.md</w:t>
      </w:r>
    </w:p>
    <w:p>
      <w:pPr>
        <w:ind w:firstLine="480"/>
      </w:pPr>
      <w:r>
        <w:rPr>
          <w:rFonts w:ascii="宋体" w:hAnsi="宋体" w:eastAsia="宋体"/>
        </w:rPr>
        <w:t>[3] 正式实验/研究记录/第一版双光谱基线实验摘要.json</w:t>
      </w:r>
    </w:p>
    <w:p>
      <w:pPr>
        <w:ind w:firstLine="480"/>
      </w:pPr>
      <w:r>
        <w:rPr>
          <w:rFonts w:ascii="宋体" w:hAnsi="宋体" w:eastAsia="宋体"/>
        </w:rPr>
        <w:t>[4] 正式实验/研究记录/进阶优化记录/液质预测进阶调参完整记录.csv</w:t>
      </w:r>
    </w:p>
    <w:p>
      <w:pPr>
        <w:ind w:firstLine="480"/>
      </w:pPr>
      <w:r>
        <w:rPr>
          <w:rFonts w:ascii="宋体" w:hAnsi="宋体" w:eastAsia="宋体"/>
        </w:rPr>
        <w:t>[5] 清洗结果/质检信息/汇总信息.json</w:t>
      </w:r>
    </w:p>
    <w:p>
      <w:pPr>
        <w:ind w:firstLine="480"/>
      </w:pPr>
      <w:r>
        <w:rPr>
          <w:rFonts w:ascii="宋体" w:hAnsi="宋体" w:eastAsia="宋体"/>
        </w:rPr>
        <w:t>[6] 正式实验/划分方案/统一样本划分.csv</w:t>
      </w:r>
    </w:p>
    <w:p>
      <w:pPr>
        <w:ind w:firstLine="480"/>
      </w:pPr>
      <w:r>
        <w:rPr>
          <w:rFonts w:ascii="宋体" w:hAnsi="宋体" w:eastAsia="宋体"/>
        </w:rPr>
        <w:t>[7] 正式实验/数据集/双光谱安全主表.csv</w:t>
      </w:r>
    </w:p>
    <w:p>
      <w:pPr>
        <w:ind w:firstLine="480"/>
      </w:pPr>
      <w:r>
        <w:rPr>
          <w:rFonts w:ascii="宋体" w:hAnsi="宋体" w:eastAsia="宋体"/>
        </w:rPr>
        <w:t>[8] 正式实验/基线结果/任务1_品质预测/逐目标结果.csv</w:t>
      </w:r>
    </w:p>
    <w:p>
      <w:pPr>
        <w:ind w:firstLine="480"/>
      </w:pPr>
      <w:r>
        <w:rPr>
          <w:rFonts w:ascii="宋体" w:hAnsi="宋体" w:eastAsia="宋体"/>
        </w:rPr>
        <w:t>[9] 正式实验/基线结果/任务2_产地溯源/模型汇总.csv</w:t>
      </w:r>
    </w:p>
    <w:p>
      <w:pPr>
        <w:ind w:firstLine="480"/>
      </w:pPr>
      <w:r>
        <w:rPr>
          <w:rFonts w:ascii="宋体" w:hAnsi="宋体" w:eastAsia="宋体"/>
        </w:rPr>
        <w:t>[10] 正式实验/基线结果/任务3_液质成分预测/逐目标结果.csv</w:t>
      </w:r>
    </w:p>
    <w:p>
      <w:pPr>
        <w:ind w:firstLine="480"/>
      </w:pPr>
      <w:r>
        <w:rPr>
          <w:rFonts w:ascii="宋体" w:hAnsi="宋体" w:eastAsia="宋体"/>
        </w:rPr>
        <w:t>[11] Lu Z, Jia K, Zhang H, et al. Geographical Origin Identification of Citrus Fruits Based on Near-Infrared Spectroscopy Combined with Convolutional Neural Network and Data Augmentation[J]. Agriculture, 2025, 15(22):2350.</w:t>
      </w:r>
    </w:p>
    <w:p>
      <w:pPr>
        <w:ind w:firstLine="480"/>
      </w:pPr>
      <w:r>
        <w:rPr>
          <w:rFonts w:ascii="宋体" w:hAnsi="宋体" w:eastAsia="宋体"/>
        </w:rPr>
        <w:t>[12] Wu D, Sun D W. Advanced applications of hyperspectral imaging technology for food quality and safety analysis and assessment: A review[J]. Innovative Food Science and Emerging Technologies, 2013, 19:1-14.</w:t>
      </w:r>
    </w:p>
    <w:p>
      <w:pPr>
        <w:ind w:firstLine="480"/>
      </w:pPr>
      <w:r>
        <w:rPr>
          <w:rFonts w:ascii="宋体" w:hAnsi="宋体" w:eastAsia="宋体"/>
        </w:rPr>
        <w:t>[13] Liu Y, Sun X, Ouyang A. Nondestructive measurement of soluble solid content of navel orange fruit by visible-NIR spectrometric technique with PLSR and PCA-BPNN[J]. LWT - Food Science and Technology, 2010, 43(4):602-607.</w:t>
      </w:r>
    </w:p>
    <w:p>
      <w:pPr>
        <w:ind w:firstLine="480"/>
      </w:pPr>
      <w:r>
        <w:rPr>
          <w:rFonts w:ascii="宋体" w:hAnsi="宋体" w:eastAsia="宋体"/>
        </w:rPr>
        <w:t>[14] Liu Y, Chen S, Zhang F, et al. Simultaneous detection of citrus internal quality attributes based on near-infrared spectroscopy and hyperspectral imaging with multi-task deep learning and instrumental transfer learning[J]. Food Chemistry, 2025, 472:144337.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