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宋体" w:hAnsi="宋体" w:eastAsia="宋体"/>
          <w:b/>
        </w:rPr>
        <w:t>2023年（第16届）中国大学生计算机设计大赛</w:t>
      </w:r>
    </w:p>
    <w:p>
      <w:pPr>
        <w:jc w:val="center"/>
      </w:pPr>
      <w:r>
        <w:rPr>
          <w:rFonts w:ascii="宋体" w:hAnsi="宋体" w:eastAsia="宋体"/>
        </w:rPr>
        <w:t>大数据实践赛作品报告</w:t>
      </w:r>
    </w:p>
    <w:p>
      <w:pPr>
        <w:jc w:val="center"/>
      </w:pPr>
      <w:r>
        <w:rPr>
          <w:rFonts w:ascii="宋体" w:hAnsi="宋体" w:eastAsia="宋体"/>
        </w:rPr>
        <w:t>作品名称：橙源智鉴——基于多模态光谱融合与深度学习的海南柑橘品质智能检测与产地溯源平台</w:t>
      </w:r>
    </w:p>
    <w:p>
      <w:pPr>
        <w:jc w:val="center"/>
      </w:pPr>
      <w:r>
        <w:rPr>
          <w:rFonts w:ascii="宋体" w:hAnsi="宋体" w:eastAsia="宋体"/>
        </w:rPr>
        <w:t>作品编号：待确认</w:t>
      </w:r>
    </w:p>
    <w:p>
      <w:pPr>
        <w:jc w:val="center"/>
      </w:pPr>
      <w:r>
        <w:rPr>
          <w:rFonts w:ascii="宋体" w:hAnsi="宋体" w:eastAsia="宋体"/>
        </w:rPr>
        <w:t>整理日期：2026年4月10日</w:t>
      </w:r>
    </w:p>
    <w:p>
      <w:r>
        <w:rPr>
          <w:rFonts w:ascii="宋体" w:hAnsi="宋体" w:eastAsia="宋体"/>
        </w:rPr>
      </w:r>
    </w:p>
    <w:p>
      <w:pPr>
        <w:pStyle w:val="Heading1"/>
      </w:pPr>
      <w:r>
        <w:rPr>
          <w:rFonts w:ascii="宋体" w:hAnsi="宋体" w:eastAsia="宋体"/>
        </w:rPr>
        <w:t>第1章 作品概述</w:t>
      </w:r>
    </w:p>
    <w:p>
      <w:pPr>
        <w:pStyle w:val="Heading2"/>
      </w:pPr>
      <w:r>
        <w:rPr>
          <w:rFonts w:ascii="宋体" w:hAnsi="宋体" w:eastAsia="宋体"/>
        </w:rPr>
        <w:t>1.1 项目背景与创意来源</w:t>
      </w:r>
    </w:p>
    <w:p>
      <w:pPr>
        <w:ind w:firstLine="480"/>
      </w:pPr>
      <w:r>
        <w:rPr>
          <w:rFonts w:ascii="宋体" w:hAnsi="宋体" w:eastAsia="宋体"/>
        </w:rPr>
        <w:t>在海南柑橘的分级、验货和品牌传播环节，常见的问题不是“没有数据”，而是数据分散、判断口径不统一、结果难以长期留存和复用。围绕这一现实需求，项目选取澄迈福橙与琼中绿橙作为代表样本，搭建起集数据治理、品质检测、产地溯源、结果解读和报告输出于一体的分析系统，希望把一次检测结果真正沉淀为可追踪、可复盘、可支撑业务决策的数据资产。</w:t>
      </w:r>
    </w:p>
    <w:p>
      <w:pPr>
        <w:ind w:firstLine="480"/>
      </w:pPr>
      <w:r>
        <w:rPr>
          <w:rFonts w:ascii="宋体" w:hAnsi="宋体" w:eastAsia="宋体"/>
        </w:rPr>
        <w:t>项目以真实样本和统一实验流程为基础，面向果园、合作社、分选中心和品牌运营等场景提供数字化检测方案。系统以多模态光谱为主要输入，结合滴定法和液质数据建立标签体系，在同一套流程中完成样本接入、分析处理、结果展示、归档和报告生成，既突出检测能力，也强调实际应用价值。</w:t>
      </w:r>
    </w:p>
    <w:p>
      <w:pPr>
        <w:pStyle w:val="Heading2"/>
      </w:pPr>
      <w:r>
        <w:rPr>
          <w:rFonts w:ascii="宋体" w:hAnsi="宋体" w:eastAsia="宋体"/>
        </w:rPr>
        <w:t>1.2 面向对象与应用场景</w:t>
      </w:r>
    </w:p>
    <w:p>
      <w:pPr>
        <w:ind w:firstLine="480"/>
      </w:pPr>
      <w:r>
        <w:rPr>
          <w:rFonts w:ascii="宋体" w:hAnsi="宋体" w:eastAsia="宋体"/>
        </w:rPr>
        <w:t>系统主要面向四类用户：一是果园和合作社，用于样本登记、批次管理和品质初筛；二是分选加工与质检环节，用于辅助判断糖度、内部成分和产地信息；三是品牌运营与渠道验货环节，用于生成标准化报告和批次凭证；四是科研与区域服务机构，用于沉淀样本、验证模型并拓展更多柑橘检测任务。</w:t>
      </w:r>
    </w:p>
    <w:p>
      <w:pPr>
        <w:ind w:firstLine="480"/>
      </w:pPr>
      <w:r>
        <w:rPr>
          <w:rFonts w:ascii="宋体" w:hAnsi="宋体" w:eastAsia="宋体"/>
        </w:rPr>
        <w:t>从使用场景看，系统既能支撑实验环境下的系统化研究，也能服务现场采样和移动端操作。输出结果不仅体现在页面上，还能进一步沉淀为结构化记录、历史档案和 PDF 报告，为品控、宣传、验货和复核提供统一依据。</w:t>
      </w:r>
    </w:p>
    <w:p>
      <w:pPr>
        <w:pStyle w:val="Heading2"/>
      </w:pPr>
      <w:r>
        <w:rPr>
          <w:rFonts w:ascii="宋体" w:hAnsi="宋体" w:eastAsia="宋体"/>
        </w:rPr>
        <w:t>1.3 系统组成与建设成果</w:t>
      </w:r>
    </w:p>
    <w:p>
      <w:pPr>
        <w:ind w:firstLine="480"/>
      </w:pPr>
      <w:r>
        <w:rPr>
          <w:rFonts w:ascii="宋体" w:hAnsi="宋体" w:eastAsia="宋体"/>
        </w:rPr>
        <w:t>当前作品已经形成网页展示端、移动应用端、分析支撑层和成果输出层协同配合的整体结构。网页端承担作品展示、数据总览、综合分析与历史回看，移动端面向现场采样、快速提交和结果查询，分析支撑层负责组织样本信息、分析请求与结果回传，成果输出层负责生成规范化报告与留存记录。四部分围绕同一数据底座协同运行，保证样本信息、分析结果和展示内容前后一致。</w:t>
      </w:r>
    </w:p>
    <w:p>
      <w:pPr>
        <w:ind w:firstLine="480"/>
      </w:pPr>
      <w:r>
        <w:rPr>
          <w:rFonts w:ascii="宋体" w:hAnsi="宋体" w:eastAsia="宋体"/>
        </w:rPr>
        <w:t>截至 2026 年 4 月 10 日，作品已完成 9 个网页主要页面、11 个移动端功能页面，并形成覆盖样本管理、分析处理、结果组织、报告生成等环节的 20 项核心服务能力，已经具备完整的作品展示和应用演示条件。</w:t>
      </w:r>
    </w:p>
    <w:p>
      <w:pPr>
        <w:ind w:firstLine="480"/>
      </w:pPr>
      <w:r>
        <w:rPr>
          <w:rFonts w:ascii="宋体" w:hAnsi="宋体" w:eastAsia="宋体"/>
        </w:rPr>
        <w:t>表1-1 当前作品总体组成</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模块</w:t>
            </w:r>
          </w:p>
        </w:tc>
        <w:tc>
          <w:tcPr>
            <w:tcW w:type="dxa" w:w="2880"/>
          </w:tcPr>
          <w:p>
            <w:r>
              <w:t>主要职责</w:t>
            </w:r>
          </w:p>
        </w:tc>
        <w:tc>
          <w:tcPr>
            <w:tcW w:type="dxa" w:w="2880"/>
          </w:tcPr>
          <w:p>
            <w:r>
              <w:t>当前成果</w:t>
            </w:r>
          </w:p>
        </w:tc>
      </w:tr>
      <w:tr>
        <w:tc>
          <w:tcPr>
            <w:tcW w:type="dxa" w:w="2880"/>
          </w:tcPr>
          <w:p>
            <w:r>
              <w:t>网页展示端</w:t>
            </w:r>
          </w:p>
        </w:tc>
        <w:tc>
          <w:tcPr>
            <w:tcW w:type="dxa" w:w="2880"/>
          </w:tcPr>
          <w:p>
            <w:r>
              <w:t>作品展示、数据总览、结果回看</w:t>
            </w:r>
          </w:p>
        </w:tc>
        <w:tc>
          <w:tcPr>
            <w:tcW w:type="dxa" w:w="2880"/>
          </w:tcPr>
          <w:p>
            <w:r>
              <w:t>已完成 9 个主要页面</w:t>
            </w:r>
          </w:p>
        </w:tc>
      </w:tr>
      <w:tr>
        <w:tc>
          <w:tcPr>
            <w:tcW w:type="dxa" w:w="2880"/>
          </w:tcPr>
          <w:p>
            <w:r>
              <w:t>移动应用端</w:t>
            </w:r>
          </w:p>
        </w:tc>
        <w:tc>
          <w:tcPr>
            <w:tcW w:type="dxa" w:w="2880"/>
          </w:tcPr>
          <w:p>
            <w:r>
              <w:t>样本上传、分析提交、报告查看</w:t>
            </w:r>
          </w:p>
        </w:tc>
        <w:tc>
          <w:tcPr>
            <w:tcW w:type="dxa" w:w="2880"/>
          </w:tcPr>
          <w:p>
            <w:r>
              <w:t>已完成 11 个功能页面</w:t>
            </w:r>
          </w:p>
        </w:tc>
      </w:tr>
      <w:tr>
        <w:tc>
          <w:tcPr>
            <w:tcW w:type="dxa" w:w="2880"/>
          </w:tcPr>
          <w:p>
            <w:r>
              <w:t>分析支撑层</w:t>
            </w:r>
          </w:p>
        </w:tc>
        <w:tc>
          <w:tcPr>
            <w:tcW w:type="dxa" w:w="2880"/>
          </w:tcPr>
          <w:p>
            <w:r>
              <w:t>样本、文件、分析、结果等流程组织</w:t>
            </w:r>
          </w:p>
        </w:tc>
        <w:tc>
          <w:tcPr>
            <w:tcW w:type="dxa" w:w="2880"/>
          </w:tcPr>
          <w:p>
            <w:r>
              <w:t>已形成 20 项核心服务能力</w:t>
            </w:r>
          </w:p>
        </w:tc>
      </w:tr>
      <w:tr>
        <w:tc>
          <w:tcPr>
            <w:tcW w:type="dxa" w:w="2880"/>
          </w:tcPr>
          <w:p>
            <w:r>
              <w:t>成果输出层</w:t>
            </w:r>
          </w:p>
        </w:tc>
        <w:tc>
          <w:tcPr>
            <w:tcW w:type="dxa" w:w="2880"/>
          </w:tcPr>
          <w:p>
            <w:r>
              <w:t>中文结果整合、报告生成、历史留存</w:t>
            </w:r>
          </w:p>
        </w:tc>
        <w:tc>
          <w:tcPr>
            <w:tcW w:type="dxa" w:w="2880"/>
          </w:tcPr>
          <w:p>
            <w:r>
              <w:t>已支持规范报告导出与记录归档</w:t>
            </w:r>
          </w:p>
        </w:tc>
      </w:tr>
    </w:tbl>
    <w:p/>
    <w:p>
      <w:pPr>
        <w:pStyle w:val="Heading2"/>
      </w:pPr>
      <w:r>
        <w:rPr>
          <w:rFonts w:ascii="宋体" w:hAnsi="宋体" w:eastAsia="宋体"/>
        </w:rPr>
        <w:t>1.4 作品价值与总体定位</w:t>
      </w:r>
    </w:p>
    <w:p>
      <w:pPr>
        <w:ind w:firstLine="480"/>
      </w:pPr>
      <w:r>
        <w:rPr>
          <w:rFonts w:ascii="宋体" w:hAnsi="宋体" w:eastAsia="宋体"/>
        </w:rPr>
        <w:t>项目价值主要体现在三个层面：一是把分散在实验记录、光谱文件和化验结果中的信息整理为可复用的数据资产，提高检测结果的管理效率与解释能力；二是将样本分析、结果展示、档案留存和报告输出整合为统一流程，使检测结果能够直接服务验货、归档和说明场景；三是以海南特色柑橘为起点，为后续扩展到更多品种、更多指标和更多区域任务建立了可延展的技术基础。</w:t>
      </w:r>
    </w:p>
    <w:p>
      <w:pPr>
        <w:pStyle w:val="Heading1"/>
      </w:pPr>
      <w:r>
        <w:rPr>
          <w:rFonts w:ascii="宋体" w:hAnsi="宋体" w:eastAsia="宋体"/>
        </w:rPr>
        <w:t>第2章 数据基础与问题分析</w:t>
      </w:r>
    </w:p>
    <w:p>
      <w:pPr>
        <w:pStyle w:val="Heading2"/>
      </w:pPr>
      <w:r>
        <w:rPr>
          <w:rFonts w:ascii="宋体" w:hAnsi="宋体" w:eastAsia="宋体"/>
        </w:rPr>
        <w:t>2.1 业务问题分析</w:t>
      </w:r>
    </w:p>
    <w:p>
      <w:pPr>
        <w:ind w:firstLine="480"/>
      </w:pPr>
      <w:r>
        <w:rPr>
          <w:rFonts w:ascii="宋体" w:hAnsi="宋体" w:eastAsia="宋体"/>
        </w:rPr>
        <w:t>传统果品质量判断仍然较多依赖人工经验和离线检测。这样做虽然能得到结论，但常常伴随批次信息分散、检测周期偏长、结果难复用等问题。尤其在品牌果、电商果和礼盒果场景中，用户关心的不只是“结果是什么”，还包括“依据是什么”“能不能回查”“能不能统一对外说明”。单一检测工具很难同时满足这些需求。</w:t>
      </w:r>
    </w:p>
    <w:p>
      <w:pPr>
        <w:ind w:firstLine="480"/>
      </w:pPr>
      <w:r>
        <w:rPr>
          <w:rFonts w:ascii="宋体" w:hAnsi="宋体" w:eastAsia="宋体"/>
        </w:rPr>
        <w:t>围绕这些问题，项目把任务拆成三部分推进：先建立可用于品质预测和产地溯源的标准化样本主表；再搭建面向业务使用的多模态分析流程；最后把实验结果整理成适合验货、归档和品牌说明的系统化输出。</w:t>
      </w:r>
    </w:p>
    <w:p>
      <w:pPr>
        <w:pStyle w:val="Heading2"/>
      </w:pPr>
      <w:r>
        <w:rPr>
          <w:rFonts w:ascii="宋体" w:hAnsi="宋体" w:eastAsia="宋体"/>
        </w:rPr>
        <w:t>2.2 数据基础与样本组织</w:t>
      </w:r>
    </w:p>
    <w:p>
      <w:pPr>
        <w:ind w:firstLine="480"/>
      </w:pPr>
      <w:r>
        <w:rPr>
          <w:rFonts w:ascii="宋体" w:hAnsi="宋体" w:eastAsia="宋体"/>
        </w:rPr>
        <w:t>根据当前正式实验资料，项目已完成 399 个样本的正式主表整理，覆盖澄迈福橙与琼中绿橙两个产地。正式实验统一采用 R210 与 S960 双光谱作为输入，其中 R210 光谱特征 228 维，S960 光谱特征 1402 维，合计 1630 维。围绕三项核心任务，项目进一步整理出品质预测、产地溯源、液质成分预测三类数据集，并使用固定随机种子完成训练、验证、测试划分，保证实验过程可复现、结果可对比。</w:t>
      </w:r>
    </w:p>
    <w:p>
      <w:pPr>
        <w:ind w:firstLine="480"/>
      </w:pPr>
      <w:r>
        <w:rPr>
          <w:rFonts w:ascii="宋体" w:hAnsi="宋体" w:eastAsia="宋体"/>
        </w:rPr>
        <w:t>在样本组成方面，澄迈福橙样本 199 个，琼中绿橙样本 200 个；统一划分后训练集 279 个、验证集 60 个、测试集 60 个，且两地产地在验证集和测试集中都保持 30:30 的均衡分布。这样的组织方式既适合做产地分类，也能为后续品质和成分建模提供稳定基础。</w:t>
      </w:r>
    </w:p>
    <w:p>
      <w:pPr>
        <w:ind w:firstLine="480"/>
      </w:pPr>
      <w:r>
        <w:rPr>
          <w:rFonts w:ascii="宋体" w:hAnsi="宋体" w:eastAsia="宋体"/>
        </w:rPr>
        <w:t>表2-1 正式实验样本与数据集概况</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项目</w:t>
            </w:r>
          </w:p>
        </w:tc>
        <w:tc>
          <w:tcPr>
            <w:tcW w:type="dxa" w:w="2880"/>
          </w:tcPr>
          <w:p>
            <w:r>
              <w:t>规模</w:t>
            </w:r>
          </w:p>
        </w:tc>
        <w:tc>
          <w:tcPr>
            <w:tcW w:type="dxa" w:w="2880"/>
          </w:tcPr>
          <w:p>
            <w:r>
              <w:t>说明</w:t>
            </w:r>
          </w:p>
        </w:tc>
      </w:tr>
      <w:tr>
        <w:tc>
          <w:tcPr>
            <w:tcW w:type="dxa" w:w="2880"/>
          </w:tcPr>
          <w:p>
            <w:r>
              <w:t>正式主表样本数</w:t>
            </w:r>
          </w:p>
        </w:tc>
        <w:tc>
          <w:tcPr>
            <w:tcW w:type="dxa" w:w="2880"/>
          </w:tcPr>
          <w:p>
            <w:r>
              <w:t>399</w:t>
            </w:r>
          </w:p>
        </w:tc>
        <w:tc>
          <w:tcPr>
            <w:tcW w:type="dxa" w:w="2880"/>
          </w:tcPr>
          <w:p>
            <w:r>
              <w:t>去除可疑 HSI 后的双光谱安全主表</w:t>
            </w:r>
          </w:p>
        </w:tc>
      </w:tr>
      <w:tr>
        <w:tc>
          <w:tcPr>
            <w:tcW w:type="dxa" w:w="2880"/>
          </w:tcPr>
          <w:p>
            <w:r>
              <w:t>光谱特征数</w:t>
            </w:r>
          </w:p>
        </w:tc>
        <w:tc>
          <w:tcPr>
            <w:tcW w:type="dxa" w:w="2880"/>
          </w:tcPr>
          <w:p>
            <w:r>
              <w:t>1630</w:t>
            </w:r>
          </w:p>
        </w:tc>
        <w:tc>
          <w:tcPr>
            <w:tcW w:type="dxa" w:w="2880"/>
          </w:tcPr>
          <w:p>
            <w:r>
              <w:t>R210 228 维 + S960 1402 维</w:t>
            </w:r>
          </w:p>
        </w:tc>
      </w:tr>
      <w:tr>
        <w:tc>
          <w:tcPr>
            <w:tcW w:type="dxa" w:w="2880"/>
          </w:tcPr>
          <w:p>
            <w:r>
              <w:t>品质预测标签</w:t>
            </w:r>
          </w:p>
        </w:tc>
        <w:tc>
          <w:tcPr>
            <w:tcW w:type="dxa" w:w="2880"/>
          </w:tcPr>
          <w:p>
            <w:r>
              <w:t>4 项</w:t>
            </w:r>
          </w:p>
        </w:tc>
        <w:tc>
          <w:tcPr>
            <w:tcW w:type="dxa" w:w="2880"/>
          </w:tcPr>
          <w:p>
            <w:r>
              <w:t>糖度、酸度、糖酸比、VC</w:t>
            </w:r>
          </w:p>
        </w:tc>
      </w:tr>
      <w:tr>
        <w:tc>
          <w:tcPr>
            <w:tcW w:type="dxa" w:w="2880"/>
          </w:tcPr>
          <w:p>
            <w:r>
              <w:t>液质成分标签</w:t>
            </w:r>
          </w:p>
        </w:tc>
        <w:tc>
          <w:tcPr>
            <w:tcW w:type="dxa" w:w="2880"/>
          </w:tcPr>
          <w:p>
            <w:r>
              <w:t>36 项</w:t>
            </w:r>
          </w:p>
        </w:tc>
        <w:tc>
          <w:tcPr>
            <w:tcW w:type="dxa" w:w="2880"/>
          </w:tcPr>
          <w:p>
            <w:r>
              <w:t>用于内部成分建模与筛选</w:t>
            </w:r>
          </w:p>
        </w:tc>
      </w:tr>
      <w:tr>
        <w:tc>
          <w:tcPr>
            <w:tcW w:type="dxa" w:w="2880"/>
          </w:tcPr>
          <w:p>
            <w:r>
              <w:t>统一划分</w:t>
            </w:r>
          </w:p>
        </w:tc>
        <w:tc>
          <w:tcPr>
            <w:tcW w:type="dxa" w:w="2880"/>
          </w:tcPr>
          <w:p>
            <w:r>
              <w:t>279/60/60</w:t>
            </w:r>
          </w:p>
        </w:tc>
        <w:tc>
          <w:tcPr>
            <w:tcW w:type="dxa" w:w="2880"/>
          </w:tcPr>
          <w:p>
            <w:r>
              <w:t>训练集/验证集/测试集</w:t>
            </w:r>
          </w:p>
        </w:tc>
      </w:tr>
    </w:tbl>
    <w:p/>
    <w:p>
      <w:pPr>
        <w:pStyle w:val="Heading2"/>
      </w:pPr>
      <w:r>
        <w:rPr>
          <w:rFonts w:ascii="宋体" w:hAnsi="宋体" w:eastAsia="宋体"/>
        </w:rPr>
        <w:t>2.3 数据治理与质量控制</w:t>
      </w:r>
    </w:p>
    <w:p>
      <w:pPr>
        <w:ind w:firstLine="480"/>
      </w:pPr>
      <w:r>
        <w:rPr>
          <w:rFonts w:ascii="宋体" w:hAnsi="宋体" w:eastAsia="宋体"/>
        </w:rPr>
        <w:t>项目在数据治理上坚持先清洗、后训练。清洗结果显示，HSI 数据存在跨产地同编号完全重复问题，共识别出 199 对异常样本。为保证正式实验可靠，项目在正式主表中完全剔除了 HSI，仅保留质量稳定、可以统一对齐的 R210 与 S960 双光谱数据，形成“安全版_去除HSI融合表”，作为后续实验和系统展示共用的数据底座。</w:t>
      </w:r>
    </w:p>
    <w:p>
      <w:pPr>
        <w:ind w:firstLine="480"/>
      </w:pPr>
      <w:r>
        <w:rPr>
          <w:rFonts w:ascii="宋体" w:hAnsi="宋体" w:eastAsia="宋体"/>
        </w:rPr>
        <w:t>在多模态对齐方面，项目完成了 S960 两地产地数据的共同波段统一，其中共同波段数为 1402 个，琼中原始数据额外尾部波段 50 个。完成共同波段对齐后，不同产地样本可以直接进入统一建模流程，也为后续结果解释打下了基础。</w:t>
      </w:r>
    </w:p>
    <w:p>
      <w:pPr>
        <w:ind w:firstLine="480"/>
      </w:pPr>
      <w:r>
        <w:rPr>
          <w:rFonts w:ascii="宋体" w:hAnsi="宋体" w:eastAsia="宋体"/>
        </w:rPr>
        <w:t>表2-2 数据治理与质量控制要点</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治理项</w:t>
            </w:r>
          </w:p>
        </w:tc>
        <w:tc>
          <w:tcPr>
            <w:tcW w:type="dxa" w:w="2880"/>
          </w:tcPr>
          <w:p>
            <w:r>
              <w:t>结果</w:t>
            </w:r>
          </w:p>
        </w:tc>
        <w:tc>
          <w:tcPr>
            <w:tcW w:type="dxa" w:w="2880"/>
          </w:tcPr>
          <w:p>
            <w:r>
              <w:t>意义</w:t>
            </w:r>
          </w:p>
        </w:tc>
      </w:tr>
      <w:tr>
        <w:tc>
          <w:tcPr>
            <w:tcW w:type="dxa" w:w="2880"/>
          </w:tcPr>
          <w:p>
            <w:r>
              <w:t>HSI 异常排查</w:t>
            </w:r>
          </w:p>
        </w:tc>
        <w:tc>
          <w:tcPr>
            <w:tcW w:type="dxa" w:w="2880"/>
          </w:tcPr>
          <w:p>
            <w:r>
              <w:t>识别 199 对跨产地重复样本</w:t>
            </w:r>
          </w:p>
        </w:tc>
        <w:tc>
          <w:tcPr>
            <w:tcW w:type="dxa" w:w="2880"/>
          </w:tcPr>
          <w:p>
            <w:r>
              <w:t>避免异常模态对正式实验造成干扰</w:t>
            </w:r>
          </w:p>
        </w:tc>
      </w:tr>
      <w:tr>
        <w:tc>
          <w:tcPr>
            <w:tcW w:type="dxa" w:w="2880"/>
          </w:tcPr>
          <w:p>
            <w:r>
              <w:t>正式建模主表</w:t>
            </w:r>
          </w:p>
        </w:tc>
        <w:tc>
          <w:tcPr>
            <w:tcW w:type="dxa" w:w="2880"/>
          </w:tcPr>
          <w:p>
            <w:r>
              <w:t>399 条安全样本</w:t>
            </w:r>
          </w:p>
        </w:tc>
        <w:tc>
          <w:tcPr>
            <w:tcW w:type="dxa" w:w="2880"/>
          </w:tcPr>
          <w:p>
            <w:r>
              <w:t>统一作为正式实验唯一主表</w:t>
            </w:r>
          </w:p>
        </w:tc>
      </w:tr>
      <w:tr>
        <w:tc>
          <w:tcPr>
            <w:tcW w:type="dxa" w:w="2880"/>
          </w:tcPr>
          <w:p>
            <w:r>
              <w:t>S960 波段对齐</w:t>
            </w:r>
          </w:p>
        </w:tc>
        <w:tc>
          <w:tcPr>
            <w:tcW w:type="dxa" w:w="2880"/>
          </w:tcPr>
          <w:p>
            <w:r>
              <w:t>1402 个共同波段</w:t>
            </w:r>
          </w:p>
        </w:tc>
        <w:tc>
          <w:tcPr>
            <w:tcW w:type="dxa" w:w="2880"/>
          </w:tcPr>
          <w:p>
            <w:r>
              <w:t>保证跨产地数据可直接比较与建模</w:t>
            </w:r>
          </w:p>
        </w:tc>
      </w:tr>
      <w:tr>
        <w:tc>
          <w:tcPr>
            <w:tcW w:type="dxa" w:w="2880"/>
          </w:tcPr>
          <w:p>
            <w:r>
              <w:t>统一样本划分</w:t>
            </w:r>
          </w:p>
        </w:tc>
        <w:tc>
          <w:tcPr>
            <w:tcW w:type="dxa" w:w="2880"/>
          </w:tcPr>
          <w:p>
            <w:r>
              <w:t>固定随机种子 20260409</w:t>
            </w:r>
          </w:p>
        </w:tc>
        <w:tc>
          <w:tcPr>
            <w:tcW w:type="dxa" w:w="2880"/>
          </w:tcPr>
          <w:p>
            <w:r>
              <w:t>保证三项任务结果可复现</w:t>
            </w:r>
          </w:p>
        </w:tc>
      </w:tr>
    </w:tbl>
    <w:p/>
    <w:p>
      <w:pPr>
        <w:pStyle w:val="Heading2"/>
      </w:pPr>
      <w:r>
        <w:rPr>
          <w:rFonts w:ascii="宋体" w:hAnsi="宋体" w:eastAsia="宋体"/>
        </w:rPr>
        <w:t>2.4 核心突破点</w:t>
      </w:r>
    </w:p>
    <w:p>
      <w:pPr>
        <w:ind w:firstLine="480"/>
      </w:pPr>
      <w:r>
        <w:rPr>
          <w:rFonts w:ascii="宋体" w:hAnsi="宋体" w:eastAsia="宋体"/>
        </w:rPr>
        <w:t>围绕上述问题，项目同步推进样本体系建设、多任务分析、数据治理、系统组织与结果表达，形成了从样本整理、智能分析到成果输出的完整链路。相较于单一功能展示，这种整体化设计更能体现作品在真实场景中的应用价值。</w:t>
      </w:r>
    </w:p>
    <w:p>
      <w:pPr>
        <w:pStyle w:val="Heading1"/>
      </w:pPr>
      <w:r>
        <w:rPr>
          <w:rFonts w:ascii="宋体" w:hAnsi="宋体" w:eastAsia="宋体"/>
        </w:rPr>
        <w:t>第3章 技术方案</w:t>
      </w:r>
    </w:p>
    <w:p>
      <w:pPr>
        <w:pStyle w:val="Heading2"/>
      </w:pPr>
      <w:r>
        <w:rPr>
          <w:rFonts w:ascii="宋体" w:hAnsi="宋体" w:eastAsia="宋体"/>
        </w:rPr>
        <w:t>3.1 总体架构设计</w:t>
      </w:r>
    </w:p>
    <w:p>
      <w:pPr>
        <w:ind w:firstLine="480"/>
      </w:pPr>
      <w:r>
        <w:rPr>
          <w:rFonts w:ascii="宋体" w:hAnsi="宋体" w:eastAsia="宋体"/>
        </w:rPr>
        <w:t>作品采用“数据底座、分析引擎、应用呈现”协同设计。底层以统一整理后的双光谱样本主表为支撑，中层围绕品质评价、产地判别和成分解析组织分析模型，上层通过网页展示、移动应用和规范化报告完成结果表达与应用呈现。这样的组织方式使数据来源、分析过程和成果展示能够相互对应，既便于集中展示，也便于后续延展。</w:t>
      </w:r>
    </w:p>
    <w:p>
      <w:pPr>
        <w:ind w:firstLine="480"/>
      </w:pPr>
      <w:r>
        <w:rPr>
          <w:rFonts w:ascii="宋体" w:hAnsi="宋体" w:eastAsia="宋体"/>
        </w:rPr>
        <w:t>在这一结构下，数据治理成果能够直接服务多任务分析，多任务分析结果又能够直接进入展示与报告环节，从而把样本、算法与应用场景真正连成一条完整链路。</w:t>
      </w:r>
    </w:p>
    <w:p>
      <w:pPr>
        <w:pStyle w:val="Heading2"/>
      </w:pPr>
      <w:r>
        <w:rPr>
          <w:rFonts w:ascii="宋体" w:hAnsi="宋体" w:eastAsia="宋体"/>
        </w:rPr>
        <w:t>3.2 多模态数据与建模路线</w:t>
      </w:r>
    </w:p>
    <w:p>
      <w:pPr>
        <w:ind w:firstLine="480"/>
      </w:pPr>
      <w:r>
        <w:rPr>
          <w:rFonts w:ascii="宋体" w:hAnsi="宋体" w:eastAsia="宋体"/>
        </w:rPr>
        <w:t>项目以 399 个正式样本构成的双光谱安全主表为分析核心，将 R210 与 S960 光谱信息同糖度、酸度、糖酸比、VC 等品质指标以及 36 项液质成分标签统一组织，形成可支撑多任务分析的样本体系。围绕这一数据底座，作品设置了品质评价、产地溯源和成分解析三条分析主线，使外部表型、产地信息与内部组分之间建立起可对应、可比较的关系。</w:t>
      </w:r>
    </w:p>
    <w:p>
      <w:pPr>
        <w:ind w:firstLine="480"/>
      </w:pPr>
      <w:r>
        <w:rPr>
          <w:rFonts w:ascii="宋体" w:hAnsi="宋体" w:eastAsia="宋体"/>
        </w:rPr>
        <w:t>在技术路线安排上，项目先完成单光谱与双光谱的对比分析，再引入预处理、降维和多模型组合进行优化，既保留了实验过程的层次性，也增强了关键结果的说服力。</w:t>
      </w:r>
    </w:p>
    <w:p>
      <w:pPr>
        <w:pStyle w:val="Heading2"/>
      </w:pPr>
      <w:r>
        <w:rPr>
          <w:rFonts w:ascii="宋体" w:hAnsi="宋体" w:eastAsia="宋体"/>
        </w:rPr>
        <w:t>3.3 关键算法与优化策略</w:t>
      </w:r>
    </w:p>
    <w:p>
      <w:pPr>
        <w:ind w:firstLine="480"/>
      </w:pPr>
      <w:r>
        <w:rPr>
          <w:rFonts w:ascii="宋体" w:hAnsi="宋体" w:eastAsia="宋体"/>
        </w:rPr>
        <w:t>针对高维光谱数据易受散射、基线漂移和维度冗余影响的特点，项目采用 SNV 预处理、特征压缩与多模型组合相结合的方式提升分析效果。在液质成分预测中，优化后验证集平均 R² 提升至 0.7104，最佳测试集平均 R² 达到 0.6975，说明双光谱融合能够较好刻画内部成分差异。</w:t>
      </w:r>
    </w:p>
    <w:p>
      <w:pPr>
        <w:ind w:firstLine="480"/>
      </w:pPr>
      <w:r>
        <w:rPr>
          <w:rFonts w:ascii="宋体" w:hAnsi="宋体" w:eastAsia="宋体"/>
        </w:rPr>
        <w:t>在品质评价任务中，糖度指标表现最为突出，最佳测试集 R² 达到 0.7051；在产地判别任务中，S960 单光谱条件下逻辑回归和线性 SVM 的准确率与 F1 值均达到 1.0000。三类结果相互补充，使作品既能识别“来自哪里”，也能回答“品质如何”“内部成分怎样”。</w:t>
      </w:r>
    </w:p>
    <w:p>
      <w:pPr>
        <w:ind w:firstLine="480"/>
      </w:pPr>
      <w:r>
        <w:rPr>
          <w:rFonts w:ascii="宋体" w:hAnsi="宋体" w:eastAsia="宋体"/>
        </w:rPr>
        <w:t>表3-1 三项核心任务与技术路线</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分析方向</w:t>
            </w:r>
          </w:p>
        </w:tc>
        <w:tc>
          <w:tcPr>
            <w:tcW w:type="dxa" w:w="2160"/>
          </w:tcPr>
          <w:p>
            <w:r>
              <w:t>数据输入</w:t>
            </w:r>
          </w:p>
        </w:tc>
        <w:tc>
          <w:tcPr>
            <w:tcW w:type="dxa" w:w="2160"/>
          </w:tcPr>
          <w:p>
            <w:r>
              <w:t>目标输出</w:t>
            </w:r>
          </w:p>
        </w:tc>
        <w:tc>
          <w:tcPr>
            <w:tcW w:type="dxa" w:w="2160"/>
          </w:tcPr>
          <w:p>
            <w:r>
              <w:t>主要方法</w:t>
            </w:r>
          </w:p>
        </w:tc>
      </w:tr>
      <w:tr>
        <w:tc>
          <w:tcPr>
            <w:tcW w:type="dxa" w:w="2160"/>
          </w:tcPr>
          <w:p>
            <w:r>
              <w:t>品质预测</w:t>
            </w:r>
          </w:p>
        </w:tc>
        <w:tc>
          <w:tcPr>
            <w:tcW w:type="dxa" w:w="2160"/>
          </w:tcPr>
          <w:p>
            <w:r>
              <w:t>R210/S960 双光谱</w:t>
            </w:r>
          </w:p>
        </w:tc>
        <w:tc>
          <w:tcPr>
            <w:tcW w:type="dxa" w:w="2160"/>
          </w:tcPr>
          <w:p>
            <w:r>
              <w:t>糖度、酸度、糖酸比、VC</w:t>
            </w:r>
          </w:p>
        </w:tc>
        <w:tc>
          <w:tcPr>
            <w:tcW w:type="dxa" w:w="2160"/>
          </w:tcPr>
          <w:p>
            <w:r>
              <w:t>SNV + Ridge/PLS 等回归方法</w:t>
            </w:r>
          </w:p>
        </w:tc>
      </w:tr>
      <w:tr>
        <w:tc>
          <w:tcPr>
            <w:tcW w:type="dxa" w:w="2160"/>
          </w:tcPr>
          <w:p>
            <w:r>
              <w:t>产地溯源</w:t>
            </w:r>
          </w:p>
        </w:tc>
        <w:tc>
          <w:tcPr>
            <w:tcW w:type="dxa" w:w="2160"/>
          </w:tcPr>
          <w:p>
            <w:r>
              <w:t>单光谱或双光谱</w:t>
            </w:r>
          </w:p>
        </w:tc>
        <w:tc>
          <w:tcPr>
            <w:tcW w:type="dxa" w:w="2160"/>
          </w:tcPr>
          <w:p>
            <w:r>
              <w:t>澄迈/琼中产地判别</w:t>
            </w:r>
          </w:p>
        </w:tc>
        <w:tc>
          <w:tcPr>
            <w:tcW w:type="dxa" w:w="2160"/>
          </w:tcPr>
          <w:p>
            <w:r>
              <w:t>逻辑回归、线性 SVM、LightGBM 分类</w:t>
            </w:r>
          </w:p>
        </w:tc>
      </w:tr>
      <w:tr>
        <w:tc>
          <w:tcPr>
            <w:tcW w:type="dxa" w:w="2160"/>
          </w:tcPr>
          <w:p>
            <w:r>
              <w:t>液质成分预测</w:t>
            </w:r>
          </w:p>
        </w:tc>
        <w:tc>
          <w:tcPr>
            <w:tcW w:type="dxa" w:w="2160"/>
          </w:tcPr>
          <w:p>
            <w:r>
              <w:t>双光谱安全主表</w:t>
            </w:r>
          </w:p>
        </w:tc>
        <w:tc>
          <w:tcPr>
            <w:tcW w:type="dxa" w:w="2160"/>
          </w:tcPr>
          <w:p>
            <w:r>
              <w:t>36 项液质成分与重点指标</w:t>
            </w:r>
          </w:p>
        </w:tc>
        <w:tc>
          <w:tcPr>
            <w:tcW w:type="dxa" w:w="2160"/>
          </w:tcPr>
          <w:p>
            <w:r>
              <w:t>SNV + PCA/Ridge/PLS/XGBoost</w:t>
            </w:r>
          </w:p>
        </w:tc>
      </w:tr>
    </w:tbl>
    <w:p/>
    <w:p>
      <w:pPr>
        <w:pStyle w:val="Heading2"/>
      </w:pPr>
      <w:r>
        <w:rPr>
          <w:rFonts w:ascii="宋体" w:hAnsi="宋体" w:eastAsia="宋体"/>
        </w:rPr>
        <w:t>3.4 分析流程与成果表达</w:t>
      </w:r>
    </w:p>
    <w:p>
      <w:pPr>
        <w:ind w:firstLine="480"/>
      </w:pPr>
      <w:r>
        <w:rPr>
          <w:rFonts w:ascii="宋体" w:hAnsi="宋体" w:eastAsia="宋体"/>
        </w:rPr>
        <w:t>作品按照“样本整理、光谱接入、智能分析、结果解读、报告生成、历史留存”的顺序组织整体流程。样本信息进入系统后，可结合光谱数据完成自动分析，随后形成产地判断、品质指标和重点成分的综合结果，并进一步整理为页面展示内容和规范化报告。这样的设计使分析结果不止停留在数值层面，而是能够直接转化为清晰、完整、便于展示的作品成果。</w:t>
      </w:r>
    </w:p>
    <w:p>
      <w:pPr>
        <w:pStyle w:val="Heading1"/>
      </w:pPr>
      <w:r>
        <w:rPr>
          <w:rFonts w:ascii="宋体" w:hAnsi="宋体" w:eastAsia="宋体"/>
        </w:rPr>
        <w:t>第4章 作品实现与展示</w:t>
      </w:r>
    </w:p>
    <w:p>
      <w:pPr>
        <w:pStyle w:val="Heading2"/>
      </w:pPr>
      <w:r>
        <w:rPr>
          <w:rFonts w:ascii="宋体" w:hAnsi="宋体" w:eastAsia="宋体"/>
        </w:rPr>
        <w:t>4.1 展示形态设计</w:t>
      </w:r>
    </w:p>
    <w:p>
      <w:pPr>
        <w:ind w:firstLine="480"/>
      </w:pPr>
      <w:r>
        <w:rPr>
          <w:rFonts w:ascii="宋体" w:hAnsi="宋体" w:eastAsia="宋体"/>
        </w:rPr>
        <w:t>作品采用网页端与微信小程序双端协同的展示形态。网页端重点呈现作品概貌、数据总览、综合分析和历史结果，适合比赛答辩与集中展示；移动端面向样本录入、快速查询和结果回看，便于现场使用和轻量交互。两类终端围绕同一套样本与分析结果组织内容，保证展示口径统一。</w:t>
      </w:r>
    </w:p>
    <w:p>
      <w:pPr>
        <w:ind w:firstLine="480"/>
      </w:pPr>
      <w:r>
        <w:rPr>
          <w:rFonts w:ascii="宋体" w:hAnsi="宋体" w:eastAsia="宋体"/>
        </w:rPr>
        <w:t>在界面布局上，作品突出“结果可视、过程可查、结论可读”的表达方式。分析页负责单样本与对比分析，数据展示页突出样本规模、产地差异和关键指标分布，历史页承接报告回看与记录留存，使展示、查询与复核形成连贯闭环。</w:t>
      </w:r>
    </w:p>
    <w:p>
      <w:pPr>
        <w:pStyle w:val="Heading2"/>
      </w:pPr>
      <w:r>
        <w:rPr>
          <w:rFonts w:ascii="宋体" w:hAnsi="宋体" w:eastAsia="宋体"/>
        </w:rPr>
        <w:t>4.2 核心功能组织</w:t>
      </w:r>
    </w:p>
    <w:p>
      <w:pPr>
        <w:ind w:firstLine="480"/>
      </w:pPr>
      <w:r>
        <w:rPr>
          <w:rFonts w:ascii="宋体" w:hAnsi="宋体" w:eastAsia="宋体"/>
        </w:rPr>
        <w:t>围绕样本采集、数据分析和成果输出三个环节，作品形成了较完整的功能组织结构。系统能够完成样本信息管理、光谱文件接入、分析处理、结果详情展示、历史记录查询和报告导出等关键操作，并通过统一的数据组织方式保证各环节信息一致。</w:t>
      </w:r>
    </w:p>
    <w:p>
      <w:pPr>
        <w:ind w:firstLine="480"/>
      </w:pPr>
      <w:r>
        <w:rPr>
          <w:rFonts w:ascii="宋体" w:hAnsi="宋体" w:eastAsia="宋体"/>
        </w:rPr>
        <w:t>从整体效果看，网页端、移动端与分析支撑层之间已经形成稳定配合：展示端负责信息呈现与分析提交，分析支撑层负责结果处理与回传，成果输出层负责整理与留存，由此形成面向比赛展示和场景应用的完整作品形态。</w:t>
      </w:r>
    </w:p>
    <w:p>
      <w:pPr>
        <w:pStyle w:val="Heading2"/>
      </w:pPr>
      <w:r>
        <w:rPr>
          <w:rFonts w:ascii="宋体" w:hAnsi="宋体" w:eastAsia="宋体"/>
        </w:rPr>
        <w:t>4.3 报告生成与成果留存</w:t>
      </w:r>
    </w:p>
    <w:p>
      <w:pPr>
        <w:ind w:firstLine="480"/>
      </w:pPr>
      <w:r>
        <w:rPr>
          <w:rFonts w:ascii="宋体" w:hAnsi="宋体" w:eastAsia="宋体"/>
        </w:rPr>
        <w:t>作品在结果表达上强调“可读、可用、可留存”。分析完成后，系统能够围绕样本基本信息、产地判断、品质指标、重点成分和综合说明形成中文报告，并保留对应的历史记录，方便后续查询、比较和展示。</w:t>
      </w:r>
    </w:p>
    <w:p>
      <w:pPr>
        <w:ind w:firstLine="480"/>
      </w:pPr>
      <w:r>
        <w:rPr>
          <w:rFonts w:ascii="宋体" w:hAnsi="宋体" w:eastAsia="宋体"/>
        </w:rPr>
        <w:t>这种成果组织方式把分析结果从离散数据转换为结构化材料，使作品在答辩展示、区域推广和样本复核等场景中都具备更强的表达力。</w:t>
      </w:r>
    </w:p>
    <w:p>
      <w:pPr>
        <w:pStyle w:val="Heading2"/>
      </w:pPr>
      <w:r>
        <w:rPr>
          <w:rFonts w:ascii="宋体" w:hAnsi="宋体" w:eastAsia="宋体"/>
        </w:rPr>
        <w:t>4.4 实现成果</w:t>
      </w:r>
    </w:p>
    <w:p>
      <w:pPr>
        <w:ind w:firstLine="480"/>
      </w:pPr>
      <w:r>
        <w:rPr>
          <w:rFonts w:ascii="宋体" w:hAnsi="宋体" w:eastAsia="宋体"/>
        </w:rPr>
        <w:t>截至 2026 年 4 月 10 日，作品已经形成网页展示、移动应用、分析支撑和成果输出四个层面的实现成果。相关页面、服务能力和报告链路均已整理成完整形态，能够支撑比赛演示、成果说明和后续拓展。</w:t>
      </w:r>
    </w:p>
    <w:p>
      <w:pPr>
        <w:ind w:firstLine="480"/>
      </w:pPr>
      <w:r>
        <w:rPr>
          <w:rFonts w:ascii="宋体" w:hAnsi="宋体" w:eastAsia="宋体"/>
        </w:rPr>
        <w:t>表4-1 作品实现成果概况</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模块</w:t>
            </w:r>
          </w:p>
        </w:tc>
        <w:tc>
          <w:tcPr>
            <w:tcW w:type="dxa" w:w="2880"/>
          </w:tcPr>
          <w:p>
            <w:r>
              <w:t>已实现内容</w:t>
            </w:r>
          </w:p>
        </w:tc>
        <w:tc>
          <w:tcPr>
            <w:tcW w:type="dxa" w:w="2880"/>
          </w:tcPr>
          <w:p>
            <w:r>
              <w:t>作用</w:t>
            </w:r>
          </w:p>
        </w:tc>
      </w:tr>
      <w:tr>
        <w:tc>
          <w:tcPr>
            <w:tcW w:type="dxa" w:w="2880"/>
          </w:tcPr>
          <w:p>
            <w:r>
              <w:t>网页展示</w:t>
            </w:r>
          </w:p>
        </w:tc>
        <w:tc>
          <w:tcPr>
            <w:tcW w:type="dxa" w:w="2880"/>
          </w:tcPr>
          <w:p>
            <w:r>
              <w:t>首页、分析页、数据大屏、历史页等 9 个主要页面</w:t>
            </w:r>
          </w:p>
        </w:tc>
        <w:tc>
          <w:tcPr>
            <w:tcW w:type="dxa" w:w="2880"/>
          </w:tcPr>
          <w:p>
            <w:r>
              <w:t>支撑综合展示与结果回看</w:t>
            </w:r>
          </w:p>
        </w:tc>
      </w:tr>
      <w:tr>
        <w:tc>
          <w:tcPr>
            <w:tcW w:type="dxa" w:w="2880"/>
          </w:tcPr>
          <w:p>
            <w:r>
              <w:t>移动应用</w:t>
            </w:r>
          </w:p>
        </w:tc>
        <w:tc>
          <w:tcPr>
            <w:tcW w:type="dxa" w:w="2880"/>
          </w:tcPr>
          <w:p>
            <w:r>
              <w:t>上传、查询、分析、报告等 11 个功能页面</w:t>
            </w:r>
          </w:p>
        </w:tc>
        <w:tc>
          <w:tcPr>
            <w:tcW w:type="dxa" w:w="2880"/>
          </w:tcPr>
          <w:p>
            <w:r>
              <w:t>支撑现场采样与移动操作</w:t>
            </w:r>
          </w:p>
        </w:tc>
      </w:tr>
      <w:tr>
        <w:tc>
          <w:tcPr>
            <w:tcW w:type="dxa" w:w="2880"/>
          </w:tcPr>
          <w:p>
            <w:r>
              <w:t>分析支撑</w:t>
            </w:r>
          </w:p>
        </w:tc>
        <w:tc>
          <w:tcPr>
            <w:tcW w:type="dxa" w:w="2880"/>
          </w:tcPr>
          <w:p>
            <w:r>
              <w:t>样本、文件、分析、结果等 20 项核心服务能力</w:t>
            </w:r>
          </w:p>
        </w:tc>
        <w:tc>
          <w:tcPr>
            <w:tcW w:type="dxa" w:w="2880"/>
          </w:tcPr>
          <w:p>
            <w:r>
              <w:t>支撑多任务处理与流程贯通</w:t>
            </w:r>
          </w:p>
        </w:tc>
      </w:tr>
      <w:tr>
        <w:tc>
          <w:tcPr>
            <w:tcW w:type="dxa" w:w="2880"/>
          </w:tcPr>
          <w:p>
            <w:r>
              <w:t>成果输出</w:t>
            </w:r>
          </w:p>
        </w:tc>
        <w:tc>
          <w:tcPr>
            <w:tcW w:type="dxa" w:w="2880"/>
          </w:tcPr>
          <w:p>
            <w:r>
              <w:t>中文报告、PDF 导出、历史记录留存</w:t>
            </w:r>
          </w:p>
        </w:tc>
        <w:tc>
          <w:tcPr>
            <w:tcW w:type="dxa" w:w="2880"/>
          </w:tcPr>
          <w:p>
            <w:r>
              <w:t>支撑正式表达与资料沉淀</w:t>
            </w:r>
          </w:p>
        </w:tc>
      </w:tr>
    </w:tbl>
    <w:p/>
    <w:p>
      <w:pPr>
        <w:pStyle w:val="Heading1"/>
      </w:pPr>
      <w:r>
        <w:rPr>
          <w:rFonts w:ascii="宋体" w:hAnsi="宋体" w:eastAsia="宋体"/>
        </w:rPr>
        <w:t>第5章 实验与测试分析</w:t>
      </w:r>
    </w:p>
    <w:p>
      <w:pPr>
        <w:pStyle w:val="Heading2"/>
      </w:pPr>
      <w:r>
        <w:rPr>
          <w:rFonts w:ascii="宋体" w:hAnsi="宋体" w:eastAsia="宋体"/>
        </w:rPr>
        <w:t>5.1 实验设置</w:t>
      </w:r>
    </w:p>
    <w:p>
      <w:pPr>
        <w:ind w:firstLine="480"/>
      </w:pPr>
      <w:r>
        <w:rPr>
          <w:rFonts w:ascii="宋体" w:hAnsi="宋体" w:eastAsia="宋体"/>
        </w:rPr>
        <w:t>实验部分全部基于统一整理后的正式双光谱主表，在同一划分条件下完成对比测试。训练集、验证集、测试集规模分别为 279、60、60；两类产地样本在验证集和测试集中保持均衡分布，从而保证分类与回归结果具有统一、可比的评估基础。整体实验按照“先建立对比基础，再逐步优化提升”的思路展开，能够较完整地呈现结果差异与性能变化。</w:t>
      </w:r>
    </w:p>
    <w:p>
      <w:pPr>
        <w:pStyle w:val="Heading2"/>
      </w:pPr>
      <w:r>
        <w:rPr>
          <w:rFonts w:ascii="宋体" w:hAnsi="宋体" w:eastAsia="宋体"/>
        </w:rPr>
        <w:t>5.2 产地溯源结果分析</w:t>
      </w:r>
    </w:p>
    <w:p>
      <w:pPr>
        <w:ind w:firstLine="480"/>
      </w:pPr>
      <w:r>
        <w:rPr>
          <w:rFonts w:ascii="宋体" w:hAnsi="宋体" w:eastAsia="宋体"/>
        </w:rPr>
        <w:t>产地溯源是当前结果最稳定的任务。以 S960单光谱 为输入时，逻辑回归与线性 SVM 在验证集和测试集上的准确率、平衡准确率与 F1_macro 均达到 1.0000，表明两类产地样本在当前光谱空间中具有较高区分度，可为产地鉴别、品牌溯源和批次核验提供直接依据。</w:t>
      </w:r>
    </w:p>
    <w:p>
      <w:pPr>
        <w:ind w:firstLine="480"/>
      </w:pPr>
      <w:r>
        <w:rPr>
          <w:rFonts w:ascii="宋体" w:hAnsi="宋体" w:eastAsia="宋体"/>
        </w:rPr>
        <w:t>表5-1 产地溯源代表性结果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特征方案</w:t>
            </w:r>
          </w:p>
        </w:tc>
        <w:tc>
          <w:tcPr>
            <w:tcW w:type="dxa" w:w="1728"/>
          </w:tcPr>
          <w:p>
            <w:r>
              <w:t>模型</w:t>
            </w:r>
          </w:p>
        </w:tc>
        <w:tc>
          <w:tcPr>
            <w:tcW w:type="dxa" w:w="1728"/>
          </w:tcPr>
          <w:p>
            <w:r>
              <w:t>验证集准确率</w:t>
            </w:r>
          </w:p>
        </w:tc>
        <w:tc>
          <w:tcPr>
            <w:tcW w:type="dxa" w:w="1728"/>
          </w:tcPr>
          <w:p>
            <w:r>
              <w:t>测试集准确率</w:t>
            </w:r>
          </w:p>
        </w:tc>
        <w:tc>
          <w:tcPr>
            <w:tcW w:type="dxa" w:w="1728"/>
          </w:tcPr>
          <w:p>
            <w:r>
              <w:t>测试集F1_macro</w:t>
            </w:r>
          </w:p>
        </w:tc>
      </w:tr>
      <w:tr>
        <w:tc>
          <w:tcPr>
            <w:tcW w:type="dxa" w:w="1728"/>
          </w:tcPr>
          <w:p>
            <w:r>
              <w:t>S960单光谱</w:t>
            </w:r>
          </w:p>
        </w:tc>
        <w:tc>
          <w:tcPr>
            <w:tcW w:type="dxa" w:w="1728"/>
          </w:tcPr>
          <w:p>
            <w:r>
              <w:t>逻辑回归</w:t>
            </w:r>
          </w:p>
        </w:tc>
        <w:tc>
          <w:tcPr>
            <w:tcW w:type="dxa" w:w="1728"/>
          </w:tcPr>
          <w:p>
            <w:r>
              <w:t>1.0000</w:t>
            </w:r>
          </w:p>
        </w:tc>
        <w:tc>
          <w:tcPr>
            <w:tcW w:type="dxa" w:w="1728"/>
          </w:tcPr>
          <w:p>
            <w:r>
              <w:t>1.0000</w:t>
            </w:r>
          </w:p>
        </w:tc>
        <w:tc>
          <w:tcPr>
            <w:tcW w:type="dxa" w:w="1728"/>
          </w:tcPr>
          <w:p>
            <w:r>
              <w:t>1.0000</w:t>
            </w:r>
          </w:p>
        </w:tc>
      </w:tr>
      <w:tr>
        <w:tc>
          <w:tcPr>
            <w:tcW w:type="dxa" w:w="1728"/>
          </w:tcPr>
          <w:p>
            <w:r>
              <w:t>S960单光谱</w:t>
            </w:r>
          </w:p>
        </w:tc>
        <w:tc>
          <w:tcPr>
            <w:tcW w:type="dxa" w:w="1728"/>
          </w:tcPr>
          <w:p>
            <w:r>
              <w:t>线性SVM</w:t>
            </w:r>
          </w:p>
        </w:tc>
        <w:tc>
          <w:tcPr>
            <w:tcW w:type="dxa" w:w="1728"/>
          </w:tcPr>
          <w:p>
            <w:r>
              <w:t>1.0000</w:t>
            </w:r>
          </w:p>
        </w:tc>
        <w:tc>
          <w:tcPr>
            <w:tcW w:type="dxa" w:w="1728"/>
          </w:tcPr>
          <w:p>
            <w:r>
              <w:t>1.0000</w:t>
            </w:r>
          </w:p>
        </w:tc>
        <w:tc>
          <w:tcPr>
            <w:tcW w:type="dxa" w:w="1728"/>
          </w:tcPr>
          <w:p>
            <w:r>
              <w:t>1.0000</w:t>
            </w:r>
          </w:p>
        </w:tc>
      </w:tr>
      <w:tr>
        <w:tc>
          <w:tcPr>
            <w:tcW w:type="dxa" w:w="1728"/>
          </w:tcPr>
          <w:p>
            <w:r>
              <w:t>R210+S960双光谱</w:t>
            </w:r>
          </w:p>
        </w:tc>
        <w:tc>
          <w:tcPr>
            <w:tcW w:type="dxa" w:w="1728"/>
          </w:tcPr>
          <w:p>
            <w:r>
              <w:t>LightGBM分类</w:t>
            </w:r>
          </w:p>
        </w:tc>
        <w:tc>
          <w:tcPr>
            <w:tcW w:type="dxa" w:w="1728"/>
          </w:tcPr>
          <w:p>
            <w:r>
              <w:t>0.9833</w:t>
            </w:r>
          </w:p>
        </w:tc>
        <w:tc>
          <w:tcPr>
            <w:tcW w:type="dxa" w:w="1728"/>
          </w:tcPr>
          <w:p>
            <w:r>
              <w:t>1.0000</w:t>
            </w:r>
          </w:p>
        </w:tc>
        <w:tc>
          <w:tcPr>
            <w:tcW w:type="dxa" w:w="1728"/>
          </w:tcPr>
          <w:p>
            <w:r>
              <w:t>1.0000</w:t>
            </w:r>
          </w:p>
        </w:tc>
      </w:tr>
    </w:tbl>
    <w:p/>
    <w:p>
      <w:pPr>
        <w:pStyle w:val="Heading2"/>
      </w:pPr>
      <w:r>
        <w:rPr>
          <w:rFonts w:ascii="宋体" w:hAnsi="宋体" w:eastAsia="宋体"/>
        </w:rPr>
        <w:t>5.3 品质预测结果分析</w:t>
      </w:r>
    </w:p>
    <w:p>
      <w:pPr>
        <w:ind w:firstLine="480"/>
      </w:pPr>
      <w:r>
        <w:rPr>
          <w:rFonts w:ascii="宋体" w:hAnsi="宋体" w:eastAsia="宋体"/>
        </w:rPr>
        <w:t>在品质预测任务中，糖度是当前最有代表性的优势指标。测试结果显示，R210+S960双光谱 条件下的 岭回归 在糖度预测上取得测试集 R²=0.7051，RMSE=0.8071，可以为果品分级和品质判断提供较强参考。与此同时，VC 和糖酸比也取得了一定效果，适合作为综合分析中的辅助信息，帮助系统形成更完整的品质画像。</w:t>
      </w:r>
    </w:p>
    <w:p>
      <w:pPr>
        <w:ind w:firstLine="480"/>
      </w:pPr>
      <w:r>
        <w:rPr>
          <w:rFonts w:ascii="宋体" w:hAnsi="宋体" w:eastAsia="宋体"/>
        </w:rPr>
        <w:t>从两地产地的平均理化差异看，琼中绿橙在糖度和糖酸比上更高，分别达到 10.79 和 18.11；澄迈福橙在 VC 水平上更高，平均达到 40.80。这些差异让页面展示和报告结论都有了更扎实的事实依据。</w:t>
      </w:r>
    </w:p>
    <w:p>
      <w:pPr>
        <w:ind w:firstLine="480"/>
      </w:pPr>
      <w:r>
        <w:rPr>
          <w:rFonts w:ascii="宋体" w:hAnsi="宋体" w:eastAsia="宋体"/>
        </w:rPr>
        <w:t>表5-2 品质预测代表性结果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指标</w:t>
            </w:r>
          </w:p>
        </w:tc>
        <w:tc>
          <w:tcPr>
            <w:tcW w:type="dxa" w:w="1728"/>
          </w:tcPr>
          <w:p>
            <w:r>
              <w:t>最佳模型</w:t>
            </w:r>
          </w:p>
        </w:tc>
        <w:tc>
          <w:tcPr>
            <w:tcW w:type="dxa" w:w="1728"/>
          </w:tcPr>
          <w:p>
            <w:r>
              <w:t>特征方案</w:t>
            </w:r>
          </w:p>
        </w:tc>
        <w:tc>
          <w:tcPr>
            <w:tcW w:type="dxa" w:w="1728"/>
          </w:tcPr>
          <w:p>
            <w:r>
              <w:t>测试集R²</w:t>
            </w:r>
          </w:p>
        </w:tc>
        <w:tc>
          <w:tcPr>
            <w:tcW w:type="dxa" w:w="1728"/>
          </w:tcPr>
          <w:p>
            <w:r>
              <w:t>测试集RMSE</w:t>
            </w:r>
          </w:p>
        </w:tc>
      </w:tr>
      <w:tr>
        <w:tc>
          <w:tcPr>
            <w:tcW w:type="dxa" w:w="1728"/>
          </w:tcPr>
          <w:p>
            <w:r>
              <w:t>糖度</w:t>
            </w:r>
          </w:p>
        </w:tc>
        <w:tc>
          <w:tcPr>
            <w:tcW w:type="dxa" w:w="1728"/>
          </w:tcPr>
          <w:p>
            <w:r>
              <w:t>岭回归</w:t>
            </w:r>
          </w:p>
        </w:tc>
        <w:tc>
          <w:tcPr>
            <w:tcW w:type="dxa" w:w="1728"/>
          </w:tcPr>
          <w:p>
            <w:r>
              <w:t>R210+S960双光谱</w:t>
            </w:r>
          </w:p>
        </w:tc>
        <w:tc>
          <w:tcPr>
            <w:tcW w:type="dxa" w:w="1728"/>
          </w:tcPr>
          <w:p>
            <w:r>
              <w:t>0.7051</w:t>
            </w:r>
          </w:p>
        </w:tc>
        <w:tc>
          <w:tcPr>
            <w:tcW w:type="dxa" w:w="1728"/>
          </w:tcPr>
          <w:p>
            <w:r>
              <w:t>0.8071</w:t>
            </w:r>
          </w:p>
        </w:tc>
      </w:tr>
      <w:tr>
        <w:tc>
          <w:tcPr>
            <w:tcW w:type="dxa" w:w="1728"/>
          </w:tcPr>
          <w:p>
            <w:r>
              <w:t>VC</w:t>
            </w:r>
          </w:p>
        </w:tc>
        <w:tc>
          <w:tcPr>
            <w:tcW w:type="dxa" w:w="1728"/>
          </w:tcPr>
          <w:p>
            <w:r>
              <w:t>PLS回归</w:t>
            </w:r>
          </w:p>
        </w:tc>
        <w:tc>
          <w:tcPr>
            <w:tcW w:type="dxa" w:w="1728"/>
          </w:tcPr>
          <w:p>
            <w:r>
              <w:t>R210单光谱</w:t>
            </w:r>
          </w:p>
        </w:tc>
        <w:tc>
          <w:tcPr>
            <w:tcW w:type="dxa" w:w="1728"/>
          </w:tcPr>
          <w:p>
            <w:r>
              <w:t>0.3778</w:t>
            </w:r>
          </w:p>
        </w:tc>
        <w:tc>
          <w:tcPr>
            <w:tcW w:type="dxa" w:w="1728"/>
          </w:tcPr>
          <w:p>
            <w:r>
              <w:t>5.7642</w:t>
            </w:r>
          </w:p>
        </w:tc>
      </w:tr>
      <w:tr>
        <w:tc>
          <w:tcPr>
            <w:tcW w:type="dxa" w:w="1728"/>
          </w:tcPr>
          <w:p>
            <w:r>
              <w:t>糖酸比</w:t>
            </w:r>
          </w:p>
        </w:tc>
        <w:tc>
          <w:tcPr>
            <w:tcW w:type="dxa" w:w="1728"/>
          </w:tcPr>
          <w:p>
            <w:r>
              <w:t>PLS回归</w:t>
            </w:r>
          </w:p>
        </w:tc>
        <w:tc>
          <w:tcPr>
            <w:tcW w:type="dxa" w:w="1728"/>
          </w:tcPr>
          <w:p>
            <w:r>
              <w:t>R210单光谱</w:t>
            </w:r>
          </w:p>
        </w:tc>
        <w:tc>
          <w:tcPr>
            <w:tcW w:type="dxa" w:w="1728"/>
          </w:tcPr>
          <w:p>
            <w:r>
              <w:t>0.3654</w:t>
            </w:r>
          </w:p>
        </w:tc>
        <w:tc>
          <w:tcPr>
            <w:tcW w:type="dxa" w:w="1728"/>
          </w:tcPr>
          <w:p>
            <w:r>
              <w:t>2.9632</w:t>
            </w:r>
          </w:p>
        </w:tc>
      </w:tr>
    </w:tbl>
    <w:p/>
    <w:p>
      <w:pPr>
        <w:pStyle w:val="Heading2"/>
      </w:pPr>
      <w:r>
        <w:rPr>
          <w:rFonts w:ascii="宋体" w:hAnsi="宋体" w:eastAsia="宋体"/>
        </w:rPr>
        <w:t>5.4 液质成分预测结果分析</w:t>
      </w:r>
    </w:p>
    <w:p>
      <w:pPr>
        <w:ind w:firstLine="480"/>
      </w:pPr>
      <w:r>
        <w:rPr>
          <w:rFonts w:ascii="宋体" w:hAnsi="宋体" w:eastAsia="宋体"/>
        </w:rPr>
        <w:t>液质成分预测最能体现多模态数据的价值。基线实验中，双光谱融合岭回归模型已取得验证集平均 R²=0.6811、测试集平均 R²=0.6620。进一步引入 SNV 预处理和参数搜索后，液质成分任务的最佳验证集平均 R² 提升至 0.7104，最佳测试集平均 R² 达到 0.6975，说明双光谱路线在内部成分建模上还有明确的提升空间。</w:t>
      </w:r>
    </w:p>
    <w:p>
      <w:pPr>
        <w:ind w:firstLine="480"/>
      </w:pPr>
      <w:r>
        <w:rPr>
          <w:rFonts w:ascii="宋体" w:hAnsi="宋体" w:eastAsia="宋体"/>
        </w:rPr>
        <w:t>在重点成分上，异柠檬酸、莽草酸等指标表现尤为突出：异柠檬酸测试集最佳 R² 达到 0.8225，莽草酸达到 0.8024，蔗糖达到 0.6773。这表明系统在内部组分识别与表达方面已经具备较好的分析基础。</w:t>
      </w:r>
    </w:p>
    <w:p>
      <w:pPr>
        <w:ind w:firstLine="480"/>
      </w:pPr>
      <w:r>
        <w:rPr>
          <w:rFonts w:ascii="宋体" w:hAnsi="宋体" w:eastAsia="宋体"/>
        </w:rPr>
        <w:t>表5-3 液质成分预测代表性结果</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最佳模型</w:t>
            </w:r>
          </w:p>
        </w:tc>
        <w:tc>
          <w:tcPr>
            <w:tcW w:type="dxa" w:w="2160"/>
          </w:tcPr>
          <w:p>
            <w:r>
              <w:t>特征方案</w:t>
            </w:r>
          </w:p>
        </w:tc>
        <w:tc>
          <w:tcPr>
            <w:tcW w:type="dxa" w:w="2160"/>
          </w:tcPr>
          <w:p>
            <w:r>
              <w:t>测试集R²</w:t>
            </w:r>
          </w:p>
        </w:tc>
      </w:tr>
      <w:tr>
        <w:tc>
          <w:tcPr>
            <w:tcW w:type="dxa" w:w="2160"/>
          </w:tcPr>
          <w:p>
            <w:r>
              <w:t>异柠檬酸</w:t>
            </w:r>
          </w:p>
        </w:tc>
        <w:tc>
          <w:tcPr>
            <w:tcW w:type="dxa" w:w="2160"/>
          </w:tcPr>
          <w:p>
            <w:r>
              <w:t>XGBoost回归</w:t>
            </w:r>
          </w:p>
        </w:tc>
        <w:tc>
          <w:tcPr>
            <w:tcW w:type="dxa" w:w="2160"/>
          </w:tcPr>
          <w:p>
            <w:r>
              <w:t>R210+S960双光谱</w:t>
            </w:r>
          </w:p>
        </w:tc>
        <w:tc>
          <w:tcPr>
            <w:tcW w:type="dxa" w:w="2160"/>
          </w:tcPr>
          <w:p>
            <w:r>
              <w:t>0.8225</w:t>
            </w:r>
          </w:p>
        </w:tc>
      </w:tr>
      <w:tr>
        <w:tc>
          <w:tcPr>
            <w:tcW w:type="dxa" w:w="2160"/>
          </w:tcPr>
          <w:p>
            <w:r>
              <w:t>莽草酸</w:t>
            </w:r>
          </w:p>
        </w:tc>
        <w:tc>
          <w:tcPr>
            <w:tcW w:type="dxa" w:w="2160"/>
          </w:tcPr>
          <w:p>
            <w:r>
              <w:t>XGBoost回归</w:t>
            </w:r>
          </w:p>
        </w:tc>
        <w:tc>
          <w:tcPr>
            <w:tcW w:type="dxa" w:w="2160"/>
          </w:tcPr>
          <w:p>
            <w:r>
              <w:t>R210+S960双光谱</w:t>
            </w:r>
          </w:p>
        </w:tc>
        <w:tc>
          <w:tcPr>
            <w:tcW w:type="dxa" w:w="2160"/>
          </w:tcPr>
          <w:p>
            <w:r>
              <w:t>0.8024</w:t>
            </w:r>
          </w:p>
        </w:tc>
      </w:tr>
      <w:tr>
        <w:tc>
          <w:tcPr>
            <w:tcW w:type="dxa" w:w="2160"/>
          </w:tcPr>
          <w:p>
            <w:r>
              <w:t>蔗糖</w:t>
            </w:r>
          </w:p>
        </w:tc>
        <w:tc>
          <w:tcPr>
            <w:tcW w:type="dxa" w:w="2160"/>
          </w:tcPr>
          <w:p>
            <w:r>
              <w:t>随机森林回归</w:t>
            </w:r>
          </w:p>
        </w:tc>
        <w:tc>
          <w:tcPr>
            <w:tcW w:type="dxa" w:w="2160"/>
          </w:tcPr>
          <w:p>
            <w:r>
              <w:t>R210+S960双光谱</w:t>
            </w:r>
          </w:p>
        </w:tc>
        <w:tc>
          <w:tcPr>
            <w:tcW w:type="dxa" w:w="2160"/>
          </w:tcPr>
          <w:p>
            <w:r>
              <w:t>0.6773</w:t>
            </w:r>
          </w:p>
        </w:tc>
      </w:tr>
      <w:tr>
        <w:tc>
          <w:tcPr>
            <w:tcW w:type="dxa" w:w="2160"/>
          </w:tcPr>
          <w:p>
            <w:r>
              <w:t>E-1-丙烯-1,2,3-三羧酸</w:t>
            </w:r>
          </w:p>
        </w:tc>
        <w:tc>
          <w:tcPr>
            <w:tcW w:type="dxa" w:w="2160"/>
          </w:tcPr>
          <w:p>
            <w:r>
              <w:t>岭回归</w:t>
            </w:r>
          </w:p>
        </w:tc>
        <w:tc>
          <w:tcPr>
            <w:tcW w:type="dxa" w:w="2160"/>
          </w:tcPr>
          <w:p>
            <w:r>
              <w:t>S960单光谱</w:t>
            </w:r>
          </w:p>
        </w:tc>
        <w:tc>
          <w:tcPr>
            <w:tcW w:type="dxa" w:w="2160"/>
          </w:tcPr>
          <w:p>
            <w:r>
              <w:t>0.7943</w:t>
            </w:r>
          </w:p>
        </w:tc>
      </w:tr>
    </w:tbl>
    <w:p/>
    <w:p>
      <w:pPr>
        <w:pStyle w:val="Heading2"/>
      </w:pPr>
      <w:r>
        <w:rPr>
          <w:rFonts w:ascii="宋体" w:hAnsi="宋体" w:eastAsia="宋体"/>
        </w:rPr>
        <w:t>5.5 综合测试结论</w:t>
      </w:r>
    </w:p>
    <w:p>
      <w:pPr>
        <w:ind w:firstLine="480"/>
      </w:pPr>
      <w:r>
        <w:rPr>
          <w:rFonts w:ascii="宋体" w:hAnsi="宋体" w:eastAsia="宋体"/>
        </w:rPr>
        <w:t>综合结果表明，项目已经围绕海南柑橘形成较完整的数据整理、智能分析与成果表达体系。产地溯源结果稳定，品质评价在糖度等关键指标上具有较强参考价值，液质成分分析进一步拓展了对内部品质的刻画深度。三类结果共同支撑了作品从样本到报告的整体表达，也体现出多模态数据在特色果品检测中的应用潜力。</w:t>
      </w:r>
    </w:p>
    <w:p>
      <w:pPr>
        <w:pStyle w:val="Heading1"/>
      </w:pPr>
      <w:r>
        <w:rPr>
          <w:rFonts w:ascii="宋体" w:hAnsi="宋体" w:eastAsia="宋体"/>
        </w:rPr>
        <w:t>第6章 特色创新与推广前景</w:t>
      </w:r>
    </w:p>
    <w:p>
      <w:pPr>
        <w:pStyle w:val="Heading2"/>
      </w:pPr>
      <w:r>
        <w:rPr>
          <w:rFonts w:ascii="宋体" w:hAnsi="宋体" w:eastAsia="宋体"/>
        </w:rPr>
        <w:t>6.1 作品特色与创新点</w:t>
      </w:r>
    </w:p>
    <w:p>
      <w:pPr>
        <w:ind w:firstLine="480"/>
      </w:pPr>
      <w:r>
        <w:rPr>
          <w:rFonts w:ascii="宋体" w:hAnsi="宋体" w:eastAsia="宋体"/>
        </w:rPr>
        <w:t>作品的创新首先体现在以可信数据底座重构柑橘检测流程。针对多模态样本中存在的异常重复问题，项目先完成异常识别、波段统一与安全主表构建，再在同一数据底座上展开品质评价、产地判别和液质成分分析，使各项结果具有统一而清晰的数据依据。</w:t>
      </w:r>
    </w:p>
    <w:p>
      <w:pPr>
        <w:ind w:firstLine="480"/>
      </w:pPr>
      <w:r>
        <w:rPr>
          <w:rFonts w:ascii="宋体" w:hAnsi="宋体" w:eastAsia="宋体"/>
        </w:rPr>
        <w:t>作品的另一项创新，在于把分析结果进一步转化为面向应用的成果表达。项目不是只停留在单项指标输出，而是将产地、品质、成分和样本信息组织为一体化展示内容与规范报告，使技术结果能够直接服务展示说明、品牌传播和批次留存。</w:t>
      </w:r>
    </w:p>
    <w:p>
      <w:pPr>
        <w:ind w:firstLine="480"/>
      </w:pPr>
      <w:r>
        <w:rPr>
          <w:rFonts w:ascii="宋体" w:hAnsi="宋体" w:eastAsia="宋体"/>
        </w:rPr>
        <w:t>表6-1 作品创新点概述</w:t>
      </w:r>
    </w:p>
    <w:tbl>
      <w:tblPr>
        <w:tblStyle w:val="TableGrid"/>
        <w:tblW w:type="auto" w:w="0"/>
        <w:jc w:val="center"/>
        <w:tblLook w:firstColumn="1" w:firstRow="1" w:lastColumn="0" w:lastRow="0" w:noHBand="0" w:noVBand="1" w:val="04A0"/>
      </w:tblPr>
      <w:tblGrid>
        <w:gridCol w:w="4320"/>
        <w:gridCol w:w="4320"/>
      </w:tblGrid>
      <w:tr>
        <w:tc>
          <w:tcPr>
            <w:tcW w:type="dxa" w:w="4320"/>
          </w:tcPr>
          <w:p>
            <w:r>
              <w:t>创新点</w:t>
            </w:r>
          </w:p>
        </w:tc>
        <w:tc>
          <w:tcPr>
            <w:tcW w:type="dxa" w:w="4320"/>
          </w:tcPr>
          <w:p>
            <w:r>
              <w:t>具体体现</w:t>
            </w:r>
          </w:p>
        </w:tc>
      </w:tr>
      <w:tr>
        <w:tc>
          <w:tcPr>
            <w:tcW w:type="dxa" w:w="4320"/>
          </w:tcPr>
          <w:p>
            <w:r>
              <w:t>可信数据底座创新</w:t>
            </w:r>
          </w:p>
        </w:tc>
        <w:tc>
          <w:tcPr>
            <w:tcW w:type="dxa" w:w="4320"/>
          </w:tcPr>
          <w:p>
            <w:r>
              <w:t>完成异常样本识别、HSI 剔除与安全主表重建</w:t>
            </w:r>
          </w:p>
        </w:tc>
      </w:tr>
      <w:tr>
        <w:tc>
          <w:tcPr>
            <w:tcW w:type="dxa" w:w="4320"/>
          </w:tcPr>
          <w:p>
            <w:r>
              <w:t>多维协同分析创新</w:t>
            </w:r>
          </w:p>
        </w:tc>
        <w:tc>
          <w:tcPr>
            <w:tcW w:type="dxa" w:w="4320"/>
          </w:tcPr>
          <w:p>
            <w:r>
              <w:t>以同一数据底座同时支撑品质评价、产地判别与成分解析</w:t>
            </w:r>
          </w:p>
        </w:tc>
      </w:tr>
      <w:tr>
        <w:tc>
          <w:tcPr>
            <w:tcW w:type="dxa" w:w="4320"/>
          </w:tcPr>
          <w:p>
            <w:r>
              <w:t>成果表达创新</w:t>
            </w:r>
          </w:p>
        </w:tc>
        <w:tc>
          <w:tcPr>
            <w:tcW w:type="dxa" w:w="4320"/>
          </w:tcPr>
          <w:p>
            <w:r>
              <w:t>将分析结果组织为页面展示、历史记录和规范报告</w:t>
            </w:r>
          </w:p>
        </w:tc>
      </w:tr>
      <w:tr>
        <w:tc>
          <w:tcPr>
            <w:tcW w:type="dxa" w:w="4320"/>
          </w:tcPr>
          <w:p>
            <w:r>
              <w:t>场景贯通创新</w:t>
            </w:r>
          </w:p>
        </w:tc>
        <w:tc>
          <w:tcPr>
            <w:tcW w:type="dxa" w:w="4320"/>
          </w:tcPr>
          <w:p>
            <w:r>
              <w:t>兼顾集中展示与移动使用，形成从采集到留存的完整链路</w:t>
            </w:r>
          </w:p>
        </w:tc>
      </w:tr>
    </w:tbl>
    <w:p/>
    <w:p>
      <w:pPr>
        <w:pStyle w:val="Heading2"/>
      </w:pPr>
      <w:r>
        <w:rPr>
          <w:rFonts w:ascii="宋体" w:hAnsi="宋体" w:eastAsia="宋体"/>
        </w:rPr>
        <w:t>6.2 应用推广前景</w:t>
      </w:r>
    </w:p>
    <w:p>
      <w:pPr>
        <w:ind w:firstLine="480"/>
      </w:pPr>
      <w:r>
        <w:rPr>
          <w:rFonts w:ascii="宋体" w:hAnsi="宋体" w:eastAsia="宋体"/>
        </w:rPr>
        <w:t>项目面向海南特色果品数字化检测与品牌化建设，适用于品质分级、产地核验、品牌展示、教学演示等多类场景。以澄迈福橙和琼中绿橙为示范对象，作品已经展示出多模态数据在区域特色农产品识别中的应用价值。后续还可向更多柑橘品类和其他特色农产品延展，为区域农业数字化、标准化和品牌化提供可复用的技术路径。</w:t>
      </w:r>
    </w:p>
    <w:p>
      <w:pPr>
        <w:pStyle w:val="Heading2"/>
      </w:pPr>
      <w:r>
        <w:rPr>
          <w:rFonts w:ascii="宋体" w:hAnsi="宋体" w:eastAsia="宋体"/>
        </w:rPr>
        <w:t>6.3 总结</w:t>
      </w:r>
    </w:p>
    <w:p>
      <w:pPr>
        <w:ind w:firstLine="480"/>
      </w:pPr>
      <w:r>
        <w:rPr>
          <w:rFonts w:ascii="宋体" w:hAnsi="宋体" w:eastAsia="宋体"/>
        </w:rPr>
        <w:t>橙源智鉴以海南柑橘为对象，将样本治理、多模态分析、品质评价、产地溯源与报告表达整合为一体。基于 399 个正式样本和双光谱数据底座，作品在产地判别、糖度预测和液质成分分析上取得了较为突出的结果，并形成了可展示、可查询、可留存的完整成果形态，体现了特色农产品智能检测的应用价值。</w:t>
      </w:r>
    </w:p>
    <w:p>
      <w:pPr>
        <w:pStyle w:val="Heading1"/>
      </w:pPr>
      <w:r>
        <w:rPr>
          <w:rFonts w:ascii="宋体" w:hAnsi="宋体" w:eastAsia="宋体"/>
        </w:rPr>
        <w:t>参考资料</w:t>
      </w:r>
    </w:p>
    <w:p>
      <w:pPr>
        <w:ind w:firstLine="480"/>
      </w:pPr>
      <w:r>
        <w:rPr>
          <w:rFonts w:ascii="宋体" w:hAnsi="宋体" w:eastAsia="宋体"/>
        </w:rPr>
        <w:t>[1] 正式实验/研究记录/正式实验概览.json</w:t>
      </w:r>
    </w:p>
    <w:p>
      <w:pPr>
        <w:ind w:firstLine="480"/>
      </w:pPr>
      <w:r>
        <w:rPr>
          <w:rFonts w:ascii="宋体" w:hAnsi="宋体" w:eastAsia="宋体"/>
        </w:rPr>
        <w:t>[2] 正式实验/研究记录/双光谱正式研究顺序记录.md</w:t>
      </w:r>
    </w:p>
    <w:p>
      <w:pPr>
        <w:ind w:firstLine="480"/>
      </w:pPr>
      <w:r>
        <w:rPr>
          <w:rFonts w:ascii="宋体" w:hAnsi="宋体" w:eastAsia="宋体"/>
        </w:rPr>
        <w:t>[3] 正式实验/研究记录/第一版双光谱基线实验摘要.json</w:t>
      </w:r>
    </w:p>
    <w:p>
      <w:pPr>
        <w:ind w:firstLine="480"/>
      </w:pPr>
      <w:r>
        <w:rPr>
          <w:rFonts w:ascii="宋体" w:hAnsi="宋体" w:eastAsia="宋体"/>
        </w:rPr>
        <w:t>[4] 正式实验/研究记录/进阶优化记录/液质预测进阶调参完整记录.csv</w:t>
      </w:r>
    </w:p>
    <w:p>
      <w:pPr>
        <w:ind w:firstLine="480"/>
      </w:pPr>
      <w:r>
        <w:rPr>
          <w:rFonts w:ascii="宋体" w:hAnsi="宋体" w:eastAsia="宋体"/>
        </w:rPr>
        <w:t>[5] 清洗结果/质检信息/汇总信息.json</w:t>
      </w:r>
    </w:p>
    <w:p>
      <w:pPr>
        <w:ind w:firstLine="480"/>
      </w:pPr>
      <w:r>
        <w:rPr>
          <w:rFonts w:ascii="宋体" w:hAnsi="宋体" w:eastAsia="宋体"/>
        </w:rPr>
        <w:t>[6] 正式实验/划分方案/统一样本划分.csv</w:t>
      </w:r>
    </w:p>
    <w:p>
      <w:pPr>
        <w:ind w:firstLine="480"/>
      </w:pPr>
      <w:r>
        <w:rPr>
          <w:rFonts w:ascii="宋体" w:hAnsi="宋体" w:eastAsia="宋体"/>
        </w:rPr>
        <w:t>[7] 正式实验/数据集/双光谱安全主表.csv</w:t>
      </w:r>
    </w:p>
    <w:p>
      <w:pPr>
        <w:ind w:firstLine="480"/>
      </w:pPr>
      <w:r>
        <w:rPr>
          <w:rFonts w:ascii="宋体" w:hAnsi="宋体" w:eastAsia="宋体"/>
        </w:rPr>
        <w:t>[8] 正式实验/基线结果/任务1_品质预测/逐目标结果.csv</w:t>
      </w:r>
    </w:p>
    <w:p>
      <w:pPr>
        <w:ind w:firstLine="480"/>
      </w:pPr>
      <w:r>
        <w:rPr>
          <w:rFonts w:ascii="宋体" w:hAnsi="宋体" w:eastAsia="宋体"/>
        </w:rPr>
        <w:t>[9] 正式实验/基线结果/任务2_产地溯源/模型汇总.csv</w:t>
      </w:r>
    </w:p>
    <w:p>
      <w:pPr>
        <w:ind w:firstLine="480"/>
      </w:pPr>
      <w:r>
        <w:rPr>
          <w:rFonts w:ascii="宋体" w:hAnsi="宋体" w:eastAsia="宋体"/>
        </w:rPr>
        <w:t>[10] 正式实验/基线结果/任务3_液质成分预测/逐目标结果.csv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