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希望把一次检测形成的结果、依据和记录真正连接起来。</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从使用场景看，系统既能服务实验环境下的系统研究，也能支持现场采样和移动端操作。分析结果不仅体现在页面上，还能整理为结构化记录、历史档案和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作品已经形成网页展示端、移动应用端、分析支撑层和结果输出层相互配合的整体结构。网页端承担作品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日，作品已完成 9 个网页主要页面、11 个移动端功能页面，并形成覆盖样本管理、分析处理、结果组织、报告生成等环节的 20 项核心服务能力，已经具备较完整的展示和演示条件。</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作品展示、数据总览、结果回看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围绕上述问题，项目同步推进样本体系建设、多任务分析、数据治理、系统组织与结果输出，形成了从样本整理、智能分析到报告生成的完整流程。相较于单一功能展示，这种整体化设计更贴近真实使用场景。</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便于比赛展示和后续应用。</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项液质成分标签统一组织，形成支撑多任务分析的样本体系。围绕这一数据基础，作品设置了品质评价、产地溯源和成分解析三条分析主线，使外部表型、产地信息与内部组分之间能够相互对应、相互印证。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0.6975，说明双光谱融合能够较好刻画内部成分差异。</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1.0000。三类结果相互补充，使作品既能识别“来自哪里”，也能回答“品质如何”“内部成分怎样”。</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pStyle w:val="Heading1"/>
      </w:pPr>
      <w:r>
        <w:rPr>
          <w:rFonts w:ascii="宋体" w:hAnsi="宋体" w:eastAsia="宋体"/>
        </w:rPr>
        <w:t>第4章 作品实现与展示</w:t>
      </w:r>
    </w:p>
    <w:p>
      <w:pPr>
        <w:pStyle w:val="Heading2"/>
      </w:pPr>
      <w:r>
        <w:rPr>
          <w:rFonts w:ascii="宋体" w:hAnsi="宋体" w:eastAsia="宋体"/>
        </w:rPr>
        <w:t>4.1 展示形态设计</w:t>
      </w:r>
    </w:p>
    <w:p>
      <w:pPr>
        <w:ind w:firstLine="480"/>
      </w:pPr>
      <w:r>
        <w:rPr>
          <w:rFonts w:ascii="宋体" w:hAnsi="宋体" w:eastAsia="宋体"/>
        </w:rPr>
        <w:t>作品采用网页端与微信小程序双端配合的展示方式。网页端重点呈现作品概貌、数据总览、综合分析和历史结果，适合比赛答辩与集中展示；移动端面向样本录入、快速查询和结果回看，便于现场使用和轻量交互。两类终端围绕同一套样本与分析结果组织内容，保证展示口径统一。</w:t>
      </w:r>
    </w:p>
    <w:p>
      <w:pPr>
        <w:ind w:firstLine="480"/>
      </w:pPr>
      <w:r>
        <w:rPr>
          <w:rFonts w:ascii="宋体" w:hAnsi="宋体" w:eastAsia="宋体"/>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从整体效果看，网页端、移动端与分析支撑层之间已经形成稳定配合：展示端负责信息呈现与分析提交，分析支撑层负责结果处理与回传，结果输出层负责整理与留存，由此形成面向比赛展示和场景应用的一体化实现。</w:t>
      </w:r>
    </w:p>
    <w:p>
      <w:pPr>
        <w:pStyle w:val="Heading2"/>
      </w:pPr>
      <w:r>
        <w:rPr>
          <w:rFonts w:ascii="宋体" w:hAnsi="宋体" w:eastAsia="宋体"/>
        </w:rPr>
        <w:t>4.3 报告生成与成果留存</w:t>
      </w:r>
    </w:p>
    <w:p>
      <w:pPr>
        <w:ind w:firstLine="480"/>
      </w:pPr>
      <w:r>
        <w:rPr>
          <w:rFonts w:ascii="宋体" w:hAnsi="宋体" w:eastAsia="宋体"/>
        </w:rPr>
        <w:t>作品在结果组织上强调“可读、可用、可留存”。分析完成后，系统能够围绕样本基本信息、产地判断、品质指标、重点成分和综合说明形成中文报告，并保留对应的历史记录，方便后续查询、比较和展示。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这种结果组织方式把分析结果从离散数据转换为结构化材料，使作品在答辩展示、区域推广和样本复核等场景中都更便于说明和使用。</w:t>
      </w:r>
    </w:p>
    <w:p>
      <w:pPr>
        <w:pStyle w:val="Heading2"/>
      </w:pPr>
      <w:r>
        <w:rPr>
          <w:rFonts w:ascii="宋体" w:hAnsi="宋体" w:eastAsia="宋体"/>
        </w:rPr>
        <w:t>4.4 实现成果</w:t>
      </w:r>
    </w:p>
    <w:p>
      <w:pPr>
        <w:ind w:firstLine="480"/>
      </w:pPr>
      <w:r>
        <w:rPr>
          <w:rFonts w:ascii="宋体" w:hAnsi="宋体" w:eastAsia="宋体"/>
        </w:rPr>
        <w:t>截至 2026 年 4 月 10 日，作品已经形成网页展示、移动应用、分析支撑和结果输出四个层面的实现成果。相关页面、服务能力和报告流程均已整理完成，能够支撑比赛演示、成果说明和后续拓展。</w:t>
      </w:r>
    </w:p>
    <w:p>
      <w:pPr>
        <w:ind w:firstLine="480"/>
      </w:pPr>
      <w:r>
        <w:rPr>
          <w:rFonts w:ascii="宋体" w:hAnsi="宋体" w:eastAsia="宋体"/>
        </w:rPr>
        <w:t>表4-1 作品实现成果概况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作品从样本到报告的完整展示，也体现出多模态数据在特色果品检测中的应用潜力。</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作品的另一项创新，在于把分析结果整理成更适合实际使用的表达形式。项目不是只停留在单项指标输出，而是将产地、品质、成分和样本信息组织为一体化展示内容与正式报告，使分析结果能够直接服务展示说明、品牌传播和批次留存。</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作品已经展示出多模态数据在区域特色农产品识别中的实际作用。后续还可向更多柑橘品类和其他特色农产品延展，为区域农业数字化、标准化和品牌化提供可复用的方法参考。</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个正式样本和双光谱数据底座，作品在产地判别、糖度预测和液质成分分析上取得了较为突出的结果，并形成了可展示、可查询、可留存的一套完整成果，体现了特色农产品智能检测的实际意义。</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